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A85832" w:rsidRPr="00A85832" w:rsidRDefault="00A85832" w:rsidP="0000595F">
      <w:pPr>
        <w:jc w:val="center"/>
        <w:rPr>
          <w:sz w:val="24"/>
          <w:szCs w:val="24"/>
        </w:rPr>
      </w:pPr>
    </w:p>
    <w:p w:rsidR="00615512" w:rsidRPr="00A85832" w:rsidRDefault="00615512" w:rsidP="0000595F">
      <w:pPr>
        <w:jc w:val="center"/>
        <w:rPr>
          <w:rFonts w:ascii="Arial" w:hAnsi="Arial" w:cs="Arial"/>
          <w:sz w:val="28"/>
          <w:szCs w:val="28"/>
        </w:rPr>
      </w:pPr>
      <w:r w:rsidRPr="00A85832">
        <w:rPr>
          <w:rFonts w:ascii="Arial" w:hAnsi="Arial" w:cs="Arial"/>
          <w:sz w:val="28"/>
          <w:szCs w:val="28"/>
        </w:rPr>
        <w:t xml:space="preserve">The </w:t>
      </w:r>
      <w:r w:rsidR="009C47DC">
        <w:rPr>
          <w:rFonts w:ascii="Arial" w:hAnsi="Arial" w:cs="Arial"/>
          <w:sz w:val="28"/>
          <w:szCs w:val="28"/>
        </w:rPr>
        <w:t>Clinical Utility of Bone Turnover Markers in Postmenopausal W</w:t>
      </w:r>
      <w:r w:rsidR="0068640F" w:rsidRPr="00A85832">
        <w:rPr>
          <w:rFonts w:ascii="Arial" w:hAnsi="Arial" w:cs="Arial"/>
          <w:sz w:val="28"/>
          <w:szCs w:val="28"/>
        </w:rPr>
        <w:t>omen</w:t>
      </w:r>
      <w:r w:rsidR="009C47DC">
        <w:rPr>
          <w:rFonts w:ascii="Arial" w:hAnsi="Arial" w:cs="Arial"/>
          <w:sz w:val="28"/>
          <w:szCs w:val="28"/>
        </w:rPr>
        <w:t xml:space="preserve"> with O</w:t>
      </w:r>
      <w:r w:rsidR="00C335C5" w:rsidRPr="00A85832">
        <w:rPr>
          <w:rFonts w:ascii="Arial" w:hAnsi="Arial" w:cs="Arial"/>
          <w:sz w:val="28"/>
          <w:szCs w:val="28"/>
        </w:rPr>
        <w:t>steoporosis</w:t>
      </w:r>
    </w:p>
    <w:p w:rsidR="00A85832" w:rsidRDefault="00A85832" w:rsidP="0000595F">
      <w:pPr>
        <w:jc w:val="center"/>
      </w:pPr>
    </w:p>
    <w:p w:rsidR="00BF3E6E" w:rsidRPr="005F292D" w:rsidRDefault="00BF3E6E" w:rsidP="0000595F">
      <w:pPr>
        <w:spacing w:before="100" w:beforeAutospacing="1" w:after="100" w:afterAutospacing="1" w:line="240" w:lineRule="auto"/>
        <w:jc w:val="center"/>
        <w:rPr>
          <w:rFonts w:cs="Arial"/>
          <w:b/>
          <w:sz w:val="32"/>
          <w:szCs w:val="32"/>
        </w:rPr>
      </w:pPr>
      <w:r>
        <w:rPr>
          <w:rFonts w:cs="Arial"/>
          <w:b/>
          <w:sz w:val="32"/>
          <w:szCs w:val="32"/>
        </w:rPr>
        <w:t>Fatma Gossiel</w:t>
      </w:r>
    </w:p>
    <w:p w:rsidR="00BF3E6E" w:rsidRDefault="00BF3E6E" w:rsidP="0000595F">
      <w:pPr>
        <w:spacing w:before="100" w:beforeAutospacing="1" w:after="100" w:afterAutospacing="1" w:line="240" w:lineRule="auto"/>
        <w:jc w:val="center"/>
        <w:rPr>
          <w:rFonts w:cs="Arial"/>
          <w:sz w:val="32"/>
          <w:szCs w:val="32"/>
        </w:rPr>
      </w:pPr>
    </w:p>
    <w:p w:rsidR="00BF3E6E" w:rsidRPr="00D72E4C" w:rsidRDefault="00BF3E6E" w:rsidP="0000595F">
      <w:pPr>
        <w:spacing w:before="100" w:beforeAutospacing="1" w:after="100" w:afterAutospacing="1" w:line="240" w:lineRule="auto"/>
        <w:jc w:val="center"/>
        <w:rPr>
          <w:rFonts w:cs="Arial"/>
          <w:sz w:val="32"/>
          <w:szCs w:val="32"/>
        </w:rPr>
      </w:pPr>
    </w:p>
    <w:p w:rsidR="00BF3E6E" w:rsidRPr="00D72E4C" w:rsidRDefault="00BF3E6E" w:rsidP="0000595F">
      <w:pPr>
        <w:autoSpaceDE w:val="0"/>
        <w:autoSpaceDN w:val="0"/>
        <w:adjustRightInd w:val="0"/>
        <w:spacing w:line="240" w:lineRule="auto"/>
        <w:jc w:val="center"/>
        <w:rPr>
          <w:rFonts w:cs="Arial"/>
          <w:sz w:val="32"/>
          <w:szCs w:val="32"/>
        </w:rPr>
      </w:pPr>
      <w:r w:rsidRPr="00D72E4C">
        <w:rPr>
          <w:rFonts w:cs="Arial"/>
          <w:sz w:val="32"/>
          <w:szCs w:val="32"/>
        </w:rPr>
        <w:t>Thesis submitted in partial fulfilment of the</w:t>
      </w:r>
      <w:r>
        <w:rPr>
          <w:rFonts w:cs="Arial"/>
          <w:sz w:val="32"/>
          <w:szCs w:val="32"/>
        </w:rPr>
        <w:t xml:space="preserve"> </w:t>
      </w:r>
      <w:r w:rsidRPr="00D72E4C">
        <w:rPr>
          <w:rFonts w:cs="Arial"/>
          <w:sz w:val="32"/>
          <w:szCs w:val="32"/>
        </w:rPr>
        <w:t>requirements for the degree of</w:t>
      </w:r>
      <w:r w:rsidR="001C1C0D">
        <w:rPr>
          <w:rFonts w:cs="Arial"/>
          <w:sz w:val="32"/>
          <w:szCs w:val="32"/>
        </w:rPr>
        <w:t>:</w:t>
      </w:r>
    </w:p>
    <w:p w:rsidR="00BF3E6E" w:rsidRDefault="00BF3E6E" w:rsidP="0000595F">
      <w:pPr>
        <w:spacing w:before="100" w:beforeAutospacing="1" w:after="100" w:afterAutospacing="1" w:line="240" w:lineRule="auto"/>
        <w:jc w:val="center"/>
        <w:rPr>
          <w:rFonts w:cs="Arial"/>
          <w:sz w:val="32"/>
          <w:szCs w:val="32"/>
        </w:rPr>
      </w:pPr>
    </w:p>
    <w:p w:rsidR="00BF3E6E" w:rsidRPr="005F292D" w:rsidRDefault="00BF3E6E" w:rsidP="0000595F">
      <w:pPr>
        <w:spacing w:before="100" w:beforeAutospacing="1" w:after="100" w:afterAutospacing="1" w:line="240" w:lineRule="auto"/>
        <w:jc w:val="center"/>
        <w:rPr>
          <w:rFonts w:cs="Arial"/>
          <w:sz w:val="32"/>
          <w:szCs w:val="32"/>
        </w:rPr>
      </w:pPr>
      <w:r w:rsidRPr="00D72E4C">
        <w:rPr>
          <w:rFonts w:cs="Arial"/>
          <w:sz w:val="32"/>
          <w:szCs w:val="32"/>
        </w:rPr>
        <w:t>Doctor of Philosophy</w:t>
      </w:r>
    </w:p>
    <w:p w:rsidR="00BF3E6E" w:rsidRPr="00D72E4C" w:rsidRDefault="00BF3E6E" w:rsidP="0000595F">
      <w:pPr>
        <w:spacing w:before="100" w:beforeAutospacing="1" w:after="100" w:afterAutospacing="1" w:line="240" w:lineRule="auto"/>
        <w:jc w:val="center"/>
        <w:rPr>
          <w:rFonts w:cs="Arial"/>
          <w:sz w:val="32"/>
          <w:szCs w:val="32"/>
        </w:rPr>
      </w:pPr>
    </w:p>
    <w:p w:rsidR="00BF3E6E" w:rsidRPr="00D72E4C" w:rsidRDefault="00BF3E6E" w:rsidP="0000595F">
      <w:pPr>
        <w:spacing w:before="100" w:beforeAutospacing="1" w:after="100" w:afterAutospacing="1" w:line="240" w:lineRule="auto"/>
        <w:jc w:val="center"/>
        <w:rPr>
          <w:rFonts w:cs="Arial"/>
          <w:sz w:val="32"/>
          <w:szCs w:val="32"/>
        </w:rPr>
      </w:pPr>
      <w:r w:rsidRPr="00D72E4C">
        <w:rPr>
          <w:rFonts w:cs="Arial"/>
          <w:sz w:val="32"/>
          <w:szCs w:val="32"/>
        </w:rPr>
        <w:t>Department of Human Metabolism</w:t>
      </w:r>
    </w:p>
    <w:p w:rsidR="00BF3E6E" w:rsidRDefault="00606BF3" w:rsidP="0000595F">
      <w:pPr>
        <w:jc w:val="center"/>
      </w:pPr>
      <w:r>
        <w:rPr>
          <w:rFonts w:cs="Arial"/>
          <w:sz w:val="32"/>
          <w:szCs w:val="32"/>
        </w:rPr>
        <w:t>July 2017</w:t>
      </w:r>
      <w:bookmarkStart w:id="0" w:name="_GoBack"/>
      <w:bookmarkEnd w:id="0"/>
    </w:p>
    <w:p w:rsidR="00A85832" w:rsidRDefault="00A85832" w:rsidP="0000595F">
      <w:pPr>
        <w:jc w:val="center"/>
      </w:pPr>
    </w:p>
    <w:p w:rsidR="00A85832" w:rsidRDefault="00A85832" w:rsidP="0000595F">
      <w:pPr>
        <w:jc w:val="center"/>
      </w:pPr>
    </w:p>
    <w:p w:rsidR="00A85832" w:rsidRDefault="00A85832" w:rsidP="0000595F">
      <w:pPr>
        <w:jc w:val="center"/>
      </w:pPr>
    </w:p>
    <w:p w:rsidR="00A85832" w:rsidRDefault="00A85832" w:rsidP="0000595F">
      <w:pPr>
        <w:jc w:val="center"/>
      </w:pPr>
    </w:p>
    <w:p w:rsidR="009D3BB6" w:rsidRDefault="009D3BB6" w:rsidP="0000595F">
      <w:pPr>
        <w:jc w:val="center"/>
      </w:pPr>
    </w:p>
    <w:p w:rsidR="00A85832" w:rsidRDefault="00A85832" w:rsidP="0000595F">
      <w:pPr>
        <w:jc w:val="center"/>
      </w:pPr>
    </w:p>
    <w:p w:rsidR="00A85832" w:rsidRPr="00D93D1D" w:rsidRDefault="00A85832" w:rsidP="0000595F">
      <w:pPr>
        <w:jc w:val="center"/>
        <w:rPr>
          <w:color w:val="FF0000"/>
        </w:rPr>
      </w:pPr>
    </w:p>
    <w:bookmarkStart w:id="1" w:name="_Toc384205706" w:displacedByCustomXml="next"/>
    <w:sdt>
      <w:sdtPr>
        <w:rPr>
          <w:rFonts w:asciiTheme="minorHAnsi" w:eastAsiaTheme="minorHAnsi" w:hAnsiTheme="minorHAnsi" w:cstheme="minorBidi"/>
          <w:color w:val="auto"/>
          <w:sz w:val="28"/>
          <w:szCs w:val="28"/>
          <w:lang w:val="en-GB"/>
        </w:rPr>
        <w:id w:val="2057200553"/>
        <w:docPartObj>
          <w:docPartGallery w:val="Table of Contents"/>
          <w:docPartUnique/>
        </w:docPartObj>
      </w:sdtPr>
      <w:sdtEndPr>
        <w:rPr>
          <w:b/>
          <w:bCs/>
          <w:noProof/>
          <w:sz w:val="22"/>
          <w:szCs w:val="22"/>
        </w:rPr>
      </w:sdtEndPr>
      <w:sdtContent>
        <w:p w:rsidR="00B05252" w:rsidRPr="00E943C0" w:rsidRDefault="00B05252" w:rsidP="00AD2E23">
          <w:pPr>
            <w:pStyle w:val="TOCHeading"/>
            <w:jc w:val="both"/>
            <w:rPr>
              <w:rFonts w:ascii="Arial" w:hAnsi="Arial" w:cs="Arial"/>
              <w:color w:val="auto"/>
              <w:sz w:val="28"/>
              <w:szCs w:val="28"/>
            </w:rPr>
          </w:pPr>
          <w:r w:rsidRPr="00E943C0">
            <w:rPr>
              <w:rFonts w:ascii="Arial" w:hAnsi="Arial" w:cs="Arial"/>
              <w:color w:val="auto"/>
              <w:sz w:val="28"/>
              <w:szCs w:val="28"/>
            </w:rPr>
            <w:t>Contents</w:t>
          </w:r>
        </w:p>
        <w:p w:rsidR="00DA14FE" w:rsidRPr="009D3BB6" w:rsidRDefault="00B05252" w:rsidP="00AD2E23">
          <w:pPr>
            <w:pStyle w:val="TOC1"/>
            <w:jc w:val="both"/>
            <w:rPr>
              <w:rFonts w:eastAsiaTheme="minorEastAsia"/>
              <w:lang w:eastAsia="en-GB"/>
            </w:rPr>
          </w:pPr>
          <w:r w:rsidRPr="009D3BB6">
            <w:fldChar w:fldCharType="begin"/>
          </w:r>
          <w:r w:rsidRPr="009D3BB6">
            <w:instrText xml:space="preserve"> TOC \o "1-3" \h \z \u </w:instrText>
          </w:r>
          <w:r w:rsidRPr="009D3BB6">
            <w:fldChar w:fldCharType="separate"/>
          </w:r>
          <w:hyperlink w:anchor="_Toc425418881" w:history="1">
            <w:r w:rsidR="00DA14FE" w:rsidRPr="009D3BB6">
              <w:rPr>
                <w:rStyle w:val="Hyperlink"/>
              </w:rPr>
              <w:t>Acknowledgements</w:t>
            </w:r>
            <w:r w:rsidR="00DA14FE" w:rsidRPr="009D3BB6">
              <w:rPr>
                <w:webHidden/>
              </w:rPr>
              <w:tab/>
            </w:r>
            <w:r w:rsidR="00DA14FE" w:rsidRPr="009D3BB6">
              <w:rPr>
                <w:webHidden/>
              </w:rPr>
              <w:fldChar w:fldCharType="begin"/>
            </w:r>
            <w:r w:rsidR="00DA14FE" w:rsidRPr="009D3BB6">
              <w:rPr>
                <w:webHidden/>
              </w:rPr>
              <w:instrText xml:space="preserve"> PAGEREF _Toc425418881 \h </w:instrText>
            </w:r>
            <w:r w:rsidR="00DA14FE" w:rsidRPr="009D3BB6">
              <w:rPr>
                <w:webHidden/>
              </w:rPr>
            </w:r>
            <w:r w:rsidR="00DA14FE" w:rsidRPr="009D3BB6">
              <w:rPr>
                <w:webHidden/>
              </w:rPr>
              <w:fldChar w:fldCharType="separate"/>
            </w:r>
            <w:r w:rsidR="00DD116A">
              <w:rPr>
                <w:webHidden/>
              </w:rPr>
              <w:t>5</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2" w:history="1">
            <w:r w:rsidR="00DA14FE" w:rsidRPr="009D3BB6">
              <w:rPr>
                <w:rStyle w:val="Hyperlink"/>
              </w:rPr>
              <w:t>Contributions</w:t>
            </w:r>
            <w:r w:rsidR="00DA14FE" w:rsidRPr="009D3BB6">
              <w:rPr>
                <w:webHidden/>
              </w:rPr>
              <w:tab/>
            </w:r>
            <w:r w:rsidR="00DA14FE" w:rsidRPr="009D3BB6">
              <w:rPr>
                <w:webHidden/>
              </w:rPr>
              <w:fldChar w:fldCharType="begin"/>
            </w:r>
            <w:r w:rsidR="00DA14FE" w:rsidRPr="009D3BB6">
              <w:rPr>
                <w:webHidden/>
              </w:rPr>
              <w:instrText xml:space="preserve"> PAGEREF _Toc425418882 \h </w:instrText>
            </w:r>
            <w:r w:rsidR="00DA14FE" w:rsidRPr="009D3BB6">
              <w:rPr>
                <w:webHidden/>
              </w:rPr>
            </w:r>
            <w:r w:rsidR="00DA14FE" w:rsidRPr="009D3BB6">
              <w:rPr>
                <w:webHidden/>
              </w:rPr>
              <w:fldChar w:fldCharType="separate"/>
            </w:r>
            <w:r w:rsidR="00DD116A">
              <w:rPr>
                <w:webHidden/>
              </w:rPr>
              <w:t>6</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3" w:history="1">
            <w:r w:rsidR="00DA14FE" w:rsidRPr="009D3BB6">
              <w:rPr>
                <w:rStyle w:val="Hyperlink"/>
              </w:rPr>
              <w:t>Publication and Presented abstracts</w:t>
            </w:r>
            <w:r w:rsidR="00DA14FE" w:rsidRPr="009D3BB6">
              <w:rPr>
                <w:webHidden/>
              </w:rPr>
              <w:tab/>
            </w:r>
            <w:r w:rsidR="00DA14FE" w:rsidRPr="009D3BB6">
              <w:rPr>
                <w:webHidden/>
              </w:rPr>
              <w:fldChar w:fldCharType="begin"/>
            </w:r>
            <w:r w:rsidR="00DA14FE" w:rsidRPr="009D3BB6">
              <w:rPr>
                <w:webHidden/>
              </w:rPr>
              <w:instrText xml:space="preserve"> PAGEREF _Toc425418883 \h </w:instrText>
            </w:r>
            <w:r w:rsidR="00DA14FE" w:rsidRPr="009D3BB6">
              <w:rPr>
                <w:webHidden/>
              </w:rPr>
            </w:r>
            <w:r w:rsidR="00DA14FE" w:rsidRPr="009D3BB6">
              <w:rPr>
                <w:webHidden/>
              </w:rPr>
              <w:fldChar w:fldCharType="separate"/>
            </w:r>
            <w:r w:rsidR="00DD116A">
              <w:rPr>
                <w:webHidden/>
              </w:rPr>
              <w:t>7</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4" w:history="1">
            <w:r w:rsidR="00DA14FE" w:rsidRPr="009D3BB6">
              <w:rPr>
                <w:rStyle w:val="Hyperlink"/>
              </w:rPr>
              <w:t>Thesis Overview</w:t>
            </w:r>
            <w:r w:rsidR="00DA14FE" w:rsidRPr="009D3BB6">
              <w:rPr>
                <w:webHidden/>
              </w:rPr>
              <w:tab/>
            </w:r>
            <w:r w:rsidR="00DA14FE" w:rsidRPr="009D3BB6">
              <w:rPr>
                <w:webHidden/>
              </w:rPr>
              <w:fldChar w:fldCharType="begin"/>
            </w:r>
            <w:r w:rsidR="00DA14FE" w:rsidRPr="009D3BB6">
              <w:rPr>
                <w:webHidden/>
              </w:rPr>
              <w:instrText xml:space="preserve"> PAGEREF _Toc425418884 \h </w:instrText>
            </w:r>
            <w:r w:rsidR="00DA14FE" w:rsidRPr="009D3BB6">
              <w:rPr>
                <w:webHidden/>
              </w:rPr>
            </w:r>
            <w:r w:rsidR="00DA14FE" w:rsidRPr="009D3BB6">
              <w:rPr>
                <w:webHidden/>
              </w:rPr>
              <w:fldChar w:fldCharType="separate"/>
            </w:r>
            <w:r w:rsidR="00DD116A">
              <w:rPr>
                <w:webHidden/>
              </w:rPr>
              <w:t>8</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5" w:history="1">
            <w:r w:rsidR="00DA14FE" w:rsidRPr="009D3BB6">
              <w:rPr>
                <w:rStyle w:val="Hyperlink"/>
              </w:rPr>
              <w:t>List of figures</w:t>
            </w:r>
            <w:r w:rsidR="00DA14FE" w:rsidRPr="009D3BB6">
              <w:rPr>
                <w:webHidden/>
              </w:rPr>
              <w:tab/>
            </w:r>
            <w:r w:rsidR="00DA14FE" w:rsidRPr="009D3BB6">
              <w:rPr>
                <w:webHidden/>
              </w:rPr>
              <w:fldChar w:fldCharType="begin"/>
            </w:r>
            <w:r w:rsidR="00DA14FE" w:rsidRPr="009D3BB6">
              <w:rPr>
                <w:webHidden/>
              </w:rPr>
              <w:instrText xml:space="preserve"> PAGEREF _Toc425418885 \h </w:instrText>
            </w:r>
            <w:r w:rsidR="00DA14FE" w:rsidRPr="009D3BB6">
              <w:rPr>
                <w:webHidden/>
              </w:rPr>
            </w:r>
            <w:r w:rsidR="00DA14FE" w:rsidRPr="009D3BB6">
              <w:rPr>
                <w:webHidden/>
              </w:rPr>
              <w:fldChar w:fldCharType="separate"/>
            </w:r>
            <w:r w:rsidR="00DD116A">
              <w:rPr>
                <w:webHidden/>
              </w:rPr>
              <w:t>9</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6" w:history="1">
            <w:r w:rsidR="00DA14FE" w:rsidRPr="009D3BB6">
              <w:rPr>
                <w:rStyle w:val="Hyperlink"/>
              </w:rPr>
              <w:t>List of tables</w:t>
            </w:r>
            <w:r w:rsidR="00DA14FE" w:rsidRPr="009D3BB6">
              <w:rPr>
                <w:webHidden/>
              </w:rPr>
              <w:tab/>
            </w:r>
            <w:r w:rsidR="00DA14FE" w:rsidRPr="009D3BB6">
              <w:rPr>
                <w:webHidden/>
              </w:rPr>
              <w:fldChar w:fldCharType="begin"/>
            </w:r>
            <w:r w:rsidR="00DA14FE" w:rsidRPr="009D3BB6">
              <w:rPr>
                <w:webHidden/>
              </w:rPr>
              <w:instrText xml:space="preserve"> PAGEREF _Toc425418886 \h </w:instrText>
            </w:r>
            <w:r w:rsidR="00DA14FE" w:rsidRPr="009D3BB6">
              <w:rPr>
                <w:webHidden/>
              </w:rPr>
            </w:r>
            <w:r w:rsidR="00DA14FE" w:rsidRPr="009D3BB6">
              <w:rPr>
                <w:webHidden/>
              </w:rPr>
              <w:fldChar w:fldCharType="separate"/>
            </w:r>
            <w:r w:rsidR="00DD116A">
              <w:rPr>
                <w:webHidden/>
              </w:rPr>
              <w:t>12</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7" w:history="1">
            <w:r w:rsidR="00DA14FE" w:rsidRPr="009D3BB6">
              <w:rPr>
                <w:rStyle w:val="Hyperlink"/>
              </w:rPr>
              <w:t>Abbreviations</w:t>
            </w:r>
            <w:r w:rsidR="00DA14FE" w:rsidRPr="009D3BB6">
              <w:rPr>
                <w:webHidden/>
              </w:rPr>
              <w:tab/>
            </w:r>
            <w:r w:rsidR="00DA14FE" w:rsidRPr="009D3BB6">
              <w:rPr>
                <w:webHidden/>
              </w:rPr>
              <w:fldChar w:fldCharType="begin"/>
            </w:r>
            <w:r w:rsidR="00DA14FE" w:rsidRPr="009D3BB6">
              <w:rPr>
                <w:webHidden/>
              </w:rPr>
              <w:instrText xml:space="preserve"> PAGEREF _Toc425418887 \h </w:instrText>
            </w:r>
            <w:r w:rsidR="00DA14FE" w:rsidRPr="009D3BB6">
              <w:rPr>
                <w:webHidden/>
              </w:rPr>
            </w:r>
            <w:r w:rsidR="00DA14FE" w:rsidRPr="009D3BB6">
              <w:rPr>
                <w:webHidden/>
              </w:rPr>
              <w:fldChar w:fldCharType="separate"/>
            </w:r>
            <w:r w:rsidR="00DD116A">
              <w:rPr>
                <w:webHidden/>
              </w:rPr>
              <w:t>14</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88" w:history="1">
            <w:r w:rsidR="00DA14FE" w:rsidRPr="009D3BB6">
              <w:rPr>
                <w:rStyle w:val="Hyperlink"/>
              </w:rPr>
              <w:t>Chapter one: Introduction to the thesis</w:t>
            </w:r>
            <w:r w:rsidR="00DA14FE" w:rsidRPr="009D3BB6">
              <w:rPr>
                <w:webHidden/>
              </w:rPr>
              <w:tab/>
            </w:r>
            <w:r w:rsidR="00DA14FE" w:rsidRPr="009D3BB6">
              <w:rPr>
                <w:webHidden/>
              </w:rPr>
              <w:fldChar w:fldCharType="begin"/>
            </w:r>
            <w:r w:rsidR="00DA14FE" w:rsidRPr="009D3BB6">
              <w:rPr>
                <w:webHidden/>
              </w:rPr>
              <w:instrText xml:space="preserve"> PAGEREF _Toc425418888 \h </w:instrText>
            </w:r>
            <w:r w:rsidR="00DA14FE" w:rsidRPr="009D3BB6">
              <w:rPr>
                <w:webHidden/>
              </w:rPr>
            </w:r>
            <w:r w:rsidR="00DA14FE" w:rsidRPr="009D3BB6">
              <w:rPr>
                <w:webHidden/>
              </w:rPr>
              <w:fldChar w:fldCharType="separate"/>
            </w:r>
            <w:r w:rsidR="00DD116A">
              <w:rPr>
                <w:webHidden/>
              </w:rPr>
              <w:t>17</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889" w:history="1">
            <w:r w:rsidR="00DA14FE" w:rsidRPr="009D3BB6">
              <w:rPr>
                <w:rStyle w:val="Hyperlink"/>
                <w:rFonts w:ascii="Arial" w:hAnsi="Arial" w:cs="Arial"/>
                <w:noProof/>
              </w:rPr>
              <w:t>Background</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_Toc425418889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17</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0" w:history="1">
            <w:r w:rsidR="00DA14FE" w:rsidRPr="009D3BB6">
              <w:rPr>
                <w:rStyle w:val="Hyperlink"/>
                <w:rFonts w:ascii="Arial" w:hAnsi="Arial" w:cs="Arial"/>
                <w:noProof/>
              </w:rPr>
              <w:t>Postmenopausal osteoporosis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17</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1" w:history="1">
            <w:r w:rsidR="00DA14FE" w:rsidRPr="009D3BB6">
              <w:rPr>
                <w:rStyle w:val="Hyperlink"/>
                <w:rFonts w:ascii="Arial" w:hAnsi="Arial" w:cs="Arial"/>
                <w:noProof/>
              </w:rPr>
              <w:t>Normal bone physiology</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18</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2" w:history="1">
            <w:r w:rsidR="00DA14FE" w:rsidRPr="009D3BB6">
              <w:rPr>
                <w:rStyle w:val="Hyperlink"/>
                <w:rFonts w:ascii="Arial" w:hAnsi="Arial" w:cs="Arial"/>
                <w:noProof/>
              </w:rPr>
              <w:t>Pathophysiology of postmenopausal osteoporosis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29</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3" w:history="1">
            <w:r w:rsidR="00DA14FE" w:rsidRPr="009D3BB6">
              <w:rPr>
                <w:rStyle w:val="Hyperlink"/>
                <w:rFonts w:ascii="Arial" w:hAnsi="Arial" w:cs="Arial"/>
                <w:noProof/>
              </w:rPr>
              <w:t>Secondary osteoporosis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32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4" w:history="1">
            <w:r w:rsidR="00DA14FE" w:rsidRPr="009D3BB6">
              <w:rPr>
                <w:rStyle w:val="Hyperlink"/>
                <w:rFonts w:ascii="Arial" w:hAnsi="Arial" w:cs="Arial"/>
                <w:noProof/>
              </w:rPr>
              <w:t>Bone Turnover Markers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32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5" w:history="1">
            <w:r w:rsidR="00DA14FE" w:rsidRPr="009D3BB6">
              <w:rPr>
                <w:rStyle w:val="Hyperlink"/>
                <w:rFonts w:ascii="Arial" w:hAnsi="Arial" w:cs="Arial"/>
                <w:noProof/>
              </w:rPr>
              <w:t>Treatments for Postmenopausal Osteoporosis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38</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6" w:history="1">
            <w:r w:rsidR="00DA14FE" w:rsidRPr="009D3BB6">
              <w:rPr>
                <w:rStyle w:val="Hyperlink"/>
                <w:rFonts w:ascii="Arial" w:hAnsi="Arial" w:cs="Arial"/>
                <w:noProof/>
              </w:rPr>
              <w:t>Clinical utility of bone turnover markers in postmenopausal osteoporosis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45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897" w:history="1">
            <w:r w:rsidR="00DA14FE" w:rsidRPr="009D3BB6">
              <w:rPr>
                <w:rStyle w:val="Hyperlink"/>
                <w:rFonts w:ascii="Arial" w:hAnsi="Arial" w:cs="Arial"/>
                <w:noProof/>
              </w:rPr>
              <w:t>Clinical utility of sclerostin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_Toc425418897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47</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898" w:history="1">
            <w:r w:rsidR="00DA14FE" w:rsidRPr="009D3BB6">
              <w:rPr>
                <w:rStyle w:val="Hyperlink"/>
              </w:rPr>
              <w:t>Justifications of the research</w:t>
            </w:r>
            <w:r w:rsidR="00DA14FE" w:rsidRPr="009D3BB6">
              <w:rPr>
                <w:webHidden/>
              </w:rPr>
              <w:tab/>
            </w:r>
            <w:r w:rsidR="00DA14FE" w:rsidRPr="009D3BB6">
              <w:rPr>
                <w:webHidden/>
              </w:rPr>
              <w:fldChar w:fldCharType="begin"/>
            </w:r>
            <w:r w:rsidR="00DA14FE" w:rsidRPr="009D3BB6">
              <w:rPr>
                <w:webHidden/>
              </w:rPr>
              <w:instrText xml:space="preserve"> PAGEREF _Toc425418898 \h </w:instrText>
            </w:r>
            <w:r w:rsidR="00DA14FE" w:rsidRPr="009D3BB6">
              <w:rPr>
                <w:webHidden/>
              </w:rPr>
            </w:r>
            <w:r w:rsidR="00DA14FE" w:rsidRPr="009D3BB6">
              <w:rPr>
                <w:webHidden/>
              </w:rPr>
              <w:fldChar w:fldCharType="separate"/>
            </w:r>
            <w:r w:rsidR="00DD116A">
              <w:rPr>
                <w:webHidden/>
              </w:rPr>
              <w:t>49</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899" w:history="1">
            <w:r w:rsidR="00DA14FE" w:rsidRPr="009D3BB6">
              <w:rPr>
                <w:rStyle w:val="Hyperlink"/>
              </w:rPr>
              <w:t>Thesis aims</w:t>
            </w:r>
            <w:r w:rsidR="00DA14FE" w:rsidRPr="009D3BB6">
              <w:rPr>
                <w:webHidden/>
              </w:rPr>
              <w:tab/>
            </w:r>
            <w:r w:rsidR="00DA14FE" w:rsidRPr="009D3BB6">
              <w:rPr>
                <w:webHidden/>
              </w:rPr>
              <w:fldChar w:fldCharType="begin"/>
            </w:r>
            <w:r w:rsidR="00DA14FE" w:rsidRPr="009D3BB6">
              <w:rPr>
                <w:webHidden/>
              </w:rPr>
              <w:instrText xml:space="preserve"> PAGEREF _Toc425418899 \h </w:instrText>
            </w:r>
            <w:r w:rsidR="00DA14FE" w:rsidRPr="009D3BB6">
              <w:rPr>
                <w:webHidden/>
              </w:rPr>
            </w:r>
            <w:r w:rsidR="00DA14FE" w:rsidRPr="009D3BB6">
              <w:rPr>
                <w:webHidden/>
              </w:rPr>
              <w:fldChar w:fldCharType="separate"/>
            </w:r>
            <w:r w:rsidR="00DD116A">
              <w:rPr>
                <w:webHidden/>
              </w:rPr>
              <w:t>51</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900" w:history="1">
            <w:r w:rsidR="00DA14FE" w:rsidRPr="009D3BB6">
              <w:rPr>
                <w:rStyle w:val="Hyperlink"/>
              </w:rPr>
              <w:t>Chapter 2: Methods</w:t>
            </w:r>
            <w:r w:rsidR="00DA14FE" w:rsidRPr="009D3BB6">
              <w:rPr>
                <w:webHidden/>
              </w:rPr>
              <w:tab/>
            </w:r>
            <w:r w:rsidR="00DA14FE" w:rsidRPr="009D3BB6">
              <w:rPr>
                <w:webHidden/>
              </w:rPr>
              <w:fldChar w:fldCharType="begin"/>
            </w:r>
            <w:r w:rsidR="00DA14FE" w:rsidRPr="009D3BB6">
              <w:rPr>
                <w:webHidden/>
              </w:rPr>
              <w:instrText xml:space="preserve"> PAGEREF _Toc425418900 \h </w:instrText>
            </w:r>
            <w:r w:rsidR="00DA14FE" w:rsidRPr="009D3BB6">
              <w:rPr>
                <w:webHidden/>
              </w:rPr>
            </w:r>
            <w:r w:rsidR="00DA14FE" w:rsidRPr="009D3BB6">
              <w:rPr>
                <w:webHidden/>
              </w:rPr>
              <w:fldChar w:fldCharType="separate"/>
            </w:r>
            <w:r w:rsidR="00DD116A">
              <w:rPr>
                <w:webHidden/>
              </w:rPr>
              <w:t>53</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01" w:history="1">
            <w:r w:rsidR="00DA14FE" w:rsidRPr="009D3BB6">
              <w:rPr>
                <w:rStyle w:val="Hyperlink"/>
                <w:rFonts w:ascii="Arial" w:hAnsi="Arial" w:cs="Arial"/>
                <w:noProof/>
              </w:rPr>
              <w:t>Study participants and patients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53</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02" w:history="1">
            <w:r w:rsidR="00DA14FE" w:rsidRPr="009D3BB6">
              <w:rPr>
                <w:rStyle w:val="Hyperlink"/>
                <w:rFonts w:ascii="Arial" w:hAnsi="Arial" w:cs="Arial"/>
                <w:noProof/>
              </w:rPr>
              <w:t>Biochemical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53</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3" w:history="1">
            <w:r w:rsidR="00DA14FE" w:rsidRPr="009D3BB6">
              <w:rPr>
                <w:rStyle w:val="Hyperlink"/>
                <w:rFonts w:ascii="Arial" w:hAnsi="Arial" w:cs="Arial"/>
                <w:noProof/>
              </w:rPr>
              <w:t>Sample collection, handling and storage</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53</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4" w:history="1">
            <w:r w:rsidR="00DA14FE" w:rsidRPr="009D3BB6">
              <w:rPr>
                <w:rStyle w:val="Hyperlink"/>
                <w:rFonts w:ascii="Arial" w:hAnsi="Arial" w:cs="Arial"/>
                <w:noProof/>
              </w:rPr>
              <w:t>Statistical analysis: Method comparison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5" w:history="1">
            <w:r w:rsidR="00DA14FE" w:rsidRPr="009D3BB6">
              <w:rPr>
                <w:rStyle w:val="Hyperlink"/>
                <w:rFonts w:ascii="Arial" w:hAnsi="Arial" w:cs="Arial"/>
                <w:noProof/>
              </w:rPr>
              <w:t>Assays measuring bone turnover markers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6" w:history="1">
            <w:r w:rsidR="00DA14FE" w:rsidRPr="009D3BB6">
              <w:rPr>
                <w:rStyle w:val="Hyperlink"/>
                <w:rFonts w:ascii="Arial" w:hAnsi="Arial" w:cs="Arial"/>
                <w:noProof/>
              </w:rPr>
              <w:t>ChemiLuminescence Immunoassays (CLIA)</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54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7" w:history="1">
            <w:r w:rsidR="00DA14FE" w:rsidRPr="009D3BB6">
              <w:rPr>
                <w:rStyle w:val="Hyperlink"/>
                <w:rFonts w:ascii="Arial" w:hAnsi="Arial" w:cs="Arial"/>
                <w:noProof/>
              </w:rPr>
              <w:t>Competitive immunoassay: NTX</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67</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8" w:history="1">
            <w:r w:rsidR="00DA14FE" w:rsidRPr="009D3BB6">
              <w:rPr>
                <w:rStyle w:val="Hyperlink"/>
                <w:rFonts w:ascii="Arial" w:hAnsi="Arial" w:cs="Arial"/>
                <w:noProof/>
              </w:rPr>
              <w:t>Dry slide method: Creatinine</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69</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09" w:history="1">
            <w:r w:rsidR="00DA14FE" w:rsidRPr="009D3BB6">
              <w:rPr>
                <w:rStyle w:val="Hyperlink"/>
                <w:rFonts w:ascii="Arial" w:hAnsi="Arial" w:cs="Arial"/>
                <w:noProof/>
              </w:rPr>
              <w:t>Enzyme immunoassay: Sclerostin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_Toc425418909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71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0" w:history="1">
            <w:r w:rsidR="00DA14FE" w:rsidRPr="009D3BB6">
              <w:rPr>
                <w:rStyle w:val="Hyperlink"/>
                <w:rFonts w:ascii="Arial" w:hAnsi="Arial" w:cs="Arial"/>
                <w:noProof/>
              </w:rPr>
              <w:t>Reducing the variability associated with BTMs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76</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11" w:history="1">
            <w:r w:rsidR="00DA14FE" w:rsidRPr="009D3BB6">
              <w:rPr>
                <w:rStyle w:val="Hyperlink"/>
              </w:rPr>
              <w:t>Chapter 3: Normative data for biochemical markers of bone turnover</w:t>
            </w:r>
            <w:r w:rsidR="00DA14FE" w:rsidRPr="009D3BB6">
              <w:rPr>
                <w:webHidden/>
              </w:rPr>
              <w:tab/>
            </w:r>
            <w:r w:rsidR="00DA14FE" w:rsidRPr="009D3BB6">
              <w:rPr>
                <w:webHidden/>
              </w:rPr>
              <w:fldChar w:fldCharType="begin"/>
            </w:r>
            <w:r w:rsidR="00DA14FE" w:rsidRPr="009D3BB6">
              <w:rPr>
                <w:webHidden/>
              </w:rPr>
              <w:instrText xml:space="preserve"> PAGEREF _Toc425418911 \h </w:instrText>
            </w:r>
            <w:r w:rsidR="00DA14FE" w:rsidRPr="009D3BB6">
              <w:rPr>
                <w:webHidden/>
              </w:rPr>
            </w:r>
            <w:r w:rsidR="00DA14FE" w:rsidRPr="009D3BB6">
              <w:rPr>
                <w:webHidden/>
              </w:rPr>
              <w:fldChar w:fldCharType="separate"/>
            </w:r>
            <w:r w:rsidR="00DD116A">
              <w:rPr>
                <w:webHidden/>
              </w:rPr>
              <w:t>79</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12" w:history="1">
            <w:r w:rsidR="00DA14FE" w:rsidRPr="009D3BB6">
              <w:rPr>
                <w:rStyle w:val="Hyperlink"/>
                <w:rFonts w:ascii="Arial" w:hAnsi="Arial" w:cs="Arial"/>
                <w:noProof/>
              </w:rPr>
              <w:t>Introduction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79</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13" w:history="1">
            <w:r w:rsidR="00DA14FE" w:rsidRPr="009D3BB6">
              <w:rPr>
                <w:rStyle w:val="Hyperlink"/>
                <w:rFonts w:ascii="Arial" w:hAnsi="Arial" w:cs="Arial"/>
                <w:noProof/>
              </w:rPr>
              <w:t>Subjects and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80</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4" w:history="1">
            <w:r w:rsidR="00DA14FE" w:rsidRPr="009D3BB6">
              <w:rPr>
                <w:rStyle w:val="Hyperlink"/>
                <w:rFonts w:ascii="Arial" w:hAnsi="Arial" w:cs="Arial"/>
                <w:noProof/>
              </w:rPr>
              <w:t>Subjects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80</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5" w:history="1">
            <w:r w:rsidR="00DA14FE" w:rsidRPr="009D3BB6">
              <w:rPr>
                <w:rStyle w:val="Hyperlink"/>
                <w:rFonts w:ascii="Arial" w:hAnsi="Arial" w:cs="Arial"/>
                <w:noProof/>
              </w:rPr>
              <w:t>Laboratory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6" w:history="1">
            <w:r w:rsidR="00DA14FE" w:rsidRPr="009D3BB6">
              <w:rPr>
                <w:rStyle w:val="Hyperlink"/>
                <w:rFonts w:ascii="Arial" w:hAnsi="Arial" w:cs="Arial"/>
                <w:noProof/>
                <w:lang w:val="en-US"/>
              </w:rPr>
              <w:t>Medical conditions and treatments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7" w:history="1">
            <w:r w:rsidR="00DA14FE" w:rsidRPr="009D3BB6">
              <w:rPr>
                <w:rStyle w:val="Hyperlink"/>
                <w:rFonts w:ascii="Arial" w:hAnsi="Arial" w:cs="Arial"/>
                <w:noProof/>
                <w:lang w:val="en-US"/>
              </w:rPr>
              <w:t>Statistical analyses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82</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18" w:history="1">
            <w:r w:rsidR="00DA14FE" w:rsidRPr="009D3BB6">
              <w:rPr>
                <w:rStyle w:val="Hyperlink"/>
                <w:rFonts w:ascii="Arial" w:hAnsi="Arial" w:cs="Arial"/>
                <w:noProof/>
                <w:lang w:val="en-US"/>
              </w:rPr>
              <w:t>Results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19" w:history="1">
            <w:r w:rsidR="00DA14FE" w:rsidRPr="009D3BB6">
              <w:rPr>
                <w:rStyle w:val="Hyperlink"/>
                <w:rFonts w:ascii="Arial" w:hAnsi="Arial" w:cs="Arial"/>
                <w:noProof/>
                <w:lang w:val="en-US"/>
              </w:rPr>
              <w:t>Subject characteristics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_Toc425418919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0" w:history="1">
            <w:r w:rsidR="00DA14FE" w:rsidRPr="009D3BB6">
              <w:rPr>
                <w:rStyle w:val="Hyperlink"/>
                <w:rFonts w:ascii="Arial" w:hAnsi="Arial" w:cs="Arial"/>
                <w:noProof/>
                <w:lang w:val="en-US"/>
              </w:rPr>
              <w:t>Effects of diseases and treatments on bone turnover markers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83</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1" w:history="1">
            <w:r w:rsidR="00DA14FE" w:rsidRPr="009D3BB6">
              <w:rPr>
                <w:rStyle w:val="Hyperlink"/>
                <w:rFonts w:ascii="Arial" w:hAnsi="Arial" w:cs="Arial"/>
                <w:noProof/>
                <w:lang w:val="en-US"/>
              </w:rPr>
              <w:t>Healthy reference intervals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2" w:history="1">
            <w:r w:rsidR="00DA14FE" w:rsidRPr="009D3BB6">
              <w:rPr>
                <w:rStyle w:val="Hyperlink"/>
                <w:rFonts w:ascii="Arial" w:hAnsi="Arial" w:cs="Arial"/>
                <w:noProof/>
              </w:rPr>
              <w:t>Determinants of BTMs in healthy postmenopausal women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86</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23" w:history="1">
            <w:r w:rsidR="00DA14FE" w:rsidRPr="009D3BB6">
              <w:rPr>
                <w:rStyle w:val="Hyperlink"/>
                <w:rFonts w:ascii="Arial" w:hAnsi="Arial" w:cs="Arial"/>
                <w:noProof/>
              </w:rPr>
              <w:t>Discussions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88</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24" w:history="1">
            <w:r w:rsidR="00DA14FE" w:rsidRPr="009D3BB6">
              <w:rPr>
                <w:rStyle w:val="Hyperlink"/>
              </w:rPr>
              <w:t>Chapter 4: Clinical utility of bone balance and bone turnover in postmenopausal women</w:t>
            </w:r>
            <w:r w:rsidR="00DA14FE" w:rsidRPr="009D3BB6">
              <w:rPr>
                <w:webHidden/>
              </w:rPr>
              <w:tab/>
            </w:r>
            <w:r w:rsidR="00DA14FE" w:rsidRPr="009D3BB6">
              <w:rPr>
                <w:webHidden/>
              </w:rPr>
              <w:fldChar w:fldCharType="begin"/>
            </w:r>
            <w:r w:rsidR="00DA14FE" w:rsidRPr="009D3BB6">
              <w:rPr>
                <w:webHidden/>
              </w:rPr>
              <w:instrText xml:space="preserve"> PAGEREF _Toc425418924 \h </w:instrText>
            </w:r>
            <w:r w:rsidR="00DA14FE" w:rsidRPr="009D3BB6">
              <w:rPr>
                <w:webHidden/>
              </w:rPr>
            </w:r>
            <w:r w:rsidR="00DA14FE" w:rsidRPr="009D3BB6">
              <w:rPr>
                <w:webHidden/>
              </w:rPr>
              <w:fldChar w:fldCharType="separate"/>
            </w:r>
            <w:r w:rsidR="00DD116A">
              <w:rPr>
                <w:webHidden/>
              </w:rPr>
              <w:t>90</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25" w:history="1">
            <w:r w:rsidR="00DA14FE" w:rsidRPr="009D3BB6">
              <w:rPr>
                <w:rStyle w:val="Hyperlink"/>
                <w:rFonts w:ascii="Arial" w:hAnsi="Arial" w:cs="Arial"/>
                <w:noProof/>
              </w:rPr>
              <w:t>Introduction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90</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26" w:history="1">
            <w:r w:rsidR="00DA14FE" w:rsidRPr="009D3BB6">
              <w:rPr>
                <w:rStyle w:val="Hyperlink"/>
                <w:rFonts w:ascii="Arial" w:hAnsi="Arial" w:cs="Arial"/>
                <w:noProof/>
              </w:rPr>
              <w:t>Subjects and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7" w:history="1">
            <w:r w:rsidR="00DA14FE" w:rsidRPr="009D3BB6">
              <w:rPr>
                <w:rStyle w:val="Hyperlink"/>
                <w:rFonts w:ascii="Arial" w:hAnsi="Arial" w:cs="Arial"/>
                <w:noProof/>
              </w:rPr>
              <w:t>Subjects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8" w:history="1">
            <w:r w:rsidR="00DA14FE" w:rsidRPr="009D3BB6">
              <w:rPr>
                <w:rStyle w:val="Hyperlink"/>
                <w:rFonts w:ascii="Arial" w:hAnsi="Arial" w:cs="Arial"/>
                <w:noProof/>
              </w:rPr>
              <w:t>Laboratory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29" w:history="1">
            <w:r w:rsidR="00DA14FE" w:rsidRPr="009D3BB6">
              <w:rPr>
                <w:rStyle w:val="Hyperlink"/>
                <w:rFonts w:ascii="Arial" w:hAnsi="Arial" w:cs="Arial"/>
                <w:noProof/>
              </w:rPr>
              <w:t>Statistical analyses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_Toc425418929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92</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0" w:history="1">
            <w:r w:rsidR="00DA14FE" w:rsidRPr="009D3BB6">
              <w:rPr>
                <w:rStyle w:val="Hyperlink"/>
                <w:rFonts w:ascii="Arial" w:hAnsi="Arial" w:cs="Arial"/>
                <w:noProof/>
              </w:rPr>
              <w:t>Results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31" w:history="1">
            <w:r w:rsidR="00DA14FE" w:rsidRPr="009D3BB6">
              <w:rPr>
                <w:rStyle w:val="Hyperlink"/>
                <w:rFonts w:ascii="Arial" w:hAnsi="Arial" w:cs="Arial"/>
                <w:noProof/>
              </w:rPr>
              <w:t>Bone balance and bone turnover in postmenopausal and premenopausal women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32" w:history="1">
            <w:r w:rsidR="00DA14FE" w:rsidRPr="009D3BB6">
              <w:rPr>
                <w:rStyle w:val="Hyperlink"/>
                <w:rFonts w:ascii="Arial" w:hAnsi="Arial" w:cs="Arial"/>
                <w:noProof/>
              </w:rPr>
              <w:t>Bone balance, bone turnover and total hip BMD assessment</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33" w:history="1">
            <w:r w:rsidR="00DA14FE" w:rsidRPr="009D3BB6">
              <w:rPr>
                <w:rStyle w:val="Hyperlink"/>
                <w:rFonts w:ascii="Arial" w:hAnsi="Arial" w:cs="Arial"/>
                <w:noProof/>
              </w:rPr>
              <w:t>Bone balance, bone turnover and fracture risk assessment</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96</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4" w:history="1">
            <w:r w:rsidR="00DA14FE" w:rsidRPr="009D3BB6">
              <w:rPr>
                <w:rStyle w:val="Hyperlink"/>
                <w:rFonts w:ascii="Arial" w:hAnsi="Arial" w:cs="Arial"/>
                <w:noProof/>
              </w:rPr>
              <w:t>Discussions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97</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5" w:history="1">
            <w:r w:rsidR="00DA14FE" w:rsidRPr="009D3BB6">
              <w:rPr>
                <w:rStyle w:val="Hyperlink"/>
                <w:rFonts w:ascii="Arial" w:hAnsi="Arial" w:cs="Arial"/>
                <w:noProof/>
              </w:rPr>
              <w:t>Conclusions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98</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36" w:history="1">
            <w:r w:rsidR="00DA14FE" w:rsidRPr="009D3BB6">
              <w:rPr>
                <w:rStyle w:val="Hyperlink"/>
              </w:rPr>
              <w:t>Chapter 5: The effect of antiresorptive treatments on biochemical markers of bone turnover</w:t>
            </w:r>
            <w:r w:rsidR="00DA14FE" w:rsidRPr="009D3BB6">
              <w:rPr>
                <w:webHidden/>
              </w:rPr>
              <w:tab/>
            </w:r>
            <w:r w:rsidR="00DA14FE" w:rsidRPr="009D3BB6">
              <w:rPr>
                <w:webHidden/>
              </w:rPr>
              <w:fldChar w:fldCharType="begin"/>
            </w:r>
            <w:r w:rsidR="00DA14FE" w:rsidRPr="009D3BB6">
              <w:rPr>
                <w:webHidden/>
              </w:rPr>
              <w:instrText xml:space="preserve"> PAGEREF _Toc425418936 \h </w:instrText>
            </w:r>
            <w:r w:rsidR="00DA14FE" w:rsidRPr="009D3BB6">
              <w:rPr>
                <w:webHidden/>
              </w:rPr>
            </w:r>
            <w:r w:rsidR="00DA14FE" w:rsidRPr="009D3BB6">
              <w:rPr>
                <w:webHidden/>
              </w:rPr>
              <w:fldChar w:fldCharType="separate"/>
            </w:r>
            <w:r w:rsidR="00DD116A">
              <w:rPr>
                <w:webHidden/>
              </w:rPr>
              <w:t>100</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7" w:history="1">
            <w:r w:rsidR="00DA14FE" w:rsidRPr="009D3BB6">
              <w:rPr>
                <w:rStyle w:val="Hyperlink"/>
                <w:rFonts w:ascii="Arial" w:hAnsi="Arial" w:cs="Arial"/>
                <w:noProof/>
              </w:rPr>
              <w:t>Introduction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100</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8" w:history="1">
            <w:r w:rsidR="00DA14FE" w:rsidRPr="009D3BB6">
              <w:rPr>
                <w:rStyle w:val="Hyperlink"/>
                <w:rFonts w:ascii="Arial" w:hAnsi="Arial" w:cs="Arial"/>
                <w:noProof/>
              </w:rPr>
              <w:t>Study participants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101</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39" w:history="1">
            <w:r w:rsidR="00DA14FE" w:rsidRPr="009D3BB6">
              <w:rPr>
                <w:rStyle w:val="Hyperlink"/>
                <w:rFonts w:ascii="Arial" w:hAnsi="Arial" w:cs="Arial"/>
                <w:noProof/>
              </w:rPr>
              <w:t>Laboratory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_Toc425418939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102</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40" w:history="1">
            <w:r w:rsidR="00DA14FE" w:rsidRPr="009D3BB6">
              <w:rPr>
                <w:rStyle w:val="Hyperlink"/>
                <w:rFonts w:ascii="Arial" w:hAnsi="Arial" w:cs="Arial"/>
                <w:noProof/>
              </w:rPr>
              <w:t>Statistical analyses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103</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41" w:history="1">
            <w:r w:rsidR="00DA14FE" w:rsidRPr="009D3BB6">
              <w:rPr>
                <w:rStyle w:val="Hyperlink"/>
                <w:rFonts w:ascii="Arial" w:hAnsi="Arial" w:cs="Arial"/>
                <w:noProof/>
              </w:rPr>
              <w:t>Results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42" w:history="1">
            <w:r w:rsidR="00DA14FE" w:rsidRPr="009D3BB6">
              <w:rPr>
                <w:rStyle w:val="Hyperlink"/>
                <w:rFonts w:ascii="Arial" w:hAnsi="Arial" w:cs="Arial"/>
                <w:noProof/>
              </w:rPr>
              <w:t>The response of bone turnover markers to antiresorptive treatments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43" w:history="1">
            <w:r w:rsidR="00DA14FE" w:rsidRPr="009D3BB6">
              <w:rPr>
                <w:rStyle w:val="Hyperlink"/>
                <w:rFonts w:ascii="Arial" w:hAnsi="Arial" w:cs="Arial"/>
                <w:noProof/>
              </w:rPr>
              <w:t>Healthy premenopausal reference intervals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44" w:history="1">
            <w:r w:rsidR="00DA14FE" w:rsidRPr="009D3BB6">
              <w:rPr>
                <w:rStyle w:val="Hyperlink"/>
                <w:rFonts w:ascii="Arial" w:hAnsi="Arial" w:cs="Arial"/>
                <w:noProof/>
              </w:rPr>
              <w:t>The response of bone turnover markers to antiresorptive treatments relative to healthy premenopausal women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106</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45" w:history="1">
            <w:r w:rsidR="00DA14FE" w:rsidRPr="009D3BB6">
              <w:rPr>
                <w:rStyle w:val="Hyperlink"/>
                <w:rFonts w:ascii="Arial" w:hAnsi="Arial" w:cs="Arial"/>
                <w:noProof/>
              </w:rPr>
              <w:t>Discussion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112</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46" w:history="1">
            <w:r w:rsidR="00DA14FE" w:rsidRPr="009D3BB6">
              <w:rPr>
                <w:rStyle w:val="Hyperlink"/>
                <w:rFonts w:ascii="Arial" w:hAnsi="Arial" w:cs="Arial"/>
                <w:noProof/>
              </w:rPr>
              <w:t>Conclusion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114</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47" w:history="1">
            <w:r w:rsidR="00DA14FE" w:rsidRPr="009D3BB6">
              <w:rPr>
                <w:rStyle w:val="Hyperlink"/>
              </w:rPr>
              <w:t>Chapter 6: The mechanisms of action of bisphosphonates on bone turnover and bone balance in postmenopausal women with osteoporosis</w:t>
            </w:r>
            <w:r w:rsidR="00DA14FE" w:rsidRPr="009D3BB6">
              <w:rPr>
                <w:webHidden/>
              </w:rPr>
              <w:tab/>
            </w:r>
            <w:r w:rsidR="00DA14FE" w:rsidRPr="009D3BB6">
              <w:rPr>
                <w:webHidden/>
              </w:rPr>
              <w:fldChar w:fldCharType="begin"/>
            </w:r>
            <w:r w:rsidR="00DA14FE" w:rsidRPr="009D3BB6">
              <w:rPr>
                <w:webHidden/>
              </w:rPr>
              <w:instrText xml:space="preserve"> PAGEREF _Toc425418947 \h </w:instrText>
            </w:r>
            <w:r w:rsidR="00DA14FE" w:rsidRPr="009D3BB6">
              <w:rPr>
                <w:webHidden/>
              </w:rPr>
            </w:r>
            <w:r w:rsidR="00DA14FE" w:rsidRPr="009D3BB6">
              <w:rPr>
                <w:webHidden/>
              </w:rPr>
              <w:fldChar w:fldCharType="separate"/>
            </w:r>
            <w:r w:rsidR="00DD116A">
              <w:rPr>
                <w:webHidden/>
              </w:rPr>
              <w:t>115</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48" w:history="1">
            <w:r w:rsidR="00DA14FE" w:rsidRPr="009D3BB6">
              <w:rPr>
                <w:rStyle w:val="Hyperlink"/>
                <w:rFonts w:ascii="Arial" w:hAnsi="Arial" w:cs="Arial"/>
                <w:noProof/>
              </w:rPr>
              <w:t>Introduction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49" w:history="1">
            <w:r w:rsidR="00DA14FE" w:rsidRPr="009D3BB6">
              <w:rPr>
                <w:rStyle w:val="Hyperlink"/>
                <w:rFonts w:ascii="Arial" w:hAnsi="Arial" w:cs="Arial"/>
                <w:noProof/>
              </w:rPr>
              <w:t>Osteoclast precursor cells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_Toc425418949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0" w:history="1">
            <w:r w:rsidR="00DA14FE" w:rsidRPr="009D3BB6">
              <w:rPr>
                <w:rStyle w:val="Hyperlink"/>
                <w:rFonts w:ascii="Arial" w:hAnsi="Arial" w:cs="Arial"/>
                <w:noProof/>
              </w:rPr>
              <w:t>Circulating cytokines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1" w:history="1">
            <w:r w:rsidR="00DA14FE" w:rsidRPr="009D3BB6">
              <w:rPr>
                <w:rStyle w:val="Hyperlink"/>
                <w:rFonts w:ascii="Arial" w:hAnsi="Arial" w:cs="Arial"/>
                <w:noProof/>
              </w:rPr>
              <w:t>Bone turnover and bone balance</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116</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2" w:history="1">
            <w:r w:rsidR="00DA14FE" w:rsidRPr="009D3BB6">
              <w:rPr>
                <w:rStyle w:val="Hyperlink"/>
                <w:rFonts w:ascii="Arial" w:hAnsi="Arial" w:cs="Arial"/>
                <w:noProof/>
              </w:rPr>
              <w:t>The role of sclerostin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117</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53" w:history="1">
            <w:r w:rsidR="00DA14FE" w:rsidRPr="009D3BB6">
              <w:rPr>
                <w:rStyle w:val="Hyperlink"/>
                <w:rFonts w:ascii="Arial" w:hAnsi="Arial" w:cs="Arial"/>
                <w:noProof/>
              </w:rPr>
              <w:t>Study participants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119</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54" w:history="1">
            <w:r w:rsidR="00DA14FE" w:rsidRPr="009D3BB6">
              <w:rPr>
                <w:rStyle w:val="Hyperlink"/>
                <w:rFonts w:ascii="Arial" w:hAnsi="Arial" w:cs="Arial"/>
                <w:noProof/>
              </w:rPr>
              <w:t>Laboratory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120</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5" w:history="1">
            <w:r w:rsidR="00DA14FE" w:rsidRPr="009D3BB6">
              <w:rPr>
                <w:rStyle w:val="Hyperlink"/>
                <w:rFonts w:ascii="Arial" w:hAnsi="Arial" w:cs="Arial"/>
                <w:noProof/>
              </w:rPr>
              <w:t>Preparation and staining of peripheral blood mononuclear cells (PBMCs)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120</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6" w:history="1">
            <w:r w:rsidR="00DA14FE" w:rsidRPr="009D3BB6">
              <w:rPr>
                <w:rStyle w:val="Hyperlink"/>
                <w:rFonts w:ascii="Arial" w:hAnsi="Arial" w:cs="Arial"/>
                <w:noProof/>
              </w:rPr>
              <w:t>Flow cytometry</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_Toc425418956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121</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7" w:history="1">
            <w:r w:rsidR="00DA14FE" w:rsidRPr="009D3BB6">
              <w:rPr>
                <w:rStyle w:val="Hyperlink"/>
                <w:rFonts w:ascii="Arial" w:hAnsi="Arial" w:cs="Arial"/>
                <w:noProof/>
              </w:rPr>
              <w:t>Biochemistry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124</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58" w:history="1">
            <w:r w:rsidR="00DA14FE" w:rsidRPr="009D3BB6">
              <w:rPr>
                <w:rStyle w:val="Hyperlink"/>
                <w:rFonts w:ascii="Arial" w:hAnsi="Arial" w:cs="Arial"/>
                <w:noProof/>
              </w:rPr>
              <w:t>Statistical analysis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124</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59" w:history="1">
            <w:r w:rsidR="00DA14FE" w:rsidRPr="009D3BB6">
              <w:rPr>
                <w:rStyle w:val="Hyperlink"/>
                <w:rFonts w:ascii="Arial" w:hAnsi="Arial" w:cs="Arial"/>
                <w:noProof/>
              </w:rPr>
              <w:t>Results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_Toc425418959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60" w:history="1">
            <w:r w:rsidR="00DA14FE" w:rsidRPr="009D3BB6">
              <w:rPr>
                <w:rStyle w:val="Hyperlink"/>
                <w:rFonts w:ascii="Arial" w:hAnsi="Arial" w:cs="Arial"/>
                <w:noProof/>
              </w:rPr>
              <w:t>The effect of bisphosphonates on osteoclast precursor cells and circulating cytokines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125</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61" w:history="1">
            <w:r w:rsidR="00DA14FE" w:rsidRPr="009D3BB6">
              <w:rPr>
                <w:rStyle w:val="Hyperlink"/>
                <w:rFonts w:ascii="Arial" w:hAnsi="Arial" w:cs="Arial"/>
                <w:noProof/>
              </w:rPr>
              <w:t>The effect of bisphosphonates on CTX and PINP</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128</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62" w:history="1">
            <w:r w:rsidR="00DA14FE" w:rsidRPr="009D3BB6">
              <w:rPr>
                <w:rStyle w:val="Hyperlink"/>
                <w:rFonts w:ascii="Arial" w:hAnsi="Arial" w:cs="Arial"/>
                <w:noProof/>
              </w:rPr>
              <w:t>The effect of bisphosphonates on bone turnover and bone balance (the T-score bone marker method/plot)</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128</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63" w:history="1">
            <w:r w:rsidR="00DA14FE" w:rsidRPr="009D3BB6">
              <w:rPr>
                <w:rStyle w:val="Hyperlink"/>
                <w:rFonts w:ascii="Arial" w:hAnsi="Arial" w:cs="Arial"/>
                <w:noProof/>
              </w:rPr>
              <w:t>The effect of bisphosphonates on levels of circulating sclerostin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138</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64" w:history="1">
            <w:r w:rsidR="00DA14FE" w:rsidRPr="009D3BB6">
              <w:rPr>
                <w:rStyle w:val="Hyperlink"/>
                <w:rFonts w:ascii="Arial" w:hAnsi="Arial" w:cs="Arial"/>
                <w:noProof/>
              </w:rPr>
              <w:t>Discussions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140</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65" w:history="1">
            <w:r w:rsidR="00DA14FE" w:rsidRPr="009D3BB6">
              <w:rPr>
                <w:rStyle w:val="Hyperlink"/>
                <w:rFonts w:ascii="Arial" w:hAnsi="Arial" w:cs="Arial"/>
                <w:noProof/>
              </w:rPr>
              <w:t>Conclusion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145</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66" w:history="1">
            <w:r w:rsidR="00DA14FE" w:rsidRPr="009D3BB6">
              <w:rPr>
                <w:rStyle w:val="Hyperlink"/>
              </w:rPr>
              <w:t>Chapter 7: mechanisms of action of raloxifene on bone turnover and bone balance in postmenopausal women with osteoporosis</w:t>
            </w:r>
            <w:r w:rsidR="00DA14FE" w:rsidRPr="009D3BB6">
              <w:rPr>
                <w:webHidden/>
              </w:rPr>
              <w:tab/>
            </w:r>
            <w:r w:rsidR="00DA14FE" w:rsidRPr="009D3BB6">
              <w:rPr>
                <w:webHidden/>
              </w:rPr>
              <w:fldChar w:fldCharType="begin"/>
            </w:r>
            <w:r w:rsidR="00DA14FE" w:rsidRPr="009D3BB6">
              <w:rPr>
                <w:webHidden/>
              </w:rPr>
              <w:instrText xml:space="preserve"> PAGEREF _Toc425418966 \h </w:instrText>
            </w:r>
            <w:r w:rsidR="00DA14FE" w:rsidRPr="009D3BB6">
              <w:rPr>
                <w:webHidden/>
              </w:rPr>
            </w:r>
            <w:r w:rsidR="00DA14FE" w:rsidRPr="009D3BB6">
              <w:rPr>
                <w:webHidden/>
              </w:rPr>
              <w:fldChar w:fldCharType="separate"/>
            </w:r>
            <w:r w:rsidR="00DD116A">
              <w:rPr>
                <w:webHidden/>
              </w:rPr>
              <w:t>146</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67" w:history="1">
            <w:r w:rsidR="00DA14FE" w:rsidRPr="009D3BB6">
              <w:rPr>
                <w:rStyle w:val="Hyperlink"/>
                <w:rFonts w:ascii="Arial" w:hAnsi="Arial" w:cs="Arial"/>
                <w:noProof/>
              </w:rPr>
              <w:t>Introduction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146</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68" w:history="1">
            <w:r w:rsidR="00DA14FE" w:rsidRPr="009D3BB6">
              <w:rPr>
                <w:rStyle w:val="Hyperlink"/>
                <w:rFonts w:ascii="Arial" w:hAnsi="Arial" w:cs="Arial"/>
                <w:noProof/>
              </w:rPr>
              <w:t>Study participants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148</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69" w:history="1">
            <w:r w:rsidR="00DA14FE" w:rsidRPr="009D3BB6">
              <w:rPr>
                <w:rStyle w:val="Hyperlink"/>
                <w:rFonts w:ascii="Arial" w:hAnsi="Arial" w:cs="Arial"/>
                <w:noProof/>
              </w:rPr>
              <w:t>Laboratory methods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_Toc425418969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148</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0" w:history="1">
            <w:r w:rsidR="00DA14FE" w:rsidRPr="009D3BB6">
              <w:rPr>
                <w:rStyle w:val="Hyperlink"/>
                <w:rFonts w:ascii="Arial" w:hAnsi="Arial" w:cs="Arial"/>
                <w:noProof/>
              </w:rPr>
              <w:t>Statistical analysis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148</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1" w:history="1">
            <w:r w:rsidR="00DA14FE" w:rsidRPr="009D3BB6">
              <w:rPr>
                <w:rStyle w:val="Hyperlink"/>
                <w:rFonts w:ascii="Arial" w:hAnsi="Arial" w:cs="Arial"/>
                <w:noProof/>
              </w:rPr>
              <w:t>Results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149</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72" w:history="1">
            <w:r w:rsidR="00DA14FE" w:rsidRPr="009D3BB6">
              <w:rPr>
                <w:rStyle w:val="Hyperlink"/>
                <w:rFonts w:ascii="Arial" w:hAnsi="Arial" w:cs="Arial"/>
                <w:noProof/>
              </w:rPr>
              <w:t>The effect of raloxifene on bone turnover and bone balance (the T-score bone marker plot/method)</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_Toc425418972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149</w:t>
            </w:r>
            <w:r w:rsidR="00DA14FE" w:rsidRPr="009D3BB6">
              <w:rPr>
                <w:rFonts w:ascii="Arial" w:hAnsi="Arial" w:cs="Arial"/>
                <w:noProof/>
                <w:webHidden/>
              </w:rPr>
              <w:fldChar w:fldCharType="end"/>
            </w:r>
          </w:hyperlink>
        </w:p>
        <w:p w:rsidR="00DA14FE" w:rsidRPr="009D3BB6" w:rsidRDefault="008432B5" w:rsidP="00AD2E23">
          <w:pPr>
            <w:pStyle w:val="TOC3"/>
            <w:tabs>
              <w:tab w:val="right" w:leader="dot" w:pos="8494"/>
            </w:tabs>
            <w:jc w:val="both"/>
            <w:rPr>
              <w:rFonts w:ascii="Arial" w:eastAsiaTheme="minorEastAsia" w:hAnsi="Arial" w:cs="Arial"/>
              <w:noProof/>
              <w:lang w:eastAsia="en-GB"/>
            </w:rPr>
          </w:pPr>
          <w:hyperlink w:anchor="_Toc425418973" w:history="1">
            <w:r w:rsidR="00DA14FE" w:rsidRPr="009D3BB6">
              <w:rPr>
                <w:rStyle w:val="Hyperlink"/>
                <w:rFonts w:ascii="Arial" w:hAnsi="Arial" w:cs="Arial"/>
                <w:noProof/>
              </w:rPr>
              <w:t>The effect of raloxifene on levels of circulating sclerostin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_Toc425418973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155</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4" w:history="1">
            <w:r w:rsidR="00DA14FE" w:rsidRPr="009D3BB6">
              <w:rPr>
                <w:rStyle w:val="Hyperlink"/>
                <w:rFonts w:ascii="Arial" w:hAnsi="Arial" w:cs="Arial"/>
                <w:noProof/>
              </w:rPr>
              <w:t>Discussion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_Toc425418974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158</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5" w:history="1">
            <w:r w:rsidR="00DA14FE" w:rsidRPr="009D3BB6">
              <w:rPr>
                <w:rStyle w:val="Hyperlink"/>
                <w:rFonts w:ascii="Arial" w:hAnsi="Arial" w:cs="Arial"/>
                <w:noProof/>
              </w:rPr>
              <w:t>Conclusion</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_Toc425418975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159</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76" w:history="1">
            <w:r w:rsidR="00DA14FE" w:rsidRPr="009D3BB6">
              <w:rPr>
                <w:rStyle w:val="Hyperlink"/>
              </w:rPr>
              <w:t>Chapter 8: Overall discussions and conclusions</w:t>
            </w:r>
            <w:r w:rsidR="00DA14FE" w:rsidRPr="009D3BB6">
              <w:rPr>
                <w:webHidden/>
              </w:rPr>
              <w:tab/>
            </w:r>
            <w:r w:rsidR="00DA14FE" w:rsidRPr="009D3BB6">
              <w:rPr>
                <w:webHidden/>
              </w:rPr>
              <w:fldChar w:fldCharType="begin"/>
            </w:r>
            <w:r w:rsidR="00DA14FE" w:rsidRPr="009D3BB6">
              <w:rPr>
                <w:webHidden/>
              </w:rPr>
              <w:instrText xml:space="preserve"> PAGEREF _Toc425418976 \h </w:instrText>
            </w:r>
            <w:r w:rsidR="00DA14FE" w:rsidRPr="009D3BB6">
              <w:rPr>
                <w:webHidden/>
              </w:rPr>
            </w:r>
            <w:r w:rsidR="00DA14FE" w:rsidRPr="009D3BB6">
              <w:rPr>
                <w:webHidden/>
              </w:rPr>
              <w:fldChar w:fldCharType="separate"/>
            </w:r>
            <w:r w:rsidR="00DD116A">
              <w:rPr>
                <w:webHidden/>
              </w:rPr>
              <w:t>160</w:t>
            </w:r>
            <w:r w:rsidR="00DA14FE" w:rsidRPr="009D3BB6">
              <w:rPr>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7" w:history="1">
            <w:r w:rsidR="00DA14FE" w:rsidRPr="009D3BB6">
              <w:rPr>
                <w:rStyle w:val="Hyperlink"/>
                <w:rFonts w:ascii="Arial" w:hAnsi="Arial" w:cs="Arial"/>
                <w:noProof/>
              </w:rPr>
              <w:t>Key findings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_Toc425418977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160</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8" w:history="1">
            <w:r w:rsidR="00DA14FE" w:rsidRPr="009D3BB6">
              <w:rPr>
                <w:rStyle w:val="Hyperlink"/>
                <w:rFonts w:ascii="Arial" w:hAnsi="Arial" w:cs="Arial"/>
                <w:noProof/>
              </w:rPr>
              <w:t>What is new?</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_Toc425418978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160</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79" w:history="1">
            <w:r w:rsidR="00DA14FE" w:rsidRPr="009D3BB6">
              <w:rPr>
                <w:rStyle w:val="Hyperlink"/>
                <w:rFonts w:ascii="Arial" w:hAnsi="Arial" w:cs="Arial"/>
                <w:noProof/>
              </w:rPr>
              <w:t>Overall strengths of the thesis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_Toc425418979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165</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80" w:history="1">
            <w:r w:rsidR="00DA14FE" w:rsidRPr="009D3BB6">
              <w:rPr>
                <w:rStyle w:val="Hyperlink"/>
                <w:rFonts w:ascii="Arial" w:hAnsi="Arial" w:cs="Arial"/>
                <w:noProof/>
              </w:rPr>
              <w:t>Overall weaknesses of the thesis</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_Toc425418980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166</w:t>
            </w:r>
            <w:r w:rsidR="00DA14FE" w:rsidRPr="009D3BB6">
              <w:rPr>
                <w:rFonts w:ascii="Arial" w:hAnsi="Arial" w:cs="Arial"/>
                <w:noProof/>
                <w:webHidden/>
              </w:rPr>
              <w:fldChar w:fldCharType="end"/>
            </w:r>
          </w:hyperlink>
        </w:p>
        <w:p w:rsidR="00DA14FE" w:rsidRPr="009D3BB6" w:rsidRDefault="008432B5" w:rsidP="00AD2E23">
          <w:pPr>
            <w:pStyle w:val="TOC2"/>
            <w:tabs>
              <w:tab w:val="right" w:leader="dot" w:pos="8494"/>
            </w:tabs>
            <w:jc w:val="both"/>
            <w:rPr>
              <w:rFonts w:ascii="Arial" w:eastAsiaTheme="minorEastAsia" w:hAnsi="Arial" w:cs="Arial"/>
              <w:noProof/>
              <w:lang w:eastAsia="en-GB"/>
            </w:rPr>
          </w:pPr>
          <w:hyperlink w:anchor="_Toc425418981" w:history="1">
            <w:r w:rsidR="00DA14FE" w:rsidRPr="009D3BB6">
              <w:rPr>
                <w:rStyle w:val="Hyperlink"/>
                <w:rFonts w:ascii="Arial" w:hAnsi="Arial" w:cs="Arial"/>
                <w:noProof/>
              </w:rPr>
              <w:t>Future work</w:t>
            </w:r>
            <w:r w:rsidR="00DA14FE" w:rsidRPr="009D3BB6">
              <w:rPr>
                <w:rFonts w:ascii="Arial" w:hAnsi="Arial" w:cs="Arial"/>
                <w:noProof/>
                <w:webHidden/>
              </w:rPr>
              <w:tab/>
            </w:r>
            <w:r w:rsidR="00DA14FE" w:rsidRPr="009D3BB6">
              <w:rPr>
                <w:rFonts w:ascii="Arial" w:hAnsi="Arial" w:cs="Arial"/>
                <w:noProof/>
                <w:webHidden/>
              </w:rPr>
              <w:fldChar w:fldCharType="begin"/>
            </w:r>
            <w:r w:rsidR="00DA14FE" w:rsidRPr="009D3BB6">
              <w:rPr>
                <w:rFonts w:ascii="Arial" w:hAnsi="Arial" w:cs="Arial"/>
                <w:noProof/>
                <w:webHidden/>
              </w:rPr>
              <w:instrText xml:space="preserve"> PAGEREF _Toc425418981 \h </w:instrText>
            </w:r>
            <w:r w:rsidR="00DA14FE" w:rsidRPr="009D3BB6">
              <w:rPr>
                <w:rFonts w:ascii="Arial" w:hAnsi="Arial" w:cs="Arial"/>
                <w:noProof/>
                <w:webHidden/>
              </w:rPr>
            </w:r>
            <w:r w:rsidR="00DA14FE" w:rsidRPr="009D3BB6">
              <w:rPr>
                <w:rFonts w:ascii="Arial" w:hAnsi="Arial" w:cs="Arial"/>
                <w:noProof/>
                <w:webHidden/>
              </w:rPr>
              <w:fldChar w:fldCharType="separate"/>
            </w:r>
            <w:r w:rsidR="00DD116A">
              <w:rPr>
                <w:rFonts w:ascii="Arial" w:hAnsi="Arial" w:cs="Arial"/>
                <w:noProof/>
                <w:webHidden/>
              </w:rPr>
              <w:t>167</w:t>
            </w:r>
            <w:r w:rsidR="00DA14FE" w:rsidRPr="009D3BB6">
              <w:rPr>
                <w:rFonts w:ascii="Arial" w:hAnsi="Arial" w:cs="Arial"/>
                <w:noProof/>
                <w:webHidden/>
              </w:rPr>
              <w:fldChar w:fldCharType="end"/>
            </w:r>
          </w:hyperlink>
        </w:p>
        <w:p w:rsidR="00DA14FE" w:rsidRPr="009D3BB6" w:rsidRDefault="008432B5" w:rsidP="00AD2E23">
          <w:pPr>
            <w:pStyle w:val="TOC1"/>
            <w:jc w:val="both"/>
            <w:rPr>
              <w:rFonts w:eastAsiaTheme="minorEastAsia"/>
              <w:lang w:eastAsia="en-GB"/>
            </w:rPr>
          </w:pPr>
          <w:hyperlink w:anchor="_Toc425418982" w:history="1">
            <w:r w:rsidR="00DA14FE" w:rsidRPr="009D3BB6">
              <w:rPr>
                <w:rStyle w:val="Hyperlink"/>
              </w:rPr>
              <w:t>REFERENCES</w:t>
            </w:r>
            <w:r w:rsidR="00DA14FE" w:rsidRPr="009D3BB6">
              <w:rPr>
                <w:webHidden/>
              </w:rPr>
              <w:tab/>
            </w:r>
            <w:r w:rsidR="00DA14FE" w:rsidRPr="009D3BB6">
              <w:rPr>
                <w:webHidden/>
              </w:rPr>
              <w:fldChar w:fldCharType="begin"/>
            </w:r>
            <w:r w:rsidR="00DA14FE" w:rsidRPr="009D3BB6">
              <w:rPr>
                <w:webHidden/>
              </w:rPr>
              <w:instrText xml:space="preserve"> PAGEREF _Toc425418982 \h </w:instrText>
            </w:r>
            <w:r w:rsidR="00DA14FE" w:rsidRPr="009D3BB6">
              <w:rPr>
                <w:webHidden/>
              </w:rPr>
            </w:r>
            <w:r w:rsidR="00DA14FE" w:rsidRPr="009D3BB6">
              <w:rPr>
                <w:webHidden/>
              </w:rPr>
              <w:fldChar w:fldCharType="separate"/>
            </w:r>
            <w:r w:rsidR="00DD116A">
              <w:rPr>
                <w:webHidden/>
              </w:rPr>
              <w:t>170</w:t>
            </w:r>
            <w:r w:rsidR="00DA14FE" w:rsidRPr="009D3BB6">
              <w:rPr>
                <w:webHidden/>
              </w:rPr>
              <w:fldChar w:fldCharType="end"/>
            </w:r>
          </w:hyperlink>
        </w:p>
        <w:p w:rsidR="00DA14FE" w:rsidRPr="009D3BB6" w:rsidRDefault="008432B5" w:rsidP="00AD2E23">
          <w:pPr>
            <w:pStyle w:val="TOC1"/>
            <w:jc w:val="both"/>
            <w:rPr>
              <w:rFonts w:eastAsiaTheme="minorEastAsia"/>
              <w:lang w:eastAsia="en-GB"/>
            </w:rPr>
          </w:pPr>
          <w:hyperlink w:anchor="_Toc425418983" w:history="1">
            <w:r w:rsidR="00DA14FE" w:rsidRPr="009D3BB6">
              <w:rPr>
                <w:rStyle w:val="Hyperlink"/>
              </w:rPr>
              <w:t>Appendices</w:t>
            </w:r>
            <w:r w:rsidR="00DA14FE" w:rsidRPr="009D3BB6">
              <w:rPr>
                <w:webHidden/>
              </w:rPr>
              <w:tab/>
            </w:r>
            <w:r w:rsidR="00DA14FE" w:rsidRPr="009D3BB6">
              <w:rPr>
                <w:webHidden/>
              </w:rPr>
              <w:fldChar w:fldCharType="begin"/>
            </w:r>
            <w:r w:rsidR="00DA14FE" w:rsidRPr="009D3BB6">
              <w:rPr>
                <w:webHidden/>
              </w:rPr>
              <w:instrText xml:space="preserve"> PAGEREF _Toc425418983 \h </w:instrText>
            </w:r>
            <w:r w:rsidR="00DA14FE" w:rsidRPr="009D3BB6">
              <w:rPr>
                <w:webHidden/>
              </w:rPr>
            </w:r>
            <w:r w:rsidR="00DA14FE" w:rsidRPr="009D3BB6">
              <w:rPr>
                <w:webHidden/>
              </w:rPr>
              <w:fldChar w:fldCharType="separate"/>
            </w:r>
            <w:r w:rsidR="00DD116A">
              <w:rPr>
                <w:webHidden/>
              </w:rPr>
              <w:t>198</w:t>
            </w:r>
            <w:r w:rsidR="00DA14FE" w:rsidRPr="009D3BB6">
              <w:rPr>
                <w:webHidden/>
              </w:rPr>
              <w:fldChar w:fldCharType="end"/>
            </w:r>
          </w:hyperlink>
        </w:p>
        <w:p w:rsidR="00B05252" w:rsidRDefault="00B05252" w:rsidP="00AD2E23">
          <w:pPr>
            <w:jc w:val="both"/>
          </w:pPr>
          <w:r w:rsidRPr="009D3BB6">
            <w:rPr>
              <w:rFonts w:ascii="Arial" w:hAnsi="Arial" w:cs="Arial"/>
              <w:b/>
              <w:bCs/>
              <w:noProof/>
            </w:rPr>
            <w:fldChar w:fldCharType="end"/>
          </w:r>
        </w:p>
      </w:sdtContent>
    </w:sdt>
    <w:p w:rsidR="009D3BB6" w:rsidRPr="009D3BB6" w:rsidRDefault="009D3BB6" w:rsidP="009D3BB6">
      <w:bookmarkStart w:id="2" w:name="_Toc425418881"/>
    </w:p>
    <w:p w:rsidR="002D7AEB" w:rsidRDefault="002D7AEB" w:rsidP="00900F2C">
      <w:pPr>
        <w:pStyle w:val="Heading1"/>
      </w:pPr>
      <w:r>
        <w:lastRenderedPageBreak/>
        <w:t>Acknowledgements</w:t>
      </w:r>
      <w:bookmarkEnd w:id="2"/>
    </w:p>
    <w:p w:rsidR="00593541" w:rsidRPr="0077767C" w:rsidRDefault="00D203A3" w:rsidP="009143C3">
      <w:pPr>
        <w:spacing w:line="360" w:lineRule="auto"/>
        <w:jc w:val="both"/>
        <w:rPr>
          <w:rFonts w:ascii="Arial" w:hAnsi="Arial" w:cs="Arial"/>
        </w:rPr>
      </w:pPr>
      <w:r w:rsidRPr="0077767C">
        <w:rPr>
          <w:rFonts w:ascii="Arial" w:hAnsi="Arial" w:cs="Arial"/>
        </w:rPr>
        <w:t>Throughout my PhD I have had valuable support from several people</w:t>
      </w:r>
      <w:r w:rsidR="00593541" w:rsidRPr="0077767C">
        <w:rPr>
          <w:rFonts w:ascii="Arial" w:hAnsi="Arial" w:cs="Arial"/>
        </w:rPr>
        <w:t xml:space="preserve"> who I would like to acknowledge</w:t>
      </w:r>
      <w:r w:rsidRPr="0077767C">
        <w:rPr>
          <w:rFonts w:ascii="Arial" w:hAnsi="Arial" w:cs="Arial"/>
        </w:rPr>
        <w:t>.</w:t>
      </w:r>
      <w:r w:rsidR="007933FB" w:rsidRPr="0077767C">
        <w:rPr>
          <w:rFonts w:ascii="Arial" w:hAnsi="Arial" w:cs="Arial"/>
        </w:rPr>
        <w:t xml:space="preserve"> </w:t>
      </w:r>
    </w:p>
    <w:p w:rsidR="00D203A3" w:rsidRDefault="00593541" w:rsidP="009143C3">
      <w:pPr>
        <w:spacing w:line="360" w:lineRule="auto"/>
        <w:jc w:val="both"/>
        <w:rPr>
          <w:rFonts w:ascii="Arial" w:hAnsi="Arial" w:cs="Arial"/>
        </w:rPr>
      </w:pPr>
      <w:r w:rsidRPr="0077767C">
        <w:rPr>
          <w:rFonts w:ascii="Arial" w:hAnsi="Arial" w:cs="Arial"/>
        </w:rPr>
        <w:t xml:space="preserve">Firstly, I wish to express my thanks and appreciation to my Supervisor, Professor Richard Eastell. Over the years, Professor Eastell </w:t>
      </w:r>
      <w:r w:rsidR="00BA7682" w:rsidRPr="0077767C">
        <w:rPr>
          <w:rFonts w:ascii="Arial" w:hAnsi="Arial" w:cs="Arial"/>
        </w:rPr>
        <w:t>has guided and encouraged me in a way that has helped me</w:t>
      </w:r>
      <w:r w:rsidR="007E0237" w:rsidRPr="0077767C">
        <w:rPr>
          <w:rFonts w:ascii="Arial" w:hAnsi="Arial" w:cs="Arial"/>
        </w:rPr>
        <w:t xml:space="preserve"> progress and grow in confidence as a research scientist. </w:t>
      </w:r>
      <w:r w:rsidR="0077767C" w:rsidRPr="0077767C">
        <w:rPr>
          <w:rFonts w:ascii="Arial" w:hAnsi="Arial" w:cs="Arial"/>
        </w:rPr>
        <w:t>His enthusiasm and sea</w:t>
      </w:r>
      <w:r w:rsidR="007E0237" w:rsidRPr="0077767C">
        <w:rPr>
          <w:rFonts w:ascii="Arial" w:hAnsi="Arial" w:cs="Arial"/>
        </w:rPr>
        <w:t xml:space="preserve"> of knowledge in this area </w:t>
      </w:r>
      <w:r w:rsidR="0077767C" w:rsidRPr="0077767C">
        <w:rPr>
          <w:rFonts w:ascii="Arial" w:hAnsi="Arial" w:cs="Arial"/>
        </w:rPr>
        <w:t>has been truly inspiring. I am grateful for the opportunity to be working with him and very proud to be his student. Thank you for all your time, patience, advice, guidance and teaching and for having me as your student.</w:t>
      </w:r>
    </w:p>
    <w:p w:rsidR="00093AD5" w:rsidRDefault="00093AD5" w:rsidP="009143C3">
      <w:pPr>
        <w:spacing w:line="360" w:lineRule="auto"/>
        <w:jc w:val="both"/>
        <w:rPr>
          <w:rFonts w:ascii="Arial" w:hAnsi="Arial" w:cs="Arial"/>
        </w:rPr>
      </w:pPr>
      <w:r>
        <w:rPr>
          <w:rFonts w:ascii="Arial" w:hAnsi="Arial" w:cs="Arial"/>
        </w:rPr>
        <w:t>My next thank you goes to all of my colleagues at the Academic Unit of Bone Metabolism.</w:t>
      </w:r>
      <w:r w:rsidR="00D94589">
        <w:rPr>
          <w:rFonts w:ascii="Arial" w:hAnsi="Arial" w:cs="Arial"/>
        </w:rPr>
        <w:t xml:space="preserve"> You have been a solid support and I have learnt a great deal from you over my PhD years. A special thank you to</w:t>
      </w:r>
      <w:r w:rsidR="006548EE">
        <w:rPr>
          <w:rFonts w:ascii="Arial" w:hAnsi="Arial" w:cs="Arial"/>
        </w:rPr>
        <w:t xml:space="preserve"> my second supervisor,</w:t>
      </w:r>
      <w:r w:rsidR="00D94589">
        <w:rPr>
          <w:rFonts w:ascii="Arial" w:hAnsi="Arial" w:cs="Arial"/>
        </w:rPr>
        <w:t xml:space="preserve"> Dr Kim Naylor</w:t>
      </w:r>
      <w:r w:rsidR="006548EE">
        <w:rPr>
          <w:rFonts w:ascii="Arial" w:hAnsi="Arial" w:cs="Arial"/>
        </w:rPr>
        <w:t xml:space="preserve"> who has given m</w:t>
      </w:r>
      <w:r w:rsidR="008C2BD3">
        <w:rPr>
          <w:rFonts w:ascii="Arial" w:hAnsi="Arial" w:cs="Arial"/>
        </w:rPr>
        <w:t>e some excellent</w:t>
      </w:r>
      <w:r w:rsidR="006548EE">
        <w:rPr>
          <w:rFonts w:ascii="Arial" w:hAnsi="Arial" w:cs="Arial"/>
        </w:rPr>
        <w:t xml:space="preserve"> advice and support and has been there for me through thick and thin. There have been several technicians who have worked with me in the lab, I am grateful for their help and companionship. Particularly to Alexandria </w:t>
      </w:r>
      <w:r w:rsidR="008C2BD3">
        <w:rPr>
          <w:rFonts w:ascii="Arial" w:hAnsi="Arial" w:cs="Arial"/>
        </w:rPr>
        <w:t xml:space="preserve">Kilvington </w:t>
      </w:r>
      <w:r w:rsidR="006548EE">
        <w:rPr>
          <w:rFonts w:ascii="Arial" w:hAnsi="Arial" w:cs="Arial"/>
        </w:rPr>
        <w:t xml:space="preserve">and Jane </w:t>
      </w:r>
      <w:r w:rsidR="008C2BD3">
        <w:rPr>
          <w:rFonts w:ascii="Arial" w:hAnsi="Arial" w:cs="Arial"/>
        </w:rPr>
        <w:t xml:space="preserve">Goben </w:t>
      </w:r>
      <w:r w:rsidR="006548EE">
        <w:rPr>
          <w:rFonts w:ascii="Arial" w:hAnsi="Arial" w:cs="Arial"/>
        </w:rPr>
        <w:t>who have been working in the lab so that I could write up my thesis.</w:t>
      </w:r>
      <w:r w:rsidR="00303B5C">
        <w:rPr>
          <w:rFonts w:ascii="Arial" w:hAnsi="Arial" w:cs="Arial"/>
        </w:rPr>
        <w:t xml:space="preserve"> </w:t>
      </w:r>
    </w:p>
    <w:p w:rsidR="00A71734" w:rsidRDefault="00F34AB1" w:rsidP="009143C3">
      <w:pPr>
        <w:spacing w:line="360" w:lineRule="auto"/>
        <w:jc w:val="both"/>
        <w:rPr>
          <w:rFonts w:ascii="Arial" w:hAnsi="Arial" w:cs="Arial"/>
        </w:rPr>
      </w:pPr>
      <w:r>
        <w:rPr>
          <w:rFonts w:ascii="Arial" w:hAnsi="Arial" w:cs="Arial"/>
        </w:rPr>
        <w:t>As part of my</w:t>
      </w:r>
      <w:r w:rsidR="00A71734">
        <w:rPr>
          <w:rFonts w:ascii="Arial" w:hAnsi="Arial" w:cs="Arial"/>
        </w:rPr>
        <w:t xml:space="preserve"> PhD I </w:t>
      </w:r>
      <w:r>
        <w:rPr>
          <w:rFonts w:ascii="Arial" w:hAnsi="Arial" w:cs="Arial"/>
        </w:rPr>
        <w:t xml:space="preserve">published a paper and </w:t>
      </w:r>
      <w:r w:rsidR="00A71734">
        <w:rPr>
          <w:rFonts w:ascii="Arial" w:hAnsi="Arial" w:cs="Arial"/>
        </w:rPr>
        <w:t xml:space="preserve">I wish to thank my co-authors </w:t>
      </w:r>
      <w:r>
        <w:rPr>
          <w:rFonts w:ascii="Arial" w:hAnsi="Arial" w:cs="Arial"/>
        </w:rPr>
        <w:t xml:space="preserve">for their contributions and support they gave me during this process. </w:t>
      </w:r>
    </w:p>
    <w:p w:rsidR="00A71734" w:rsidRDefault="005D536E" w:rsidP="009143C3">
      <w:pPr>
        <w:spacing w:line="360" w:lineRule="auto"/>
        <w:jc w:val="both"/>
        <w:rPr>
          <w:rFonts w:ascii="Arial" w:hAnsi="Arial" w:cs="Arial"/>
        </w:rPr>
      </w:pPr>
      <w:r>
        <w:rPr>
          <w:rFonts w:ascii="Arial" w:hAnsi="Arial" w:cs="Arial"/>
        </w:rPr>
        <w:t>Finally, t</w:t>
      </w:r>
      <w:r w:rsidR="001A4873">
        <w:rPr>
          <w:rFonts w:ascii="Arial" w:hAnsi="Arial" w:cs="Arial"/>
        </w:rPr>
        <w:t>hank you to</w:t>
      </w:r>
      <w:r>
        <w:rPr>
          <w:rFonts w:ascii="Arial" w:hAnsi="Arial" w:cs="Arial"/>
        </w:rPr>
        <w:t>;</w:t>
      </w:r>
      <w:r w:rsidR="00853ACE">
        <w:rPr>
          <w:rFonts w:ascii="Arial" w:hAnsi="Arial" w:cs="Arial"/>
        </w:rPr>
        <w:t xml:space="preserve"> </w:t>
      </w:r>
    </w:p>
    <w:p w:rsidR="00853ACE" w:rsidRDefault="00A71734" w:rsidP="009143C3">
      <w:pPr>
        <w:pStyle w:val="ListParagraph"/>
        <w:numPr>
          <w:ilvl w:val="0"/>
          <w:numId w:val="43"/>
        </w:numPr>
        <w:spacing w:line="360" w:lineRule="auto"/>
        <w:jc w:val="both"/>
        <w:rPr>
          <w:rFonts w:ascii="Arial" w:hAnsi="Arial" w:cs="Arial"/>
        </w:rPr>
      </w:pPr>
      <w:r>
        <w:rPr>
          <w:rFonts w:ascii="Arial" w:hAnsi="Arial" w:cs="Arial"/>
        </w:rPr>
        <w:t xml:space="preserve">The sponsors of the two clinical trials: </w:t>
      </w:r>
      <w:r w:rsidR="00853ACE" w:rsidRPr="00A71734">
        <w:rPr>
          <w:rFonts w:ascii="Arial" w:hAnsi="Arial" w:cs="Arial"/>
        </w:rPr>
        <w:t xml:space="preserve">Warner Chilcott and Eli Lilly and Company </w:t>
      </w:r>
    </w:p>
    <w:p w:rsidR="00A71734" w:rsidRPr="00A71734" w:rsidRDefault="00A71734" w:rsidP="009143C3">
      <w:pPr>
        <w:pStyle w:val="ListParagraph"/>
        <w:numPr>
          <w:ilvl w:val="0"/>
          <w:numId w:val="43"/>
        </w:numPr>
        <w:autoSpaceDE w:val="0"/>
        <w:autoSpaceDN w:val="0"/>
        <w:adjustRightInd w:val="0"/>
        <w:spacing w:after="0" w:line="360" w:lineRule="auto"/>
        <w:ind w:left="714" w:hanging="357"/>
        <w:jc w:val="both"/>
        <w:rPr>
          <w:rFonts w:ascii="Arial" w:hAnsi="Arial" w:cs="Arial"/>
        </w:rPr>
      </w:pPr>
      <w:r w:rsidRPr="00A71734">
        <w:rPr>
          <w:rFonts w:ascii="Arial" w:hAnsi="Arial" w:cs="Arial"/>
        </w:rPr>
        <w:t>The sponsors of the OPUS study: Eli Lilly, Sanofi-aventis, Procter &amp; Gamble Pharmaceuticals, Hoffman-La Roche, Pfizer, and Novartis</w:t>
      </w:r>
    </w:p>
    <w:p w:rsidR="00A71734" w:rsidRPr="00A71734" w:rsidRDefault="001A4873" w:rsidP="009143C3">
      <w:pPr>
        <w:pStyle w:val="ListParagraph"/>
        <w:numPr>
          <w:ilvl w:val="0"/>
          <w:numId w:val="43"/>
        </w:numPr>
        <w:spacing w:line="360" w:lineRule="auto"/>
        <w:jc w:val="both"/>
        <w:rPr>
          <w:rFonts w:ascii="Arial" w:hAnsi="Arial" w:cs="Arial"/>
        </w:rPr>
      </w:pPr>
      <w:r w:rsidRPr="00A71734">
        <w:rPr>
          <w:rFonts w:ascii="Arial" w:hAnsi="Arial" w:cs="Arial"/>
        </w:rPr>
        <w:t>Immunodiagnostics Systems and TECOmedical Group for funding the iSYS-IDS bone turnover markers and sclerostin tests</w:t>
      </w:r>
    </w:p>
    <w:p w:rsidR="00543A1F" w:rsidRDefault="00A71734" w:rsidP="009143C3">
      <w:pPr>
        <w:pStyle w:val="ListParagraph"/>
        <w:numPr>
          <w:ilvl w:val="0"/>
          <w:numId w:val="43"/>
        </w:numPr>
        <w:spacing w:line="360" w:lineRule="auto"/>
        <w:jc w:val="both"/>
        <w:rPr>
          <w:rFonts w:ascii="Arial" w:hAnsi="Arial" w:cs="Arial"/>
        </w:rPr>
      </w:pPr>
      <w:r>
        <w:rPr>
          <w:rFonts w:ascii="Arial" w:hAnsi="Arial" w:cs="Arial"/>
        </w:rPr>
        <w:t xml:space="preserve">The </w:t>
      </w:r>
      <w:r w:rsidR="001A4873" w:rsidRPr="00A71734">
        <w:rPr>
          <w:rFonts w:ascii="Arial" w:hAnsi="Arial" w:cs="Arial"/>
        </w:rPr>
        <w:t xml:space="preserve">Sheffield Musculoskeletal Biobank committee for allowing me to have access to the research </w:t>
      </w:r>
      <w:r w:rsidR="003A5C00" w:rsidRPr="00A71734">
        <w:rPr>
          <w:rFonts w:ascii="Arial" w:hAnsi="Arial" w:cs="Arial"/>
        </w:rPr>
        <w:t>samples.</w:t>
      </w:r>
    </w:p>
    <w:p w:rsidR="00543A1F" w:rsidRPr="00543A1F" w:rsidRDefault="00543A1F" w:rsidP="009143C3">
      <w:pPr>
        <w:pStyle w:val="ListParagraph"/>
        <w:spacing w:line="360" w:lineRule="auto"/>
        <w:jc w:val="both"/>
        <w:rPr>
          <w:rFonts w:ascii="Arial" w:hAnsi="Arial" w:cs="Arial"/>
        </w:rPr>
      </w:pPr>
    </w:p>
    <w:p w:rsidR="007C64A9" w:rsidRDefault="007C64A9" w:rsidP="009143C3">
      <w:pPr>
        <w:pStyle w:val="Heading1"/>
        <w:jc w:val="both"/>
      </w:pPr>
    </w:p>
    <w:p w:rsidR="007C64A9" w:rsidRDefault="007C64A9" w:rsidP="00900F2C"/>
    <w:p w:rsidR="007C64A9" w:rsidRPr="007C64A9" w:rsidRDefault="007C64A9" w:rsidP="00900F2C"/>
    <w:p w:rsidR="002D7AEB" w:rsidRDefault="002D7AEB" w:rsidP="00900F2C">
      <w:pPr>
        <w:pStyle w:val="Heading1"/>
      </w:pPr>
      <w:bookmarkStart w:id="3" w:name="_Toc425418882"/>
      <w:r>
        <w:t>Contributions</w:t>
      </w:r>
      <w:bookmarkEnd w:id="3"/>
    </w:p>
    <w:p w:rsidR="00A049D2" w:rsidRPr="002F2E6E" w:rsidRDefault="00A049D2" w:rsidP="009143C3">
      <w:pPr>
        <w:spacing w:line="360" w:lineRule="auto"/>
        <w:jc w:val="both"/>
        <w:rPr>
          <w:rFonts w:ascii="Arial" w:hAnsi="Arial" w:cs="Arial"/>
        </w:rPr>
      </w:pPr>
      <w:r w:rsidRPr="002F2E6E">
        <w:rPr>
          <w:rFonts w:ascii="Arial" w:hAnsi="Arial" w:cs="Arial"/>
        </w:rPr>
        <w:t xml:space="preserve">The study </w:t>
      </w:r>
      <w:r w:rsidR="00543A1F" w:rsidRPr="002F2E6E">
        <w:rPr>
          <w:rFonts w:ascii="Arial" w:hAnsi="Arial" w:cs="Arial"/>
        </w:rPr>
        <w:t>protocols</w:t>
      </w:r>
      <w:r w:rsidRPr="002F2E6E">
        <w:rPr>
          <w:rFonts w:ascii="Arial" w:hAnsi="Arial" w:cs="Arial"/>
        </w:rPr>
        <w:t xml:space="preserve"> were previously written </w:t>
      </w:r>
      <w:r w:rsidR="003F4D58">
        <w:rPr>
          <w:rFonts w:ascii="Arial" w:hAnsi="Arial" w:cs="Arial"/>
        </w:rPr>
        <w:t>by the principal</w:t>
      </w:r>
      <w:r w:rsidR="002F2E6E" w:rsidRPr="002F2E6E">
        <w:rPr>
          <w:rFonts w:ascii="Arial" w:hAnsi="Arial" w:cs="Arial"/>
        </w:rPr>
        <w:t xml:space="preserve"> investigator, Professor Richard Eastell.</w:t>
      </w:r>
      <w:r w:rsidR="005C013D">
        <w:rPr>
          <w:rFonts w:ascii="Arial" w:hAnsi="Arial" w:cs="Arial"/>
        </w:rPr>
        <w:t xml:space="preserve"> The </w:t>
      </w:r>
      <w:r w:rsidR="003F4D58">
        <w:rPr>
          <w:rFonts w:ascii="Arial" w:hAnsi="Arial" w:cs="Arial"/>
        </w:rPr>
        <w:t xml:space="preserve">clinical work was performed by the </w:t>
      </w:r>
      <w:r w:rsidR="005C013D">
        <w:rPr>
          <w:rFonts w:ascii="Arial" w:hAnsi="Arial" w:cs="Arial"/>
        </w:rPr>
        <w:t xml:space="preserve">doctors and </w:t>
      </w:r>
      <w:r w:rsidR="003F4D58">
        <w:rPr>
          <w:rFonts w:ascii="Arial" w:hAnsi="Arial" w:cs="Arial"/>
        </w:rPr>
        <w:t xml:space="preserve">the </w:t>
      </w:r>
      <w:r w:rsidR="005C013D">
        <w:rPr>
          <w:rFonts w:ascii="Arial" w:hAnsi="Arial" w:cs="Arial"/>
        </w:rPr>
        <w:t>nurses</w:t>
      </w:r>
      <w:r w:rsidR="003F4D58">
        <w:rPr>
          <w:rFonts w:ascii="Arial" w:hAnsi="Arial" w:cs="Arial"/>
        </w:rPr>
        <w:t xml:space="preserve"> of the Academic Unit of Bone Metabolism, Sheffield, UK.</w:t>
      </w:r>
    </w:p>
    <w:p w:rsidR="00A049D2" w:rsidRPr="002F2E6E" w:rsidRDefault="00A049D2" w:rsidP="009143C3">
      <w:pPr>
        <w:spacing w:line="360" w:lineRule="auto"/>
        <w:jc w:val="both"/>
        <w:rPr>
          <w:rFonts w:ascii="Arial" w:hAnsi="Arial" w:cs="Arial"/>
        </w:rPr>
      </w:pPr>
      <w:r w:rsidRPr="002F2E6E">
        <w:rPr>
          <w:rFonts w:ascii="Arial" w:hAnsi="Arial" w:cs="Arial"/>
        </w:rPr>
        <w:lastRenderedPageBreak/>
        <w:t xml:space="preserve">I performed </w:t>
      </w:r>
      <w:r w:rsidR="002F2E6E" w:rsidRPr="002F2E6E">
        <w:rPr>
          <w:rFonts w:ascii="Arial" w:hAnsi="Arial" w:cs="Arial"/>
        </w:rPr>
        <w:t xml:space="preserve">the majority of </w:t>
      </w:r>
      <w:r w:rsidRPr="002F2E6E">
        <w:rPr>
          <w:rFonts w:ascii="Arial" w:hAnsi="Arial" w:cs="Arial"/>
        </w:rPr>
        <w:t>the BTM and sclerostin measurements with the assistance</w:t>
      </w:r>
      <w:r w:rsidR="00543A1F">
        <w:rPr>
          <w:rFonts w:ascii="Arial" w:hAnsi="Arial" w:cs="Arial"/>
        </w:rPr>
        <w:t xml:space="preserve"> from some </w:t>
      </w:r>
      <w:r w:rsidRPr="002F2E6E">
        <w:rPr>
          <w:rFonts w:ascii="Arial" w:hAnsi="Arial" w:cs="Arial"/>
        </w:rPr>
        <w:t xml:space="preserve">technical staff. </w:t>
      </w:r>
    </w:p>
    <w:p w:rsidR="00F34AB1" w:rsidRPr="002F2E6E" w:rsidRDefault="00F34AB1" w:rsidP="009143C3">
      <w:pPr>
        <w:spacing w:line="360" w:lineRule="auto"/>
        <w:jc w:val="both"/>
        <w:rPr>
          <w:rFonts w:ascii="Arial" w:hAnsi="Arial" w:cs="Arial"/>
        </w:rPr>
      </w:pPr>
      <w:r w:rsidRPr="002F2E6E">
        <w:rPr>
          <w:rFonts w:ascii="Arial" w:hAnsi="Arial" w:cs="Arial"/>
        </w:rPr>
        <w:t xml:space="preserve">I performed all of the preparation, staining and FACS analyses for quantifying the circulating osteoclast precursor cells. </w:t>
      </w:r>
      <w:r w:rsidR="00A049D2" w:rsidRPr="002F2E6E">
        <w:rPr>
          <w:rFonts w:ascii="Arial" w:hAnsi="Arial" w:cs="Arial"/>
        </w:rPr>
        <w:t>Mr Christopher Hoyle assisted in collating the data.</w:t>
      </w:r>
    </w:p>
    <w:p w:rsidR="002F2E6E" w:rsidRPr="002F2E6E" w:rsidRDefault="002F2E6E" w:rsidP="009143C3">
      <w:pPr>
        <w:autoSpaceDE w:val="0"/>
        <w:autoSpaceDN w:val="0"/>
        <w:adjustRightInd w:val="0"/>
        <w:spacing w:after="0" w:line="360" w:lineRule="auto"/>
        <w:jc w:val="both"/>
        <w:rPr>
          <w:rFonts w:ascii="Arial" w:hAnsi="Arial" w:cs="Arial"/>
        </w:rPr>
      </w:pPr>
      <w:r w:rsidRPr="002F2E6E">
        <w:rPr>
          <w:rFonts w:ascii="Arial" w:hAnsi="Arial" w:cs="Arial"/>
        </w:rPr>
        <w:t>I performed much of the statistical analyses and interpretation. Statistical support and advice for the multiple linear regression analysis and the T-score bone marker method was obtained from Dr Richard Jacques, University of Sheffield School of Health</w:t>
      </w:r>
    </w:p>
    <w:p w:rsidR="002F2E6E" w:rsidRPr="002F2E6E" w:rsidRDefault="002F2E6E" w:rsidP="009143C3">
      <w:pPr>
        <w:spacing w:line="360" w:lineRule="auto"/>
        <w:jc w:val="both"/>
        <w:rPr>
          <w:rFonts w:ascii="Arial" w:hAnsi="Arial" w:cs="Arial"/>
        </w:rPr>
      </w:pPr>
      <w:proofErr w:type="gramStart"/>
      <w:r w:rsidRPr="002F2E6E">
        <w:rPr>
          <w:rFonts w:ascii="Arial" w:hAnsi="Arial" w:cs="Arial"/>
        </w:rPr>
        <w:t>and</w:t>
      </w:r>
      <w:proofErr w:type="gramEnd"/>
      <w:r w:rsidRPr="002F2E6E">
        <w:rPr>
          <w:rFonts w:ascii="Arial" w:hAnsi="Arial" w:cs="Arial"/>
        </w:rPr>
        <w:t xml:space="preserve"> Related Research</w:t>
      </w:r>
    </w:p>
    <w:p w:rsidR="002F2E6E" w:rsidRPr="003A5C00" w:rsidRDefault="002F2E6E" w:rsidP="00900F2C"/>
    <w:p w:rsidR="007C64A9" w:rsidRDefault="007C64A9" w:rsidP="00900F2C">
      <w:pPr>
        <w:pStyle w:val="Heading1"/>
      </w:pPr>
    </w:p>
    <w:p w:rsidR="007C64A9" w:rsidRDefault="007C64A9" w:rsidP="00900F2C">
      <w:pPr>
        <w:pStyle w:val="Heading1"/>
      </w:pPr>
    </w:p>
    <w:p w:rsidR="007C64A9" w:rsidRDefault="007C64A9" w:rsidP="00900F2C">
      <w:pPr>
        <w:pStyle w:val="Heading1"/>
      </w:pPr>
    </w:p>
    <w:p w:rsidR="007C64A9" w:rsidRDefault="007C64A9" w:rsidP="00900F2C">
      <w:pPr>
        <w:pStyle w:val="Heading1"/>
      </w:pPr>
    </w:p>
    <w:p w:rsidR="007C64A9" w:rsidRDefault="007C64A9" w:rsidP="00900F2C">
      <w:pPr>
        <w:pStyle w:val="Heading1"/>
      </w:pPr>
    </w:p>
    <w:p w:rsidR="007C64A9" w:rsidRDefault="007C64A9" w:rsidP="00900F2C">
      <w:pPr>
        <w:pStyle w:val="Heading1"/>
      </w:pPr>
    </w:p>
    <w:p w:rsidR="007C64A9" w:rsidRDefault="007C64A9" w:rsidP="00900F2C">
      <w:pPr>
        <w:pStyle w:val="Heading1"/>
      </w:pPr>
    </w:p>
    <w:p w:rsidR="007C64A9" w:rsidRDefault="007C64A9" w:rsidP="00900F2C"/>
    <w:p w:rsidR="007C64A9" w:rsidRDefault="007C64A9" w:rsidP="00900F2C"/>
    <w:p w:rsidR="007C64A9" w:rsidRDefault="007C64A9" w:rsidP="00900F2C"/>
    <w:p w:rsidR="007C64A9" w:rsidRDefault="007C64A9" w:rsidP="00900F2C">
      <w:pPr>
        <w:pStyle w:val="Heading1"/>
        <w:rPr>
          <w:rFonts w:asciiTheme="minorHAnsi" w:eastAsiaTheme="minorHAnsi" w:hAnsiTheme="minorHAnsi" w:cstheme="minorBidi"/>
          <w:bCs w:val="0"/>
          <w:sz w:val="22"/>
          <w:szCs w:val="22"/>
          <w:u w:val="none"/>
        </w:rPr>
      </w:pPr>
    </w:p>
    <w:p w:rsidR="007C64A9" w:rsidRDefault="007C64A9" w:rsidP="00900F2C"/>
    <w:p w:rsidR="007C64A9" w:rsidRPr="007C64A9" w:rsidRDefault="007C64A9" w:rsidP="00900F2C"/>
    <w:p w:rsidR="002A07C0" w:rsidRDefault="00D90871" w:rsidP="00900F2C">
      <w:pPr>
        <w:pStyle w:val="Heading1"/>
      </w:pPr>
      <w:bookmarkStart w:id="4" w:name="_Toc425418883"/>
      <w:r>
        <w:t xml:space="preserve">Publication and </w:t>
      </w:r>
      <w:r w:rsidR="002A07C0">
        <w:t>Presented abstracts</w:t>
      </w:r>
      <w:bookmarkEnd w:id="4"/>
    </w:p>
    <w:p w:rsidR="00D90871" w:rsidRDefault="00D90871" w:rsidP="00900F2C"/>
    <w:p w:rsidR="00D90871" w:rsidRDefault="00D90871" w:rsidP="00900F2C">
      <w:pPr>
        <w:rPr>
          <w:rFonts w:ascii="Arial" w:hAnsi="Arial" w:cs="Arial"/>
          <w:b/>
        </w:rPr>
      </w:pPr>
      <w:r w:rsidRPr="00D90871">
        <w:rPr>
          <w:rFonts w:ascii="Arial" w:hAnsi="Arial" w:cs="Arial"/>
          <w:b/>
        </w:rPr>
        <w:t>Published paper</w:t>
      </w:r>
      <w:r w:rsidR="00282E8B">
        <w:rPr>
          <w:rFonts w:ascii="Arial" w:hAnsi="Arial" w:cs="Arial"/>
          <w:b/>
        </w:rPr>
        <w:t>:</w:t>
      </w:r>
    </w:p>
    <w:p w:rsidR="00A8637D" w:rsidRDefault="008432B5" w:rsidP="009143C3">
      <w:pPr>
        <w:shd w:val="clear" w:color="auto" w:fill="FFFFFF"/>
        <w:jc w:val="both"/>
        <w:rPr>
          <w:rFonts w:ascii="Arial" w:hAnsi="Arial" w:cs="Arial"/>
          <w:color w:val="000000" w:themeColor="text1"/>
        </w:rPr>
      </w:pPr>
      <w:hyperlink r:id="rId8" w:history="1">
        <w:r w:rsidR="00D90871" w:rsidRPr="00D90871">
          <w:rPr>
            <w:rStyle w:val="highlight2"/>
            <w:rFonts w:ascii="Arial" w:hAnsi="Arial" w:cs="Arial"/>
            <w:b/>
            <w:color w:val="000000" w:themeColor="text1"/>
          </w:rPr>
          <w:t>Gossiel F</w:t>
        </w:r>
      </w:hyperlink>
      <w:r w:rsidR="00D90871" w:rsidRPr="00D90871">
        <w:rPr>
          <w:rFonts w:ascii="Arial" w:hAnsi="Arial" w:cs="Arial"/>
          <w:color w:val="000000" w:themeColor="text1"/>
        </w:rPr>
        <w:t xml:space="preserve">, </w:t>
      </w:r>
      <w:hyperlink r:id="rId9" w:history="1">
        <w:r w:rsidR="00D90871" w:rsidRPr="00D90871">
          <w:rPr>
            <w:rFonts w:ascii="Arial" w:hAnsi="Arial" w:cs="Arial"/>
            <w:color w:val="000000" w:themeColor="text1"/>
          </w:rPr>
          <w:t>Finigan J</w:t>
        </w:r>
      </w:hyperlink>
      <w:r w:rsidR="00D90871" w:rsidRPr="00D90871">
        <w:rPr>
          <w:rFonts w:ascii="Arial" w:hAnsi="Arial" w:cs="Arial"/>
          <w:color w:val="000000" w:themeColor="text1"/>
        </w:rPr>
        <w:t xml:space="preserve">, </w:t>
      </w:r>
      <w:hyperlink r:id="rId10" w:history="1">
        <w:r w:rsidR="00D90871" w:rsidRPr="00D90871">
          <w:rPr>
            <w:rFonts w:ascii="Arial" w:hAnsi="Arial" w:cs="Arial"/>
            <w:color w:val="000000" w:themeColor="text1"/>
          </w:rPr>
          <w:t>Jacques R</w:t>
        </w:r>
      </w:hyperlink>
      <w:r w:rsidR="00D90871" w:rsidRPr="00D90871">
        <w:rPr>
          <w:rFonts w:ascii="Arial" w:hAnsi="Arial" w:cs="Arial"/>
          <w:color w:val="000000" w:themeColor="text1"/>
        </w:rPr>
        <w:t xml:space="preserve">, </w:t>
      </w:r>
      <w:hyperlink r:id="rId11" w:history="1">
        <w:r w:rsidR="00D90871" w:rsidRPr="00D90871">
          <w:rPr>
            <w:rFonts w:ascii="Arial" w:hAnsi="Arial" w:cs="Arial"/>
            <w:color w:val="000000" w:themeColor="text1"/>
          </w:rPr>
          <w:t>Reid D</w:t>
        </w:r>
      </w:hyperlink>
      <w:r w:rsidR="00D90871" w:rsidRPr="00D90871">
        <w:rPr>
          <w:rFonts w:ascii="Arial" w:hAnsi="Arial" w:cs="Arial"/>
          <w:color w:val="000000" w:themeColor="text1"/>
        </w:rPr>
        <w:t xml:space="preserve">, </w:t>
      </w:r>
      <w:hyperlink r:id="rId12" w:history="1">
        <w:r w:rsidR="00D90871" w:rsidRPr="00D90871">
          <w:rPr>
            <w:rFonts w:ascii="Arial" w:hAnsi="Arial" w:cs="Arial"/>
            <w:color w:val="000000" w:themeColor="text1"/>
          </w:rPr>
          <w:t>Felsenberg D</w:t>
        </w:r>
      </w:hyperlink>
      <w:r w:rsidR="00D90871" w:rsidRPr="00D90871">
        <w:rPr>
          <w:rFonts w:ascii="Arial" w:hAnsi="Arial" w:cs="Arial"/>
          <w:color w:val="000000" w:themeColor="text1"/>
        </w:rPr>
        <w:t xml:space="preserve">, </w:t>
      </w:r>
      <w:hyperlink r:id="rId13" w:history="1">
        <w:r w:rsidR="00D90871" w:rsidRPr="00D90871">
          <w:rPr>
            <w:rFonts w:ascii="Arial" w:hAnsi="Arial" w:cs="Arial"/>
            <w:color w:val="000000" w:themeColor="text1"/>
          </w:rPr>
          <w:t>Roux C</w:t>
        </w:r>
      </w:hyperlink>
      <w:r w:rsidR="00D90871" w:rsidRPr="00D90871">
        <w:rPr>
          <w:rFonts w:ascii="Arial" w:hAnsi="Arial" w:cs="Arial"/>
          <w:color w:val="000000" w:themeColor="text1"/>
        </w:rPr>
        <w:t xml:space="preserve">, </w:t>
      </w:r>
      <w:hyperlink r:id="rId14" w:history="1">
        <w:r w:rsidR="00D90871" w:rsidRPr="00D90871">
          <w:rPr>
            <w:rFonts w:ascii="Arial" w:hAnsi="Arial" w:cs="Arial"/>
            <w:color w:val="000000" w:themeColor="text1"/>
          </w:rPr>
          <w:t>Glueer C</w:t>
        </w:r>
      </w:hyperlink>
      <w:r w:rsidR="00D90871" w:rsidRPr="00D90871">
        <w:rPr>
          <w:rFonts w:ascii="Arial" w:hAnsi="Arial" w:cs="Arial"/>
          <w:color w:val="000000" w:themeColor="text1"/>
        </w:rPr>
        <w:t xml:space="preserve">, </w:t>
      </w:r>
      <w:hyperlink r:id="rId15" w:history="1">
        <w:r w:rsidR="00D90871" w:rsidRPr="00D90871">
          <w:rPr>
            <w:rFonts w:ascii="Arial" w:hAnsi="Arial" w:cs="Arial"/>
            <w:color w:val="000000" w:themeColor="text1"/>
          </w:rPr>
          <w:t>Eastell R</w:t>
        </w:r>
      </w:hyperlink>
      <w:r w:rsidR="00D90871" w:rsidRPr="00D90871">
        <w:rPr>
          <w:rFonts w:ascii="Arial" w:hAnsi="Arial" w:cs="Arial"/>
        </w:rPr>
        <w:t>.</w:t>
      </w:r>
      <w:r w:rsidR="00D90871">
        <w:rPr>
          <w:rFonts w:ascii="Arial" w:hAnsi="Arial" w:cs="Arial"/>
          <w:color w:val="000000" w:themeColor="text1"/>
        </w:rPr>
        <w:t xml:space="preserve"> </w:t>
      </w:r>
      <w:r w:rsidR="00D90871" w:rsidRPr="00D90871">
        <w:rPr>
          <w:rFonts w:ascii="Arial" w:hAnsi="Arial" w:cs="Arial"/>
          <w:color w:val="000000" w:themeColor="text1"/>
        </w:rPr>
        <w:t>Establishing reference intervals for bone turnover markers in healthy postmenopausal women in a nonfasting state</w:t>
      </w:r>
      <w:r w:rsidR="00D90871">
        <w:rPr>
          <w:rFonts w:ascii="Arial" w:hAnsi="Arial" w:cs="Arial"/>
        </w:rPr>
        <w:t xml:space="preserve">, </w:t>
      </w:r>
      <w:hyperlink r:id="rId16" w:tooltip="BoneKEy reports." w:history="1">
        <w:r w:rsidR="00D90871" w:rsidRPr="00D90871">
          <w:rPr>
            <w:rFonts w:ascii="Arial" w:hAnsi="Arial" w:cs="Arial"/>
            <w:color w:val="000000" w:themeColor="text1"/>
          </w:rPr>
          <w:t>Bonekey Rep.</w:t>
        </w:r>
      </w:hyperlink>
      <w:r w:rsidR="00D90871" w:rsidRPr="00D90871">
        <w:rPr>
          <w:rFonts w:ascii="Arial" w:hAnsi="Arial" w:cs="Arial"/>
          <w:color w:val="000000" w:themeColor="text1"/>
        </w:rPr>
        <w:t xml:space="preserve"> 2014 Sep 3</w:t>
      </w:r>
      <w:proofErr w:type="gramStart"/>
      <w:r w:rsidR="00D90871" w:rsidRPr="00D90871">
        <w:rPr>
          <w:rFonts w:ascii="Arial" w:hAnsi="Arial" w:cs="Arial"/>
          <w:color w:val="000000" w:themeColor="text1"/>
        </w:rPr>
        <w:t>;3:573</w:t>
      </w:r>
      <w:proofErr w:type="gramEnd"/>
      <w:r w:rsidR="00D90871" w:rsidRPr="00D90871">
        <w:rPr>
          <w:rFonts w:ascii="Arial" w:hAnsi="Arial" w:cs="Arial"/>
          <w:color w:val="000000" w:themeColor="text1"/>
        </w:rPr>
        <w:t xml:space="preserve">. </w:t>
      </w:r>
      <w:r w:rsidR="00A8637D">
        <w:rPr>
          <w:rFonts w:ascii="Arial" w:hAnsi="Arial" w:cs="Arial"/>
          <w:color w:val="000000" w:themeColor="text1"/>
        </w:rPr>
        <w:t>(September 2014 Featured Article)</w:t>
      </w:r>
    </w:p>
    <w:p w:rsidR="00A9102F" w:rsidRPr="00A9102F" w:rsidRDefault="00282E8B" w:rsidP="009143C3">
      <w:pPr>
        <w:shd w:val="clear" w:color="auto" w:fill="FFFFFF"/>
        <w:jc w:val="both"/>
        <w:rPr>
          <w:rFonts w:ascii="Arial" w:hAnsi="Arial" w:cs="Arial"/>
          <w:b/>
          <w:color w:val="000000" w:themeColor="text1"/>
        </w:rPr>
      </w:pPr>
      <w:r w:rsidRPr="00282E8B">
        <w:rPr>
          <w:rFonts w:ascii="Arial" w:hAnsi="Arial" w:cs="Arial"/>
          <w:b/>
          <w:color w:val="000000" w:themeColor="text1"/>
        </w:rPr>
        <w:t>Oral communications:</w:t>
      </w:r>
    </w:p>
    <w:p w:rsidR="00A9102F" w:rsidRPr="00F05269" w:rsidRDefault="00A9102F" w:rsidP="009143C3">
      <w:pPr>
        <w:pStyle w:val="Default"/>
        <w:jc w:val="both"/>
        <w:rPr>
          <w:rFonts w:ascii="Arial" w:eastAsiaTheme="minorHAnsi" w:hAnsi="Arial" w:cs="Arial"/>
          <w:sz w:val="22"/>
          <w:szCs w:val="22"/>
          <w:lang w:val="en-GB"/>
        </w:rPr>
      </w:pPr>
      <w:r w:rsidRPr="00F05269">
        <w:rPr>
          <w:rFonts w:ascii="Arial" w:hAnsi="Arial" w:cs="Arial"/>
          <w:b/>
          <w:sz w:val="22"/>
          <w:szCs w:val="22"/>
        </w:rPr>
        <w:t>Gossiel F</w:t>
      </w:r>
      <w:r w:rsidRPr="00F05269">
        <w:rPr>
          <w:rFonts w:ascii="Arial" w:hAnsi="Arial" w:cs="Arial"/>
          <w:sz w:val="22"/>
          <w:szCs w:val="22"/>
        </w:rPr>
        <w:t xml:space="preserve">, Hoyle C, McCloskey E.V, Walsh J.S, Peel N, Eastell R. </w:t>
      </w:r>
      <w:r w:rsidRPr="00F05269">
        <w:rPr>
          <w:rFonts w:ascii="Arial" w:eastAsiaTheme="minorHAnsi" w:hAnsi="Arial" w:cs="Arial"/>
          <w:color w:val="auto"/>
          <w:sz w:val="22"/>
          <w:szCs w:val="22"/>
          <w:lang w:val="en-GB"/>
        </w:rPr>
        <w:t xml:space="preserve">The Effect of Bisphosphonate Treatment on Osteoclast Precursor Cells in Postmenopausal Osteoporosis: The TRIO study. </w:t>
      </w:r>
      <w:r w:rsidRPr="00F05269">
        <w:rPr>
          <w:rFonts w:ascii="Arial" w:hAnsi="Arial" w:cs="Arial"/>
          <w:sz w:val="22"/>
          <w:szCs w:val="22"/>
        </w:rPr>
        <w:t>European Calcified Tissue Society Meeting 2014; Prague, Czech Republic</w:t>
      </w:r>
    </w:p>
    <w:p w:rsidR="00A9102F" w:rsidRDefault="00A9102F" w:rsidP="009143C3">
      <w:pPr>
        <w:spacing w:after="0" w:line="240" w:lineRule="auto"/>
        <w:jc w:val="both"/>
        <w:rPr>
          <w:rFonts w:ascii="Arial" w:hAnsi="Arial" w:cs="Arial"/>
          <w:b/>
        </w:rPr>
      </w:pPr>
    </w:p>
    <w:p w:rsidR="00282E8B" w:rsidRDefault="00282E8B" w:rsidP="009143C3">
      <w:pPr>
        <w:spacing w:after="0" w:line="240" w:lineRule="auto"/>
        <w:jc w:val="both"/>
        <w:rPr>
          <w:rFonts w:ascii="Arial" w:hAnsi="Arial" w:cs="Arial"/>
        </w:rPr>
      </w:pPr>
      <w:r w:rsidRPr="00282E8B">
        <w:rPr>
          <w:rFonts w:ascii="Arial" w:hAnsi="Arial" w:cs="Arial"/>
          <w:b/>
        </w:rPr>
        <w:t>Gossiel F</w:t>
      </w:r>
      <w:r w:rsidRPr="00282E8B">
        <w:rPr>
          <w:rFonts w:ascii="Arial" w:hAnsi="Arial" w:cs="Arial"/>
        </w:rPr>
        <w:t xml:space="preserve">, </w:t>
      </w:r>
      <w:hyperlink r:id="rId17" w:history="1">
        <w:r w:rsidRPr="00282E8B">
          <w:rPr>
            <w:rFonts w:ascii="Arial" w:hAnsi="Arial" w:cs="Arial"/>
            <w:color w:val="000000" w:themeColor="text1"/>
          </w:rPr>
          <w:t>Finigan J</w:t>
        </w:r>
      </w:hyperlink>
      <w:r w:rsidRPr="00282E8B">
        <w:rPr>
          <w:rFonts w:ascii="Arial" w:hAnsi="Arial" w:cs="Arial"/>
          <w:color w:val="000000" w:themeColor="text1"/>
        </w:rPr>
        <w:t xml:space="preserve">, </w:t>
      </w:r>
      <w:hyperlink r:id="rId18" w:history="1">
        <w:r w:rsidRPr="00282E8B">
          <w:rPr>
            <w:rFonts w:ascii="Arial" w:hAnsi="Arial" w:cs="Arial"/>
            <w:color w:val="000000" w:themeColor="text1"/>
          </w:rPr>
          <w:t>Jacques R</w:t>
        </w:r>
      </w:hyperlink>
      <w:r w:rsidRPr="00282E8B">
        <w:rPr>
          <w:rFonts w:ascii="Arial" w:hAnsi="Arial" w:cs="Arial"/>
          <w:color w:val="000000" w:themeColor="text1"/>
        </w:rPr>
        <w:t xml:space="preserve">, </w:t>
      </w:r>
      <w:hyperlink r:id="rId19" w:history="1">
        <w:r w:rsidRPr="00282E8B">
          <w:rPr>
            <w:rFonts w:ascii="Arial" w:hAnsi="Arial" w:cs="Arial"/>
            <w:color w:val="000000" w:themeColor="text1"/>
          </w:rPr>
          <w:t>Reid D</w:t>
        </w:r>
      </w:hyperlink>
      <w:r w:rsidRPr="00282E8B">
        <w:rPr>
          <w:rFonts w:ascii="Arial" w:hAnsi="Arial" w:cs="Arial"/>
          <w:color w:val="000000" w:themeColor="text1"/>
        </w:rPr>
        <w:t xml:space="preserve">, </w:t>
      </w:r>
      <w:hyperlink r:id="rId20" w:history="1">
        <w:r w:rsidRPr="00282E8B">
          <w:rPr>
            <w:rFonts w:ascii="Arial" w:hAnsi="Arial" w:cs="Arial"/>
            <w:color w:val="000000" w:themeColor="text1"/>
          </w:rPr>
          <w:t>Felsenberg D</w:t>
        </w:r>
      </w:hyperlink>
      <w:r w:rsidRPr="00282E8B">
        <w:rPr>
          <w:rFonts w:ascii="Arial" w:hAnsi="Arial" w:cs="Arial"/>
          <w:color w:val="000000" w:themeColor="text1"/>
        </w:rPr>
        <w:t xml:space="preserve">, </w:t>
      </w:r>
      <w:hyperlink r:id="rId21" w:history="1">
        <w:r w:rsidRPr="00282E8B">
          <w:rPr>
            <w:rFonts w:ascii="Arial" w:hAnsi="Arial" w:cs="Arial"/>
            <w:color w:val="000000" w:themeColor="text1"/>
          </w:rPr>
          <w:t>Roux C</w:t>
        </w:r>
      </w:hyperlink>
      <w:r w:rsidRPr="00282E8B">
        <w:rPr>
          <w:rFonts w:ascii="Arial" w:hAnsi="Arial" w:cs="Arial"/>
          <w:color w:val="000000" w:themeColor="text1"/>
        </w:rPr>
        <w:t xml:space="preserve">, </w:t>
      </w:r>
      <w:hyperlink r:id="rId22" w:history="1">
        <w:r w:rsidRPr="00282E8B">
          <w:rPr>
            <w:rFonts w:ascii="Arial" w:hAnsi="Arial" w:cs="Arial"/>
            <w:color w:val="000000" w:themeColor="text1"/>
          </w:rPr>
          <w:t>Glueer C</w:t>
        </w:r>
      </w:hyperlink>
      <w:r w:rsidRPr="00282E8B">
        <w:rPr>
          <w:rFonts w:ascii="Arial" w:hAnsi="Arial" w:cs="Arial"/>
          <w:color w:val="000000" w:themeColor="text1"/>
        </w:rPr>
        <w:t xml:space="preserve">, </w:t>
      </w:r>
      <w:hyperlink r:id="rId23" w:history="1">
        <w:r w:rsidRPr="00282E8B">
          <w:rPr>
            <w:rFonts w:ascii="Arial" w:hAnsi="Arial" w:cs="Arial"/>
            <w:color w:val="000000" w:themeColor="text1"/>
          </w:rPr>
          <w:t>Eastell R</w:t>
        </w:r>
      </w:hyperlink>
      <w:r w:rsidRPr="00282E8B">
        <w:rPr>
          <w:rFonts w:ascii="Arial" w:hAnsi="Arial" w:cs="Arial"/>
        </w:rPr>
        <w:t xml:space="preserve">. Bone Turnover and </w:t>
      </w:r>
      <w:r>
        <w:rPr>
          <w:rFonts w:ascii="Arial" w:hAnsi="Arial" w:cs="Arial"/>
        </w:rPr>
        <w:t>Bone Balance: Association with Fracture Risk in the OPUS S</w:t>
      </w:r>
      <w:r w:rsidRPr="00282E8B">
        <w:rPr>
          <w:rFonts w:ascii="Arial" w:hAnsi="Arial" w:cs="Arial"/>
        </w:rPr>
        <w:t>tudy. American Society for Bone and</w:t>
      </w:r>
      <w:r w:rsidR="0012421A">
        <w:rPr>
          <w:rFonts w:ascii="Arial" w:hAnsi="Arial" w:cs="Arial"/>
        </w:rPr>
        <w:t xml:space="preserve"> Mineral Research 2012</w:t>
      </w:r>
      <w:r w:rsidRPr="00282E8B">
        <w:rPr>
          <w:rFonts w:ascii="Arial" w:hAnsi="Arial" w:cs="Arial"/>
        </w:rPr>
        <w:t xml:space="preserve"> conference, </w:t>
      </w:r>
      <w:r w:rsidR="0012421A">
        <w:rPr>
          <w:rFonts w:ascii="Arial" w:hAnsi="Arial" w:cs="Arial"/>
        </w:rPr>
        <w:t>Minneapolis, US</w:t>
      </w:r>
    </w:p>
    <w:p w:rsidR="00142B9A" w:rsidRDefault="00142B9A" w:rsidP="009143C3">
      <w:pPr>
        <w:spacing w:after="0" w:line="240" w:lineRule="auto"/>
        <w:jc w:val="both"/>
        <w:rPr>
          <w:rFonts w:ascii="Arial" w:hAnsi="Arial" w:cs="Arial"/>
        </w:rPr>
      </w:pPr>
    </w:p>
    <w:p w:rsidR="0012421A" w:rsidRPr="00142B9A" w:rsidRDefault="00142B9A" w:rsidP="009143C3">
      <w:pPr>
        <w:jc w:val="both"/>
        <w:rPr>
          <w:rFonts w:ascii="Arial" w:hAnsi="Arial" w:cs="Arial"/>
          <w:color w:val="000000" w:themeColor="text1"/>
        </w:rPr>
      </w:pPr>
      <w:r w:rsidRPr="00282E8B">
        <w:rPr>
          <w:rFonts w:ascii="Arial" w:hAnsi="Arial" w:cs="Arial"/>
          <w:b/>
        </w:rPr>
        <w:t>Gossiel F</w:t>
      </w:r>
      <w:r w:rsidRPr="00282E8B">
        <w:rPr>
          <w:rFonts w:ascii="Arial" w:hAnsi="Arial" w:cs="Arial"/>
        </w:rPr>
        <w:t xml:space="preserve">, </w:t>
      </w:r>
      <w:hyperlink r:id="rId24" w:history="1">
        <w:r w:rsidRPr="00282E8B">
          <w:rPr>
            <w:rFonts w:ascii="Arial" w:hAnsi="Arial" w:cs="Arial"/>
            <w:color w:val="000000" w:themeColor="text1"/>
          </w:rPr>
          <w:t>Finigan J</w:t>
        </w:r>
      </w:hyperlink>
      <w:r w:rsidRPr="00282E8B">
        <w:rPr>
          <w:rFonts w:ascii="Arial" w:hAnsi="Arial" w:cs="Arial"/>
          <w:color w:val="000000" w:themeColor="text1"/>
        </w:rPr>
        <w:t xml:space="preserve">, </w:t>
      </w:r>
      <w:hyperlink r:id="rId25" w:history="1">
        <w:r w:rsidRPr="00282E8B">
          <w:rPr>
            <w:rFonts w:ascii="Arial" w:hAnsi="Arial" w:cs="Arial"/>
            <w:color w:val="000000" w:themeColor="text1"/>
          </w:rPr>
          <w:t>Jacques R</w:t>
        </w:r>
      </w:hyperlink>
      <w:r w:rsidRPr="00282E8B">
        <w:rPr>
          <w:rFonts w:ascii="Arial" w:hAnsi="Arial" w:cs="Arial"/>
          <w:color w:val="000000" w:themeColor="text1"/>
        </w:rPr>
        <w:t xml:space="preserve">, </w:t>
      </w:r>
      <w:hyperlink r:id="rId26" w:history="1">
        <w:r w:rsidRPr="00282E8B">
          <w:rPr>
            <w:rFonts w:ascii="Arial" w:hAnsi="Arial" w:cs="Arial"/>
            <w:color w:val="000000" w:themeColor="text1"/>
          </w:rPr>
          <w:t>Reid D</w:t>
        </w:r>
      </w:hyperlink>
      <w:r w:rsidRPr="00282E8B">
        <w:rPr>
          <w:rFonts w:ascii="Arial" w:hAnsi="Arial" w:cs="Arial"/>
          <w:color w:val="000000" w:themeColor="text1"/>
        </w:rPr>
        <w:t xml:space="preserve">, </w:t>
      </w:r>
      <w:hyperlink r:id="rId27" w:history="1">
        <w:r w:rsidRPr="00282E8B">
          <w:rPr>
            <w:rFonts w:ascii="Arial" w:hAnsi="Arial" w:cs="Arial"/>
            <w:color w:val="000000" w:themeColor="text1"/>
          </w:rPr>
          <w:t>Felsenberg D</w:t>
        </w:r>
      </w:hyperlink>
      <w:r w:rsidRPr="00282E8B">
        <w:rPr>
          <w:rFonts w:ascii="Arial" w:hAnsi="Arial" w:cs="Arial"/>
          <w:color w:val="000000" w:themeColor="text1"/>
        </w:rPr>
        <w:t xml:space="preserve">, </w:t>
      </w:r>
      <w:hyperlink r:id="rId28" w:history="1">
        <w:r w:rsidRPr="00282E8B">
          <w:rPr>
            <w:rFonts w:ascii="Arial" w:hAnsi="Arial" w:cs="Arial"/>
            <w:color w:val="000000" w:themeColor="text1"/>
          </w:rPr>
          <w:t>Roux C</w:t>
        </w:r>
      </w:hyperlink>
      <w:r w:rsidRPr="00282E8B">
        <w:rPr>
          <w:rFonts w:ascii="Arial" w:hAnsi="Arial" w:cs="Arial"/>
          <w:color w:val="000000" w:themeColor="text1"/>
        </w:rPr>
        <w:t xml:space="preserve">, </w:t>
      </w:r>
      <w:hyperlink r:id="rId29" w:history="1">
        <w:r w:rsidRPr="00282E8B">
          <w:rPr>
            <w:rFonts w:ascii="Arial" w:hAnsi="Arial" w:cs="Arial"/>
            <w:color w:val="000000" w:themeColor="text1"/>
          </w:rPr>
          <w:t>Glueer C</w:t>
        </w:r>
      </w:hyperlink>
      <w:r w:rsidRPr="00282E8B">
        <w:rPr>
          <w:rFonts w:ascii="Arial" w:hAnsi="Arial" w:cs="Arial"/>
          <w:color w:val="000000" w:themeColor="text1"/>
        </w:rPr>
        <w:t xml:space="preserve">, </w:t>
      </w:r>
      <w:hyperlink r:id="rId30" w:history="1">
        <w:r w:rsidRPr="00282E8B">
          <w:rPr>
            <w:rFonts w:ascii="Arial" w:hAnsi="Arial" w:cs="Arial"/>
            <w:color w:val="000000" w:themeColor="text1"/>
          </w:rPr>
          <w:t>Eastell R</w:t>
        </w:r>
      </w:hyperlink>
      <w:r>
        <w:rPr>
          <w:rFonts w:ascii="Arial" w:hAnsi="Arial" w:cs="Arial"/>
          <w:color w:val="000000" w:themeColor="text1"/>
        </w:rPr>
        <w:t xml:space="preserve">. </w:t>
      </w:r>
      <w:r w:rsidRPr="00142B9A">
        <w:rPr>
          <w:rFonts w:ascii="Arial" w:hAnsi="Arial" w:cs="Arial"/>
          <w:color w:val="000000" w:themeColor="text1"/>
          <w:lang w:val="en-US"/>
        </w:rPr>
        <w:t>Establishing Reference Intervals for B</w:t>
      </w:r>
      <w:r>
        <w:rPr>
          <w:rFonts w:ascii="Arial" w:hAnsi="Arial" w:cs="Arial"/>
          <w:color w:val="000000" w:themeColor="text1"/>
          <w:lang w:val="en-US"/>
        </w:rPr>
        <w:t xml:space="preserve">one Turnover Markers in Healthy </w:t>
      </w:r>
      <w:r w:rsidRPr="00142B9A">
        <w:rPr>
          <w:rFonts w:ascii="Arial" w:hAnsi="Arial" w:cs="Arial"/>
          <w:color w:val="000000" w:themeColor="text1"/>
          <w:lang w:val="en-US"/>
        </w:rPr>
        <w:t>Postmenopausal Women</w:t>
      </w:r>
      <w:r>
        <w:rPr>
          <w:rFonts w:ascii="Arial" w:hAnsi="Arial" w:cs="Arial"/>
          <w:color w:val="000000" w:themeColor="text1"/>
          <w:lang w:val="en-US"/>
        </w:rPr>
        <w:t xml:space="preserve">. </w:t>
      </w:r>
      <w:r>
        <w:rPr>
          <w:rFonts w:ascii="Arial" w:hAnsi="Arial" w:cs="Arial"/>
          <w:color w:val="000000" w:themeColor="text1"/>
        </w:rPr>
        <w:t>Osteoporosis and Bone Conference</w:t>
      </w:r>
      <w:r w:rsidRPr="00142B9A">
        <w:rPr>
          <w:rFonts w:ascii="Arial" w:hAnsi="Arial" w:cs="Arial"/>
          <w:color w:val="000000" w:themeColor="text1"/>
        </w:rPr>
        <w:t xml:space="preserve"> 2012</w:t>
      </w:r>
      <w:r w:rsidR="00A9102F">
        <w:rPr>
          <w:rFonts w:ascii="Arial" w:hAnsi="Arial" w:cs="Arial"/>
          <w:color w:val="000000" w:themeColor="text1"/>
        </w:rPr>
        <w:t xml:space="preserve">; </w:t>
      </w:r>
      <w:r>
        <w:rPr>
          <w:rFonts w:ascii="Arial" w:hAnsi="Arial" w:cs="Arial"/>
          <w:color w:val="000000" w:themeColor="text1"/>
        </w:rPr>
        <w:t>Manchester UK.</w:t>
      </w:r>
    </w:p>
    <w:p w:rsidR="0012421A" w:rsidRDefault="0012421A" w:rsidP="009143C3">
      <w:pPr>
        <w:jc w:val="both"/>
        <w:rPr>
          <w:rFonts w:ascii="Arial" w:hAnsi="Arial" w:cs="Arial"/>
        </w:rPr>
      </w:pPr>
      <w:r w:rsidRPr="0012421A">
        <w:rPr>
          <w:rFonts w:ascii="Arial" w:hAnsi="Arial" w:cs="Arial"/>
          <w:b/>
        </w:rPr>
        <w:t>Gossiel F</w:t>
      </w:r>
      <w:r w:rsidR="00142B9A">
        <w:rPr>
          <w:rFonts w:ascii="Arial" w:hAnsi="Arial" w:cs="Arial"/>
        </w:rPr>
        <w:t>,</w:t>
      </w:r>
      <w:r w:rsidRPr="0012421A">
        <w:rPr>
          <w:rFonts w:ascii="Arial" w:hAnsi="Arial" w:cs="Arial"/>
        </w:rPr>
        <w:t xml:space="preserve"> Lane</w:t>
      </w:r>
      <w:r w:rsidR="00142B9A">
        <w:rPr>
          <w:rFonts w:ascii="Arial" w:hAnsi="Arial" w:cs="Arial"/>
        </w:rPr>
        <w:t xml:space="preserve"> N.E, </w:t>
      </w:r>
      <w:r w:rsidRPr="0012421A">
        <w:rPr>
          <w:rFonts w:ascii="Arial" w:hAnsi="Arial" w:cs="Arial"/>
        </w:rPr>
        <w:t>Eastell</w:t>
      </w:r>
      <w:r w:rsidR="00142B9A">
        <w:rPr>
          <w:rFonts w:ascii="Arial" w:hAnsi="Arial" w:cs="Arial"/>
        </w:rPr>
        <w:t xml:space="preserve"> R</w:t>
      </w:r>
      <w:r w:rsidRPr="0012421A">
        <w:rPr>
          <w:rFonts w:ascii="Arial" w:hAnsi="Arial" w:cs="Arial"/>
        </w:rPr>
        <w:t>. The Effect of Glucocorticoid Therapy on Regulators of Bone Formation in Postmenopausal Women Treated with Teriparatide or Alendronate. American Society for Bone and Mineral Research 2011</w:t>
      </w:r>
      <w:r w:rsidR="00A9102F">
        <w:rPr>
          <w:rFonts w:ascii="Arial" w:hAnsi="Arial" w:cs="Arial"/>
        </w:rPr>
        <w:t>;</w:t>
      </w:r>
      <w:r w:rsidRPr="0012421A">
        <w:rPr>
          <w:rFonts w:ascii="Arial" w:hAnsi="Arial" w:cs="Arial"/>
        </w:rPr>
        <w:t xml:space="preserve"> San Diego</w:t>
      </w:r>
      <w:r>
        <w:rPr>
          <w:rFonts w:ascii="Arial" w:hAnsi="Arial" w:cs="Arial"/>
        </w:rPr>
        <w:t>, US.</w:t>
      </w:r>
    </w:p>
    <w:p w:rsidR="0012421A" w:rsidRPr="00282E8B" w:rsidRDefault="00142B9A" w:rsidP="00A8637D">
      <w:pPr>
        <w:jc w:val="both"/>
        <w:rPr>
          <w:rFonts w:ascii="Arial" w:hAnsi="Arial" w:cs="Arial"/>
        </w:rPr>
      </w:pPr>
      <w:r>
        <w:rPr>
          <w:rFonts w:ascii="Arial" w:hAnsi="Arial" w:cs="Arial"/>
          <w:b/>
        </w:rPr>
        <w:t>Gossiel F</w:t>
      </w:r>
      <w:r w:rsidR="0012421A" w:rsidRPr="0012421A">
        <w:rPr>
          <w:rFonts w:ascii="Arial" w:hAnsi="Arial" w:cs="Arial"/>
          <w:b/>
        </w:rPr>
        <w:t>,</w:t>
      </w:r>
      <w:r>
        <w:rPr>
          <w:rFonts w:ascii="Arial" w:hAnsi="Arial" w:cs="Arial"/>
        </w:rPr>
        <w:t xml:space="preserve"> </w:t>
      </w:r>
      <w:r w:rsidR="0012421A" w:rsidRPr="0012421A">
        <w:rPr>
          <w:rFonts w:ascii="Arial" w:hAnsi="Arial" w:cs="Arial"/>
        </w:rPr>
        <w:t>Jacques</w:t>
      </w:r>
      <w:r>
        <w:rPr>
          <w:rFonts w:ascii="Arial" w:hAnsi="Arial" w:cs="Arial"/>
        </w:rPr>
        <w:t xml:space="preserve"> R.M,</w:t>
      </w:r>
      <w:r w:rsidR="0012421A" w:rsidRPr="0012421A">
        <w:rPr>
          <w:rFonts w:ascii="Arial" w:hAnsi="Arial" w:cs="Arial"/>
        </w:rPr>
        <w:t xml:space="preserve"> McCloskey</w:t>
      </w:r>
      <w:r>
        <w:rPr>
          <w:rFonts w:ascii="Arial" w:hAnsi="Arial" w:cs="Arial"/>
        </w:rPr>
        <w:t xml:space="preserve"> E.V,</w:t>
      </w:r>
      <w:r w:rsidR="0012421A" w:rsidRPr="0012421A">
        <w:rPr>
          <w:rFonts w:ascii="Arial" w:hAnsi="Arial" w:cs="Arial"/>
        </w:rPr>
        <w:t xml:space="preserve"> Peel</w:t>
      </w:r>
      <w:r>
        <w:rPr>
          <w:rFonts w:ascii="Arial" w:hAnsi="Arial" w:cs="Arial"/>
        </w:rPr>
        <w:t xml:space="preserve"> N, </w:t>
      </w:r>
      <w:r w:rsidR="0012421A" w:rsidRPr="0012421A">
        <w:rPr>
          <w:rFonts w:ascii="Arial" w:hAnsi="Arial" w:cs="Arial"/>
        </w:rPr>
        <w:t>Walsh</w:t>
      </w:r>
      <w:r>
        <w:rPr>
          <w:rFonts w:ascii="Arial" w:hAnsi="Arial" w:cs="Arial"/>
        </w:rPr>
        <w:t xml:space="preserve"> J.S, </w:t>
      </w:r>
      <w:r w:rsidR="0012421A" w:rsidRPr="0012421A">
        <w:rPr>
          <w:rFonts w:ascii="Arial" w:hAnsi="Arial" w:cs="Arial"/>
        </w:rPr>
        <w:t>Eastell</w:t>
      </w:r>
      <w:r>
        <w:rPr>
          <w:rFonts w:ascii="Arial" w:hAnsi="Arial" w:cs="Arial"/>
        </w:rPr>
        <w:t xml:space="preserve"> R</w:t>
      </w:r>
      <w:r w:rsidR="0012421A" w:rsidRPr="0012421A">
        <w:rPr>
          <w:rFonts w:ascii="Arial" w:hAnsi="Arial" w:cs="Arial"/>
        </w:rPr>
        <w:t xml:space="preserve">. </w:t>
      </w:r>
      <w:r w:rsidR="0012421A" w:rsidRPr="0012421A">
        <w:rPr>
          <w:rFonts w:ascii="Arial" w:hAnsi="Arial" w:cs="Arial"/>
          <w:bCs/>
        </w:rPr>
        <w:t xml:space="preserve">Regulators of bone formation in postmenopausal osteoporosis: Effect of bisphosphonate treatment. </w:t>
      </w:r>
      <w:r w:rsidR="0012421A" w:rsidRPr="0012421A">
        <w:rPr>
          <w:rFonts w:ascii="Arial" w:hAnsi="Arial" w:cs="Arial"/>
        </w:rPr>
        <w:t xml:space="preserve">American Society for Bone and Mineral Research 2010, Toronto, Canada. </w:t>
      </w:r>
    </w:p>
    <w:p w:rsidR="00282E8B" w:rsidRDefault="000C796F" w:rsidP="00900F2C">
      <w:pPr>
        <w:shd w:val="clear" w:color="auto" w:fill="FFFFFF"/>
        <w:rPr>
          <w:rFonts w:ascii="Arial" w:hAnsi="Arial" w:cs="Arial"/>
          <w:b/>
          <w:color w:val="000000" w:themeColor="text1"/>
        </w:rPr>
      </w:pPr>
      <w:r>
        <w:rPr>
          <w:rFonts w:ascii="Arial" w:hAnsi="Arial" w:cs="Arial"/>
          <w:b/>
          <w:color w:val="000000" w:themeColor="text1"/>
        </w:rPr>
        <w:t>Poster communications:</w:t>
      </w:r>
    </w:p>
    <w:p w:rsidR="000C796F" w:rsidRDefault="000C796F" w:rsidP="009143C3">
      <w:pPr>
        <w:shd w:val="clear" w:color="auto" w:fill="FFFFFF"/>
        <w:jc w:val="both"/>
        <w:rPr>
          <w:rFonts w:ascii="Arial" w:hAnsi="Arial" w:cs="Arial"/>
        </w:rPr>
      </w:pPr>
      <w:r>
        <w:rPr>
          <w:rFonts w:ascii="Arial" w:hAnsi="Arial" w:cs="Arial"/>
          <w:b/>
        </w:rPr>
        <w:t>Gossiel F</w:t>
      </w:r>
      <w:r w:rsidRPr="0012421A">
        <w:rPr>
          <w:rFonts w:ascii="Arial" w:hAnsi="Arial" w:cs="Arial"/>
          <w:b/>
        </w:rPr>
        <w:t>,</w:t>
      </w:r>
      <w:r>
        <w:rPr>
          <w:rFonts w:ascii="Arial" w:hAnsi="Arial" w:cs="Arial"/>
        </w:rPr>
        <w:t xml:space="preserve"> </w:t>
      </w:r>
      <w:r w:rsidRPr="000C796F">
        <w:rPr>
          <w:rFonts w:ascii="Arial" w:hAnsi="Arial" w:cs="Arial"/>
        </w:rPr>
        <w:t xml:space="preserve">Jacques R.M, Naylor K.E, McCloskey E.V, Peel N, Walsh J.S, Eastell R. </w:t>
      </w:r>
      <w:r w:rsidRPr="000C796F">
        <w:rPr>
          <w:rFonts w:ascii="Arial" w:hAnsi="Arial" w:cs="Arial"/>
          <w:bCs/>
        </w:rPr>
        <w:t xml:space="preserve">The Effect of Bisphosphonate Treatment on Bone Turnover and Bone Balance in Postmenopausal Women with Osteoporosis: The TRIO Study. </w:t>
      </w:r>
      <w:r w:rsidRPr="000C796F">
        <w:rPr>
          <w:rFonts w:ascii="Arial" w:hAnsi="Arial" w:cs="Arial"/>
        </w:rPr>
        <w:t>European Calcified Tissue Society Meeting 2015; Rotterdam, Holland.</w:t>
      </w:r>
    </w:p>
    <w:p w:rsidR="000C796F" w:rsidRDefault="000C796F" w:rsidP="009143C3">
      <w:pPr>
        <w:shd w:val="clear" w:color="auto" w:fill="FFFFFF"/>
        <w:jc w:val="both"/>
        <w:rPr>
          <w:rFonts w:ascii="Arial" w:hAnsi="Arial" w:cs="Arial"/>
        </w:rPr>
      </w:pPr>
      <w:r>
        <w:rPr>
          <w:rFonts w:ascii="Arial" w:hAnsi="Arial" w:cs="Arial"/>
          <w:b/>
        </w:rPr>
        <w:t>Gossiel F</w:t>
      </w:r>
      <w:r w:rsidRPr="0012421A">
        <w:rPr>
          <w:rFonts w:ascii="Arial" w:hAnsi="Arial" w:cs="Arial"/>
          <w:b/>
        </w:rPr>
        <w:t>,</w:t>
      </w:r>
      <w:r>
        <w:rPr>
          <w:rFonts w:ascii="Arial" w:hAnsi="Arial" w:cs="Arial"/>
        </w:rPr>
        <w:t xml:space="preserve"> </w:t>
      </w:r>
      <w:r w:rsidRPr="000C796F">
        <w:rPr>
          <w:rFonts w:ascii="Arial" w:hAnsi="Arial" w:cs="Arial"/>
        </w:rPr>
        <w:t>Jacques R.M, Naylor K.E, McCloskey E.V, Peel N, Walsh J.S, Eastell R.</w:t>
      </w:r>
      <w:r>
        <w:rPr>
          <w:rFonts w:ascii="Arial" w:hAnsi="Arial" w:cs="Arial"/>
        </w:rPr>
        <w:t xml:space="preserve"> </w:t>
      </w:r>
      <w:r w:rsidRPr="000C796F">
        <w:rPr>
          <w:rFonts w:ascii="Arial" w:hAnsi="Arial" w:cs="Arial"/>
          <w:bCs/>
        </w:rPr>
        <w:t xml:space="preserve">The Effect of Raloxifene on Sclerostin, Bone Turnover and Bone Balance in Postmenopausal Women with Osteopenia. </w:t>
      </w:r>
      <w:r w:rsidRPr="000C796F">
        <w:rPr>
          <w:rFonts w:ascii="Arial" w:hAnsi="Arial" w:cs="Arial"/>
        </w:rPr>
        <w:t>American Society for Bone and Mineral Research</w:t>
      </w:r>
      <w:r w:rsidR="00E90F77">
        <w:rPr>
          <w:rFonts w:ascii="Arial" w:hAnsi="Arial" w:cs="Arial"/>
        </w:rPr>
        <w:t xml:space="preserve"> 2014; Texas, US and The Mellanby Centre for Bone Research, Reasearch Day, University of Sheffield, Sheffield, UK</w:t>
      </w:r>
    </w:p>
    <w:p w:rsidR="000C796F" w:rsidRPr="000C796F" w:rsidRDefault="008432B5" w:rsidP="009143C3">
      <w:pPr>
        <w:pStyle w:val="Default"/>
        <w:jc w:val="both"/>
        <w:rPr>
          <w:rFonts w:ascii="Arial" w:eastAsiaTheme="minorHAnsi" w:hAnsi="Arial" w:cs="Arial"/>
          <w:lang w:val="en-GB"/>
        </w:rPr>
      </w:pPr>
      <w:hyperlink r:id="rId31" w:history="1">
        <w:r w:rsidR="000C796F" w:rsidRPr="00D90871">
          <w:rPr>
            <w:rStyle w:val="highlight2"/>
            <w:rFonts w:ascii="Arial" w:hAnsi="Arial" w:cs="Arial"/>
            <w:b/>
            <w:color w:val="000000" w:themeColor="text1"/>
            <w:sz w:val="22"/>
            <w:szCs w:val="22"/>
          </w:rPr>
          <w:t>Gossiel F</w:t>
        </w:r>
      </w:hyperlink>
      <w:r w:rsidR="000C796F" w:rsidRPr="00D90871">
        <w:rPr>
          <w:rFonts w:ascii="Arial" w:hAnsi="Arial" w:cs="Arial"/>
          <w:color w:val="000000" w:themeColor="text1"/>
          <w:sz w:val="22"/>
          <w:szCs w:val="22"/>
        </w:rPr>
        <w:t xml:space="preserve">, </w:t>
      </w:r>
      <w:hyperlink r:id="rId32" w:history="1">
        <w:r w:rsidR="000C796F" w:rsidRPr="00D90871">
          <w:rPr>
            <w:rFonts w:ascii="Arial" w:hAnsi="Arial" w:cs="Arial"/>
            <w:color w:val="000000" w:themeColor="text1"/>
            <w:sz w:val="22"/>
            <w:szCs w:val="22"/>
          </w:rPr>
          <w:t>Finigan J</w:t>
        </w:r>
      </w:hyperlink>
      <w:r w:rsidR="000C796F" w:rsidRPr="00D90871">
        <w:rPr>
          <w:rFonts w:ascii="Arial" w:hAnsi="Arial" w:cs="Arial"/>
          <w:color w:val="000000" w:themeColor="text1"/>
          <w:sz w:val="22"/>
          <w:szCs w:val="22"/>
        </w:rPr>
        <w:t xml:space="preserve">, </w:t>
      </w:r>
      <w:hyperlink r:id="rId33" w:history="1">
        <w:r w:rsidR="000C796F" w:rsidRPr="00D90871">
          <w:rPr>
            <w:rFonts w:ascii="Arial" w:hAnsi="Arial" w:cs="Arial"/>
            <w:color w:val="000000" w:themeColor="text1"/>
            <w:sz w:val="22"/>
            <w:szCs w:val="22"/>
          </w:rPr>
          <w:t>Jacques R</w:t>
        </w:r>
      </w:hyperlink>
      <w:r w:rsidR="000C796F" w:rsidRPr="00D90871">
        <w:rPr>
          <w:rFonts w:ascii="Arial" w:hAnsi="Arial" w:cs="Arial"/>
          <w:color w:val="000000" w:themeColor="text1"/>
          <w:sz w:val="22"/>
          <w:szCs w:val="22"/>
        </w:rPr>
        <w:t xml:space="preserve">, </w:t>
      </w:r>
      <w:hyperlink r:id="rId34" w:history="1">
        <w:r w:rsidR="000C796F" w:rsidRPr="00D90871">
          <w:rPr>
            <w:rFonts w:ascii="Arial" w:hAnsi="Arial" w:cs="Arial"/>
            <w:color w:val="000000" w:themeColor="text1"/>
            <w:sz w:val="22"/>
            <w:szCs w:val="22"/>
          </w:rPr>
          <w:t>Reid D</w:t>
        </w:r>
      </w:hyperlink>
      <w:r w:rsidR="000C796F" w:rsidRPr="00D90871">
        <w:rPr>
          <w:rFonts w:ascii="Arial" w:hAnsi="Arial" w:cs="Arial"/>
          <w:color w:val="000000" w:themeColor="text1"/>
          <w:sz w:val="22"/>
          <w:szCs w:val="22"/>
        </w:rPr>
        <w:t xml:space="preserve">, </w:t>
      </w:r>
      <w:hyperlink r:id="rId35" w:history="1">
        <w:r w:rsidR="000C796F" w:rsidRPr="00D90871">
          <w:rPr>
            <w:rFonts w:ascii="Arial" w:hAnsi="Arial" w:cs="Arial"/>
            <w:color w:val="000000" w:themeColor="text1"/>
            <w:sz w:val="22"/>
            <w:szCs w:val="22"/>
          </w:rPr>
          <w:t>Felsenberg D</w:t>
        </w:r>
      </w:hyperlink>
      <w:r w:rsidR="000C796F" w:rsidRPr="00D90871">
        <w:rPr>
          <w:rFonts w:ascii="Arial" w:hAnsi="Arial" w:cs="Arial"/>
          <w:color w:val="000000" w:themeColor="text1"/>
          <w:sz w:val="22"/>
          <w:szCs w:val="22"/>
        </w:rPr>
        <w:t xml:space="preserve">, </w:t>
      </w:r>
      <w:hyperlink r:id="rId36" w:history="1">
        <w:r w:rsidR="000C796F" w:rsidRPr="00D90871">
          <w:rPr>
            <w:rFonts w:ascii="Arial" w:hAnsi="Arial" w:cs="Arial"/>
            <w:color w:val="000000" w:themeColor="text1"/>
            <w:sz w:val="22"/>
            <w:szCs w:val="22"/>
          </w:rPr>
          <w:t>Roux C</w:t>
        </w:r>
      </w:hyperlink>
      <w:r w:rsidR="000C796F" w:rsidRPr="00D90871">
        <w:rPr>
          <w:rFonts w:ascii="Arial" w:hAnsi="Arial" w:cs="Arial"/>
          <w:color w:val="000000" w:themeColor="text1"/>
          <w:sz w:val="22"/>
          <w:szCs w:val="22"/>
        </w:rPr>
        <w:t xml:space="preserve">, </w:t>
      </w:r>
      <w:hyperlink r:id="rId37" w:history="1">
        <w:r w:rsidR="000C796F" w:rsidRPr="00D90871">
          <w:rPr>
            <w:rFonts w:ascii="Arial" w:hAnsi="Arial" w:cs="Arial"/>
            <w:color w:val="000000" w:themeColor="text1"/>
            <w:sz w:val="22"/>
            <w:szCs w:val="22"/>
          </w:rPr>
          <w:t>Glueer C</w:t>
        </w:r>
      </w:hyperlink>
      <w:r w:rsidR="000C796F" w:rsidRPr="00D90871">
        <w:rPr>
          <w:rFonts w:ascii="Arial" w:hAnsi="Arial" w:cs="Arial"/>
          <w:color w:val="000000" w:themeColor="text1"/>
          <w:sz w:val="22"/>
          <w:szCs w:val="22"/>
        </w:rPr>
        <w:t xml:space="preserve">, </w:t>
      </w:r>
      <w:hyperlink r:id="rId38" w:history="1">
        <w:r w:rsidR="000C796F" w:rsidRPr="00D90871">
          <w:rPr>
            <w:rFonts w:ascii="Arial" w:hAnsi="Arial" w:cs="Arial"/>
            <w:color w:val="000000" w:themeColor="text1"/>
            <w:sz w:val="22"/>
            <w:szCs w:val="22"/>
          </w:rPr>
          <w:t>Eastell R</w:t>
        </w:r>
      </w:hyperlink>
      <w:r w:rsidR="000C796F" w:rsidRPr="00D90871">
        <w:rPr>
          <w:rFonts w:ascii="Arial" w:hAnsi="Arial" w:cs="Arial"/>
          <w:sz w:val="22"/>
          <w:szCs w:val="22"/>
        </w:rPr>
        <w:t>.</w:t>
      </w:r>
      <w:r w:rsidR="000C796F">
        <w:rPr>
          <w:rFonts w:ascii="Arial" w:hAnsi="Arial" w:cs="Arial"/>
        </w:rPr>
        <w:t xml:space="preserve"> </w:t>
      </w:r>
    </w:p>
    <w:p w:rsidR="000C796F" w:rsidRDefault="000C796F" w:rsidP="009143C3">
      <w:pPr>
        <w:spacing w:after="0" w:line="240" w:lineRule="auto"/>
        <w:jc w:val="both"/>
        <w:rPr>
          <w:rFonts w:ascii="Arial" w:hAnsi="Arial" w:cs="Arial"/>
        </w:rPr>
      </w:pPr>
      <w:r w:rsidRPr="000C796F">
        <w:rPr>
          <w:rFonts w:ascii="Arial" w:hAnsi="Arial" w:cs="Arial"/>
          <w:bCs/>
        </w:rPr>
        <w:t>Reference Intervals for Bone Turnover Markers in Premenopausal a</w:t>
      </w:r>
      <w:r>
        <w:rPr>
          <w:rFonts w:ascii="Arial" w:hAnsi="Arial" w:cs="Arial"/>
          <w:bCs/>
        </w:rPr>
        <w:t xml:space="preserve">nd </w:t>
      </w:r>
      <w:r w:rsidRPr="000C796F">
        <w:rPr>
          <w:rFonts w:ascii="Arial" w:hAnsi="Arial" w:cs="Arial"/>
          <w:bCs/>
        </w:rPr>
        <w:t>Postmenopausal Women: The OPUS Study</w:t>
      </w:r>
      <w:r>
        <w:rPr>
          <w:rFonts w:ascii="Arial" w:hAnsi="Arial" w:cs="Arial"/>
          <w:bCs/>
        </w:rPr>
        <w:t xml:space="preserve">. </w:t>
      </w:r>
      <w:r w:rsidRPr="00282E8B">
        <w:rPr>
          <w:rFonts w:ascii="Arial" w:hAnsi="Arial" w:cs="Arial"/>
        </w:rPr>
        <w:t>American Society for Bone and</w:t>
      </w:r>
      <w:r>
        <w:rPr>
          <w:rFonts w:ascii="Arial" w:hAnsi="Arial" w:cs="Arial"/>
        </w:rPr>
        <w:t xml:space="preserve"> Mineral Research 2012</w:t>
      </w:r>
      <w:r w:rsidRPr="00282E8B">
        <w:rPr>
          <w:rFonts w:ascii="Arial" w:hAnsi="Arial" w:cs="Arial"/>
        </w:rPr>
        <w:t xml:space="preserve"> conference, </w:t>
      </w:r>
      <w:r>
        <w:rPr>
          <w:rFonts w:ascii="Arial" w:hAnsi="Arial" w:cs="Arial"/>
        </w:rPr>
        <w:t>Minneapolis, US</w:t>
      </w:r>
    </w:p>
    <w:p w:rsidR="000C796F" w:rsidRDefault="000C796F" w:rsidP="009143C3">
      <w:pPr>
        <w:spacing w:after="0" w:line="240" w:lineRule="auto"/>
        <w:jc w:val="both"/>
        <w:rPr>
          <w:rFonts w:ascii="Arial" w:hAnsi="Arial" w:cs="Arial"/>
        </w:rPr>
      </w:pPr>
    </w:p>
    <w:p w:rsidR="00E90F77" w:rsidRPr="000C796F" w:rsidRDefault="008432B5" w:rsidP="009143C3">
      <w:pPr>
        <w:pStyle w:val="Default"/>
        <w:jc w:val="both"/>
        <w:rPr>
          <w:rFonts w:ascii="Arial" w:eastAsiaTheme="minorHAnsi" w:hAnsi="Arial" w:cs="Arial"/>
          <w:lang w:val="en-GB"/>
        </w:rPr>
      </w:pPr>
      <w:hyperlink r:id="rId39" w:history="1">
        <w:r w:rsidR="00E90F77" w:rsidRPr="00D90871">
          <w:rPr>
            <w:rStyle w:val="highlight2"/>
            <w:rFonts w:ascii="Arial" w:hAnsi="Arial" w:cs="Arial"/>
            <w:b/>
            <w:color w:val="000000" w:themeColor="text1"/>
            <w:sz w:val="22"/>
            <w:szCs w:val="22"/>
          </w:rPr>
          <w:t>Gossiel F</w:t>
        </w:r>
      </w:hyperlink>
      <w:r w:rsidR="00E90F77" w:rsidRPr="00D90871">
        <w:rPr>
          <w:rFonts w:ascii="Arial" w:hAnsi="Arial" w:cs="Arial"/>
          <w:color w:val="000000" w:themeColor="text1"/>
          <w:sz w:val="22"/>
          <w:szCs w:val="22"/>
        </w:rPr>
        <w:t xml:space="preserve">, </w:t>
      </w:r>
      <w:hyperlink r:id="rId40" w:history="1">
        <w:r w:rsidR="00E90F77" w:rsidRPr="00D90871">
          <w:rPr>
            <w:rFonts w:ascii="Arial" w:hAnsi="Arial" w:cs="Arial"/>
            <w:color w:val="000000" w:themeColor="text1"/>
            <w:sz w:val="22"/>
            <w:szCs w:val="22"/>
          </w:rPr>
          <w:t>Finigan J</w:t>
        </w:r>
      </w:hyperlink>
      <w:r w:rsidR="00E90F77" w:rsidRPr="00D90871">
        <w:rPr>
          <w:rFonts w:ascii="Arial" w:hAnsi="Arial" w:cs="Arial"/>
          <w:color w:val="000000" w:themeColor="text1"/>
          <w:sz w:val="22"/>
          <w:szCs w:val="22"/>
        </w:rPr>
        <w:t xml:space="preserve">, </w:t>
      </w:r>
      <w:hyperlink r:id="rId41" w:history="1">
        <w:r w:rsidR="00E90F77" w:rsidRPr="00D90871">
          <w:rPr>
            <w:rFonts w:ascii="Arial" w:hAnsi="Arial" w:cs="Arial"/>
            <w:color w:val="000000" w:themeColor="text1"/>
            <w:sz w:val="22"/>
            <w:szCs w:val="22"/>
          </w:rPr>
          <w:t>Jacques R</w:t>
        </w:r>
      </w:hyperlink>
      <w:r w:rsidR="00E90F77" w:rsidRPr="00D90871">
        <w:rPr>
          <w:rFonts w:ascii="Arial" w:hAnsi="Arial" w:cs="Arial"/>
          <w:color w:val="000000" w:themeColor="text1"/>
          <w:sz w:val="22"/>
          <w:szCs w:val="22"/>
        </w:rPr>
        <w:t xml:space="preserve">, </w:t>
      </w:r>
      <w:hyperlink r:id="rId42" w:history="1">
        <w:r w:rsidR="00E90F77" w:rsidRPr="00D90871">
          <w:rPr>
            <w:rFonts w:ascii="Arial" w:hAnsi="Arial" w:cs="Arial"/>
            <w:color w:val="000000" w:themeColor="text1"/>
            <w:sz w:val="22"/>
            <w:szCs w:val="22"/>
          </w:rPr>
          <w:t>Reid D</w:t>
        </w:r>
      </w:hyperlink>
      <w:r w:rsidR="00E90F77" w:rsidRPr="00D90871">
        <w:rPr>
          <w:rFonts w:ascii="Arial" w:hAnsi="Arial" w:cs="Arial"/>
          <w:color w:val="000000" w:themeColor="text1"/>
          <w:sz w:val="22"/>
          <w:szCs w:val="22"/>
        </w:rPr>
        <w:t xml:space="preserve">, </w:t>
      </w:r>
      <w:hyperlink r:id="rId43" w:history="1">
        <w:r w:rsidR="00E90F77" w:rsidRPr="00D90871">
          <w:rPr>
            <w:rFonts w:ascii="Arial" w:hAnsi="Arial" w:cs="Arial"/>
            <w:color w:val="000000" w:themeColor="text1"/>
            <w:sz w:val="22"/>
            <w:szCs w:val="22"/>
          </w:rPr>
          <w:t>Felsenberg D</w:t>
        </w:r>
      </w:hyperlink>
      <w:r w:rsidR="00E90F77" w:rsidRPr="00D90871">
        <w:rPr>
          <w:rFonts w:ascii="Arial" w:hAnsi="Arial" w:cs="Arial"/>
          <w:color w:val="000000" w:themeColor="text1"/>
          <w:sz w:val="22"/>
          <w:szCs w:val="22"/>
        </w:rPr>
        <w:t xml:space="preserve">, </w:t>
      </w:r>
      <w:hyperlink r:id="rId44" w:history="1">
        <w:r w:rsidR="00E90F77" w:rsidRPr="00D90871">
          <w:rPr>
            <w:rFonts w:ascii="Arial" w:hAnsi="Arial" w:cs="Arial"/>
            <w:color w:val="000000" w:themeColor="text1"/>
            <w:sz w:val="22"/>
            <w:szCs w:val="22"/>
          </w:rPr>
          <w:t>Roux C</w:t>
        </w:r>
      </w:hyperlink>
      <w:r w:rsidR="00E90F77" w:rsidRPr="00D90871">
        <w:rPr>
          <w:rFonts w:ascii="Arial" w:hAnsi="Arial" w:cs="Arial"/>
          <w:color w:val="000000" w:themeColor="text1"/>
          <w:sz w:val="22"/>
          <w:szCs w:val="22"/>
        </w:rPr>
        <w:t xml:space="preserve">, </w:t>
      </w:r>
      <w:hyperlink r:id="rId45" w:history="1">
        <w:r w:rsidR="00E90F77" w:rsidRPr="00D90871">
          <w:rPr>
            <w:rFonts w:ascii="Arial" w:hAnsi="Arial" w:cs="Arial"/>
            <w:color w:val="000000" w:themeColor="text1"/>
            <w:sz w:val="22"/>
            <w:szCs w:val="22"/>
          </w:rPr>
          <w:t>Glueer C</w:t>
        </w:r>
      </w:hyperlink>
      <w:r w:rsidR="00E90F77" w:rsidRPr="00D90871">
        <w:rPr>
          <w:rFonts w:ascii="Arial" w:hAnsi="Arial" w:cs="Arial"/>
          <w:color w:val="000000" w:themeColor="text1"/>
          <w:sz w:val="22"/>
          <w:szCs w:val="22"/>
        </w:rPr>
        <w:t xml:space="preserve">, </w:t>
      </w:r>
      <w:hyperlink r:id="rId46" w:history="1">
        <w:r w:rsidR="00E90F77" w:rsidRPr="00D90871">
          <w:rPr>
            <w:rFonts w:ascii="Arial" w:hAnsi="Arial" w:cs="Arial"/>
            <w:color w:val="000000" w:themeColor="text1"/>
            <w:sz w:val="22"/>
            <w:szCs w:val="22"/>
          </w:rPr>
          <w:t>Eastell R</w:t>
        </w:r>
      </w:hyperlink>
      <w:r w:rsidR="00E90F77" w:rsidRPr="00D90871">
        <w:rPr>
          <w:rFonts w:ascii="Arial" w:hAnsi="Arial" w:cs="Arial"/>
          <w:sz w:val="22"/>
          <w:szCs w:val="22"/>
        </w:rPr>
        <w:t>.</w:t>
      </w:r>
      <w:r w:rsidR="00E90F77">
        <w:rPr>
          <w:rFonts w:ascii="Arial" w:hAnsi="Arial" w:cs="Arial"/>
        </w:rPr>
        <w:t xml:space="preserve"> </w:t>
      </w:r>
    </w:p>
    <w:p w:rsidR="00E90F77" w:rsidRPr="00E90F77" w:rsidRDefault="00E90F77" w:rsidP="009143C3">
      <w:pPr>
        <w:autoSpaceDE w:val="0"/>
        <w:autoSpaceDN w:val="0"/>
        <w:adjustRightInd w:val="0"/>
        <w:spacing w:after="0" w:line="240" w:lineRule="auto"/>
        <w:jc w:val="both"/>
        <w:rPr>
          <w:rFonts w:ascii="Arial" w:hAnsi="Arial" w:cs="Arial"/>
        </w:rPr>
      </w:pPr>
      <w:r w:rsidRPr="00E90F77">
        <w:rPr>
          <w:rFonts w:ascii="Arial" w:hAnsi="Arial" w:cs="Arial"/>
          <w:bCs/>
        </w:rPr>
        <w:t xml:space="preserve">Relationship </w:t>
      </w:r>
      <w:r w:rsidR="00A777D7" w:rsidRPr="00E90F77">
        <w:rPr>
          <w:rFonts w:ascii="Arial" w:hAnsi="Arial" w:cs="Arial"/>
          <w:bCs/>
        </w:rPr>
        <w:t>between</w:t>
      </w:r>
      <w:r w:rsidRPr="00E90F77">
        <w:rPr>
          <w:rFonts w:ascii="Arial" w:hAnsi="Arial" w:cs="Arial"/>
          <w:bCs/>
        </w:rPr>
        <w:t xml:space="preserve"> Serum IGF-I and Fracture Types in Postmenopausal Women. </w:t>
      </w:r>
      <w:r w:rsidRPr="00E90F77">
        <w:rPr>
          <w:rFonts w:ascii="Arial" w:hAnsi="Arial" w:cs="Arial"/>
          <w:color w:val="000000" w:themeColor="text1"/>
        </w:rPr>
        <w:t>Osteoporosis and Bone Conference 2012; Manchester UK.</w:t>
      </w:r>
    </w:p>
    <w:p w:rsidR="00E90F77" w:rsidRPr="00E90F77" w:rsidRDefault="00E90F77" w:rsidP="009143C3">
      <w:pPr>
        <w:autoSpaceDE w:val="0"/>
        <w:autoSpaceDN w:val="0"/>
        <w:adjustRightInd w:val="0"/>
        <w:spacing w:after="0" w:line="240" w:lineRule="auto"/>
        <w:jc w:val="both"/>
        <w:rPr>
          <w:rFonts w:ascii="Arial" w:hAnsi="Arial" w:cs="Arial"/>
        </w:rPr>
      </w:pPr>
    </w:p>
    <w:p w:rsidR="002D7AEB" w:rsidRDefault="002D7AEB" w:rsidP="009143C3">
      <w:pPr>
        <w:jc w:val="both"/>
      </w:pPr>
    </w:p>
    <w:p w:rsidR="002D7AEB" w:rsidRDefault="002D7AEB" w:rsidP="00900F2C">
      <w:pPr>
        <w:pStyle w:val="Heading1"/>
      </w:pPr>
      <w:bookmarkStart w:id="5" w:name="_Toc425418884"/>
      <w:r>
        <w:t>Thesis Overview</w:t>
      </w:r>
      <w:bookmarkEnd w:id="5"/>
    </w:p>
    <w:p w:rsidR="00E90F77" w:rsidRPr="00E90F77" w:rsidRDefault="00E90F77" w:rsidP="00900F2C"/>
    <w:p w:rsidR="002D7AEB" w:rsidRPr="00D77BCC" w:rsidRDefault="002D7AEB" w:rsidP="009143C3">
      <w:pPr>
        <w:spacing w:line="360" w:lineRule="auto"/>
        <w:jc w:val="both"/>
        <w:rPr>
          <w:rFonts w:ascii="Arial" w:hAnsi="Arial" w:cs="Arial"/>
        </w:rPr>
      </w:pPr>
      <w:r w:rsidRPr="00D77BCC">
        <w:rPr>
          <w:rFonts w:ascii="Arial" w:hAnsi="Arial" w:cs="Arial"/>
        </w:rPr>
        <w:lastRenderedPageBreak/>
        <w:t>Postmenopausal osteoporosis is characterised by increased bone turnover, a negative balance (where bone resorption exceeds bone formation), reduced BMD and increased fracture risk. Diagnosis is based on assessment of BMD measured by DXA. The developmen</w:t>
      </w:r>
      <w:r>
        <w:rPr>
          <w:rFonts w:ascii="Arial" w:hAnsi="Arial" w:cs="Arial"/>
        </w:rPr>
        <w:t>t of specific and sensitive bone turnover markers</w:t>
      </w:r>
      <w:r w:rsidRPr="00D77BCC">
        <w:rPr>
          <w:rFonts w:ascii="Arial" w:hAnsi="Arial" w:cs="Arial"/>
        </w:rPr>
        <w:t xml:space="preserve"> such as PINP and CTX are widely used in clinical studies. The overall aim of this thesis was to investigate the clinical utility of BTMs in a population based study and in clinical trials of licenced antiresorptive treatments. Postmenopausal and premenopausal women were recruited and whole blood, serum and urine samples were collected. </w:t>
      </w:r>
    </w:p>
    <w:p w:rsidR="002D7AEB" w:rsidRDefault="002D7AEB" w:rsidP="009143C3">
      <w:pPr>
        <w:spacing w:line="360" w:lineRule="auto"/>
        <w:jc w:val="both"/>
        <w:rPr>
          <w:rFonts w:ascii="Arial" w:hAnsi="Arial" w:cs="Arial"/>
        </w:rPr>
      </w:pPr>
      <w:r w:rsidRPr="00D77BCC">
        <w:rPr>
          <w:rFonts w:ascii="Arial" w:hAnsi="Arial" w:cs="Arial"/>
        </w:rPr>
        <w:t xml:space="preserve">Several diseases and treatments were </w:t>
      </w:r>
      <w:r>
        <w:rPr>
          <w:rFonts w:ascii="Arial" w:hAnsi="Arial" w:cs="Arial"/>
        </w:rPr>
        <w:t>identified that</w:t>
      </w:r>
      <w:r w:rsidRPr="00D77BCC">
        <w:rPr>
          <w:rFonts w:ascii="Arial" w:hAnsi="Arial" w:cs="Arial"/>
        </w:rPr>
        <w:t xml:space="preserve"> influence</w:t>
      </w:r>
      <w:r>
        <w:rPr>
          <w:rFonts w:ascii="Arial" w:hAnsi="Arial" w:cs="Arial"/>
        </w:rPr>
        <w:t>d bone turnover markers</w:t>
      </w:r>
      <w:r w:rsidRPr="00D77BCC">
        <w:rPr>
          <w:rFonts w:ascii="Arial" w:hAnsi="Arial" w:cs="Arial"/>
        </w:rPr>
        <w:t xml:space="preserve"> in older women and these needed to be excluded for establishing healthy reference intervals.</w:t>
      </w:r>
      <w:r>
        <w:rPr>
          <w:rFonts w:ascii="Arial" w:hAnsi="Arial" w:cs="Arial"/>
        </w:rPr>
        <w:t xml:space="preserve"> In postmenopausal osteoporosis</w:t>
      </w:r>
      <w:r w:rsidRPr="00D77BCC">
        <w:rPr>
          <w:rFonts w:ascii="Arial" w:hAnsi="Arial" w:cs="Arial"/>
        </w:rPr>
        <w:t xml:space="preserve"> </w:t>
      </w:r>
      <w:r>
        <w:rPr>
          <w:rFonts w:ascii="Arial" w:hAnsi="Arial" w:cs="Arial"/>
        </w:rPr>
        <w:t>t</w:t>
      </w:r>
      <w:r w:rsidRPr="00D77BCC">
        <w:rPr>
          <w:rFonts w:ascii="Arial" w:hAnsi="Arial" w:cs="Arial"/>
        </w:rPr>
        <w:t>he negative balance between bone resorption and formation may be associated with the low BMD</w:t>
      </w:r>
      <w:r>
        <w:rPr>
          <w:rFonts w:ascii="Arial" w:hAnsi="Arial" w:cs="Arial"/>
        </w:rPr>
        <w:t>, bone loss</w:t>
      </w:r>
      <w:r w:rsidRPr="00D77BCC">
        <w:rPr>
          <w:rFonts w:ascii="Arial" w:hAnsi="Arial" w:cs="Arial"/>
        </w:rPr>
        <w:t xml:space="preserve"> and increased vertebral and non-vertebral fracture risk. </w:t>
      </w:r>
      <w:r>
        <w:rPr>
          <w:rFonts w:ascii="Arial" w:hAnsi="Arial" w:cs="Arial"/>
        </w:rPr>
        <w:t>Antiresorptive treatments</w:t>
      </w:r>
      <w:r w:rsidRPr="00D77BCC">
        <w:rPr>
          <w:rFonts w:ascii="Arial" w:hAnsi="Arial" w:cs="Arial"/>
        </w:rPr>
        <w:t xml:space="preserve"> inhibit bone resorption in the short-term by </w:t>
      </w:r>
      <w:r>
        <w:rPr>
          <w:rFonts w:ascii="Arial" w:hAnsi="Arial" w:cs="Arial"/>
        </w:rPr>
        <w:t xml:space="preserve">having </w:t>
      </w:r>
      <w:r w:rsidRPr="00D77BCC">
        <w:rPr>
          <w:rFonts w:ascii="Arial" w:hAnsi="Arial" w:cs="Arial"/>
        </w:rPr>
        <w:t>direct action on mature osteoclasts</w:t>
      </w:r>
      <w:r>
        <w:rPr>
          <w:rFonts w:ascii="Arial" w:hAnsi="Arial" w:cs="Arial"/>
        </w:rPr>
        <w:t>. There was</w:t>
      </w:r>
      <w:r w:rsidRPr="00D77BCC">
        <w:rPr>
          <w:rFonts w:ascii="Arial" w:hAnsi="Arial" w:cs="Arial"/>
        </w:rPr>
        <w:t xml:space="preserve"> also a later effect mediated by a reduction in the population of circulating osteoclast precursors. </w:t>
      </w:r>
      <w:r>
        <w:rPr>
          <w:rFonts w:ascii="Arial" w:hAnsi="Arial" w:cs="Arial"/>
        </w:rPr>
        <w:t>With bisphosphonate treatments</w:t>
      </w:r>
      <w:r w:rsidRPr="00D77BCC">
        <w:rPr>
          <w:rFonts w:ascii="Arial" w:hAnsi="Arial" w:cs="Arial"/>
        </w:rPr>
        <w:t xml:space="preserve"> bone balance</w:t>
      </w:r>
      <w:r>
        <w:rPr>
          <w:rFonts w:ascii="Arial" w:hAnsi="Arial" w:cs="Arial"/>
        </w:rPr>
        <w:t xml:space="preserve"> is positive </w:t>
      </w:r>
      <w:r w:rsidRPr="00D77BCC">
        <w:rPr>
          <w:rFonts w:ascii="Arial" w:hAnsi="Arial" w:cs="Arial"/>
        </w:rPr>
        <w:t>relative to healthy premenopausal women.</w:t>
      </w:r>
      <w:r>
        <w:rPr>
          <w:rFonts w:ascii="Arial" w:hAnsi="Arial" w:cs="Arial"/>
        </w:rPr>
        <w:t xml:space="preserve"> The clinical utility of sclerostin remains unclear but it does appear to be related to bone resorption and bone formation and levels of which are reduced with raloxifene treatment.</w:t>
      </w:r>
    </w:p>
    <w:p w:rsidR="002D7AEB" w:rsidRDefault="002D7AEB" w:rsidP="009143C3">
      <w:pPr>
        <w:spacing w:line="360" w:lineRule="auto"/>
        <w:jc w:val="both"/>
        <w:rPr>
          <w:rFonts w:ascii="Arial" w:hAnsi="Arial" w:cs="Arial"/>
        </w:rPr>
      </w:pPr>
      <w:r>
        <w:rPr>
          <w:rFonts w:ascii="Arial" w:hAnsi="Arial" w:cs="Arial"/>
        </w:rPr>
        <w:t>Bone turnover markers provide additional information to BMD assessments about bone remodelling. The combined assessment of bone turnover and bone balance may help identify patients at risk of bone loss and fracture. These findings can be used to investigate the mechanisms of actions of current and future treatments that are being developed in order to identify the most suitable for patients with postmenopausal osteoporosis.</w:t>
      </w:r>
    </w:p>
    <w:p w:rsidR="002D7AEB" w:rsidRPr="00D77BCC" w:rsidRDefault="002D7AEB" w:rsidP="009143C3">
      <w:pPr>
        <w:spacing w:line="360" w:lineRule="auto"/>
        <w:jc w:val="both"/>
        <w:rPr>
          <w:rFonts w:ascii="Arial" w:hAnsi="Arial" w:cs="Arial"/>
        </w:rPr>
      </w:pPr>
      <w:r>
        <w:rPr>
          <w:rFonts w:ascii="Arial" w:hAnsi="Arial" w:cs="Arial"/>
        </w:rPr>
        <w:t xml:space="preserve"> </w:t>
      </w:r>
    </w:p>
    <w:p w:rsidR="002D7AEB" w:rsidRDefault="002D7AEB" w:rsidP="009143C3">
      <w:pPr>
        <w:jc w:val="both"/>
      </w:pPr>
    </w:p>
    <w:p w:rsidR="002D7AEB" w:rsidRPr="002D7AEB" w:rsidRDefault="002D7AEB" w:rsidP="009143C3">
      <w:pPr>
        <w:jc w:val="both"/>
      </w:pPr>
    </w:p>
    <w:p w:rsidR="002D7AEB" w:rsidRDefault="002D7AEB" w:rsidP="009143C3">
      <w:pPr>
        <w:pStyle w:val="Heading1"/>
        <w:jc w:val="both"/>
        <w:rPr>
          <w:rFonts w:cs="Arial"/>
          <w:sz w:val="22"/>
          <w:szCs w:val="22"/>
        </w:rPr>
      </w:pPr>
    </w:p>
    <w:p w:rsidR="00543A1F" w:rsidRDefault="00543A1F" w:rsidP="00900F2C">
      <w:pPr>
        <w:pStyle w:val="Heading1"/>
        <w:rPr>
          <w:rFonts w:cs="Arial"/>
          <w:sz w:val="22"/>
          <w:szCs w:val="22"/>
        </w:rPr>
      </w:pPr>
    </w:p>
    <w:p w:rsidR="00543A1F" w:rsidRDefault="00543A1F" w:rsidP="00900F2C"/>
    <w:p w:rsidR="00543A1F" w:rsidRPr="00543A1F" w:rsidRDefault="00543A1F" w:rsidP="00900F2C"/>
    <w:p w:rsidR="00A85832" w:rsidRDefault="00A85832" w:rsidP="00900F2C">
      <w:pPr>
        <w:pStyle w:val="Heading1"/>
        <w:rPr>
          <w:rFonts w:cs="Arial"/>
          <w:sz w:val="22"/>
          <w:szCs w:val="22"/>
        </w:rPr>
      </w:pPr>
      <w:bookmarkStart w:id="6" w:name="_Toc425418885"/>
      <w:r w:rsidRPr="00D336EE">
        <w:rPr>
          <w:rFonts w:cs="Arial"/>
          <w:sz w:val="22"/>
          <w:szCs w:val="22"/>
        </w:rPr>
        <w:lastRenderedPageBreak/>
        <w:t>List of figures</w:t>
      </w:r>
      <w:bookmarkEnd w:id="6"/>
    </w:p>
    <w:p w:rsidR="00E90F77" w:rsidRPr="00E90F77" w:rsidRDefault="00E90F77" w:rsidP="00900F2C"/>
    <w:p w:rsidR="00A87E30" w:rsidRPr="004C68BD" w:rsidRDefault="00AA1B13" w:rsidP="009143C3">
      <w:pPr>
        <w:pStyle w:val="TableofFigures"/>
        <w:tabs>
          <w:tab w:val="right" w:leader="dot" w:pos="8494"/>
        </w:tabs>
        <w:jc w:val="both"/>
        <w:rPr>
          <w:rFonts w:ascii="Arial" w:eastAsiaTheme="minorEastAsia" w:hAnsi="Arial" w:cs="Arial"/>
          <w:noProof/>
          <w:lang w:eastAsia="en-GB"/>
        </w:rPr>
      </w:pPr>
      <w:r w:rsidRPr="004C68BD">
        <w:rPr>
          <w:rFonts w:ascii="Arial" w:hAnsi="Arial" w:cs="Arial"/>
        </w:rPr>
        <w:fldChar w:fldCharType="begin"/>
      </w:r>
      <w:r w:rsidRPr="004C68BD">
        <w:rPr>
          <w:rFonts w:ascii="Arial" w:hAnsi="Arial" w:cs="Arial"/>
        </w:rPr>
        <w:instrText xml:space="preserve"> TOC \h \z \c "Figure" </w:instrText>
      </w:r>
      <w:r w:rsidRPr="004C68BD">
        <w:rPr>
          <w:rFonts w:ascii="Arial" w:hAnsi="Arial" w:cs="Arial"/>
        </w:rPr>
        <w:fldChar w:fldCharType="separate"/>
      </w:r>
      <w:hyperlink r:id="rId47" w:anchor="_Toc425419484" w:history="1">
        <w:r w:rsidR="00A87E30" w:rsidRPr="004C68BD">
          <w:rPr>
            <w:rStyle w:val="Hyperlink"/>
            <w:rFonts w:ascii="Arial" w:hAnsi="Arial" w:cs="Arial"/>
            <w:noProof/>
          </w:rPr>
          <w:t>Figure 1: Normal and osteoporotic BMD at the total hip: DXA analysis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85" w:history="1">
        <w:r w:rsidR="00A87E30" w:rsidRPr="004C68BD">
          <w:rPr>
            <w:rStyle w:val="Hyperlink"/>
            <w:rFonts w:ascii="Arial" w:hAnsi="Arial" w:cs="Arial"/>
            <w:noProof/>
          </w:rPr>
          <w:t>Figure 2: Human osteoclast cells on the eroded surface of a bone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86" w:history="1">
        <w:r w:rsidR="00A87E30" w:rsidRPr="004C68BD">
          <w:rPr>
            <w:rStyle w:val="Hyperlink"/>
            <w:rFonts w:ascii="Arial" w:hAnsi="Arial" w:cs="Arial"/>
            <w:noProof/>
          </w:rPr>
          <w:t>Figure 3: The process of osteoclast differentiation and formation: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87" w:history="1">
        <w:r w:rsidR="00A87E30" w:rsidRPr="004C68BD">
          <w:rPr>
            <w:rStyle w:val="Hyperlink"/>
            <w:rFonts w:ascii="Arial" w:hAnsi="Arial" w:cs="Arial"/>
            <w:noProof/>
          </w:rPr>
          <w:t>Figure 4:</w:t>
        </w:r>
        <w:r w:rsidR="00A87E30" w:rsidRPr="004C68BD">
          <w:rPr>
            <w:rFonts w:ascii="Arial" w:hAnsi="Arial" w:cs="Arial"/>
            <w:noProof/>
          </w:rPr>
          <w:t xml:space="preserve"> </w:t>
        </w:r>
        <w:r w:rsidR="00A87E30" w:rsidRPr="004C68BD">
          <w:rPr>
            <w:rStyle w:val="Hyperlink"/>
            <w:rFonts w:ascii="Arial" w:hAnsi="Arial" w:cs="Arial"/>
            <w:noProof/>
          </w:rPr>
          <w:t>The mechanism of bone resorption by the osteoclast cells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88" w:history="1">
        <w:r w:rsidR="00A87E30" w:rsidRPr="004C68BD">
          <w:rPr>
            <w:rStyle w:val="Hyperlink"/>
            <w:rFonts w:ascii="Arial" w:hAnsi="Arial" w:cs="Arial"/>
            <w:noProof/>
          </w:rPr>
          <w:t>Figure 5:</w:t>
        </w:r>
        <w:r w:rsidR="00A87E30" w:rsidRPr="004C68BD">
          <w:rPr>
            <w:rFonts w:ascii="Arial" w:hAnsi="Arial" w:cs="Arial"/>
            <w:noProof/>
          </w:rPr>
          <w:t xml:space="preserve"> </w:t>
        </w:r>
        <w:r w:rsidR="00A87E30" w:rsidRPr="004C68BD">
          <w:rPr>
            <w:rStyle w:val="Hyperlink"/>
            <w:rFonts w:ascii="Arial" w:hAnsi="Arial" w:cs="Arial"/>
            <w:noProof/>
          </w:rPr>
          <w:t>Human osteoblast cells stacked on the osteoid of a bone biopsy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89" w:history="1">
        <w:r w:rsidR="00A87E30" w:rsidRPr="004C68BD">
          <w:rPr>
            <w:rStyle w:val="Hyperlink"/>
            <w:rFonts w:ascii="Arial" w:hAnsi="Arial" w:cs="Arial"/>
            <w:noProof/>
          </w:rPr>
          <w:t>Figure 6: The process of osteoblast differentiation and formation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_Toc425419489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90" w:history="1">
        <w:r w:rsidR="00A87E30" w:rsidRPr="004C68BD">
          <w:rPr>
            <w:rStyle w:val="Hyperlink"/>
            <w:rFonts w:ascii="Arial" w:hAnsi="Arial" w:cs="Arial"/>
            <w:noProof/>
          </w:rPr>
          <w:t>Figure 7: Human osteocytes embedded in the lacunae of  a bone biopsy.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48" w:anchor="_Toc425419491" w:history="1">
        <w:r w:rsidR="00A87E30" w:rsidRPr="004C68BD">
          <w:rPr>
            <w:rStyle w:val="Hyperlink"/>
            <w:rFonts w:ascii="Arial" w:hAnsi="Arial" w:cs="Arial"/>
            <w:noProof/>
          </w:rPr>
          <w:t>Figure 8: The process of osteocyte differentiation and formation.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92" w:history="1">
        <w:r w:rsidR="00A87E30" w:rsidRPr="004C68BD">
          <w:rPr>
            <w:rStyle w:val="Hyperlink"/>
            <w:rFonts w:ascii="Arial" w:hAnsi="Arial" w:cs="Arial"/>
            <w:noProof/>
          </w:rPr>
          <w:t>Figure 9:</w:t>
        </w:r>
        <w:r w:rsidR="00A87E30" w:rsidRPr="004C68BD">
          <w:rPr>
            <w:rFonts w:ascii="Arial" w:hAnsi="Arial" w:cs="Arial"/>
            <w:noProof/>
          </w:rPr>
          <w:t xml:space="preserve"> </w:t>
        </w:r>
        <w:r w:rsidR="00A87E30" w:rsidRPr="004C68BD">
          <w:rPr>
            <w:rStyle w:val="Hyperlink"/>
            <w:rFonts w:ascii="Arial" w:hAnsi="Arial" w:cs="Arial"/>
            <w:noProof/>
          </w:rPr>
          <w:t>The Wnt signalling pathway: Role in the regulation of bone formation.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49" w:anchor="_Toc425419493" w:history="1">
        <w:r w:rsidR="00A87E30" w:rsidRPr="004C68BD">
          <w:rPr>
            <w:rStyle w:val="Hyperlink"/>
            <w:rFonts w:ascii="Arial" w:hAnsi="Arial" w:cs="Arial"/>
            <w:noProof/>
          </w:rPr>
          <w:t>Figure 10: The bone remodelling process in normal bone physiology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94" w:history="1">
        <w:r w:rsidR="00A87E30" w:rsidRPr="004C68BD">
          <w:rPr>
            <w:rStyle w:val="Hyperlink"/>
            <w:rFonts w:ascii="Arial" w:hAnsi="Arial" w:cs="Arial"/>
            <w:noProof/>
          </w:rPr>
          <w:t>Figure 11: The local regulation of bone turnover in normal bone physiology and with antiresorptive treatment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29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0" w:anchor="_Toc425419495" w:history="1">
        <w:r w:rsidR="00A87E30" w:rsidRPr="004C68BD">
          <w:rPr>
            <w:rStyle w:val="Hyperlink"/>
            <w:rFonts w:ascii="Arial" w:hAnsi="Arial" w:cs="Arial"/>
            <w:noProof/>
          </w:rPr>
          <w:t>Figure 12: The bone remodelling process in osteoporotic bone physiology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31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496" w:history="1">
        <w:r w:rsidR="00A87E30" w:rsidRPr="004C68BD">
          <w:rPr>
            <w:rStyle w:val="Hyperlink"/>
            <w:rFonts w:ascii="Arial" w:hAnsi="Arial" w:cs="Arial"/>
            <w:noProof/>
          </w:rPr>
          <w:t>Figure 13:</w:t>
        </w:r>
        <w:r w:rsidR="00900F2C" w:rsidRPr="004C68BD">
          <w:rPr>
            <w:rFonts w:ascii="Arial" w:hAnsi="Arial" w:cs="Arial"/>
            <w:noProof/>
          </w:rPr>
          <w:t xml:space="preserve"> </w:t>
        </w:r>
        <w:r w:rsidR="00900F2C" w:rsidRPr="004C68BD">
          <w:rPr>
            <w:rStyle w:val="Hyperlink"/>
            <w:rFonts w:ascii="Arial" w:hAnsi="Arial" w:cs="Arial"/>
            <w:noProof/>
          </w:rPr>
          <w:t>HR-pQCT images of a normal radius and tibia and an osteoporotic radius and an osteoporotic tibia</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31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1" w:anchor="_Toc425419497" w:history="1">
        <w:r w:rsidR="00A87E30" w:rsidRPr="004C68BD">
          <w:rPr>
            <w:rStyle w:val="Hyperlink"/>
            <w:rFonts w:ascii="Arial" w:hAnsi="Arial" w:cs="Arial"/>
            <w:noProof/>
          </w:rPr>
          <w:t>Figure 14: The formation of type I collagen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34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2" w:anchor="_Toc425419498" w:history="1">
        <w:r w:rsidR="00A87E30" w:rsidRPr="004C68BD">
          <w:rPr>
            <w:rStyle w:val="Hyperlink"/>
            <w:rFonts w:ascii="Arial" w:hAnsi="Arial" w:cs="Arial"/>
            <w:noProof/>
          </w:rPr>
          <w:t>Figure 15: The synthesis of bone resorption markers from type I collagen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35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3" w:anchor="_Toc425419499" w:history="1">
        <w:r w:rsidR="00A87E30" w:rsidRPr="004C68BD">
          <w:rPr>
            <w:rStyle w:val="Hyperlink"/>
            <w:rFonts w:ascii="Arial" w:hAnsi="Arial" w:cs="Arial"/>
            <w:noProof/>
          </w:rPr>
          <w:t>Figure 16:</w:t>
        </w:r>
        <w:r w:rsidR="00900F2C" w:rsidRPr="004C68BD">
          <w:rPr>
            <w:rStyle w:val="Hyperlink"/>
            <w:rFonts w:ascii="Arial" w:hAnsi="Arial" w:cs="Arial"/>
            <w:noProof/>
          </w:rPr>
          <w:t xml:space="preserve"> Timeline showing the development of licenced osteoporosis treatments in the United Kingdom</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_Toc425419499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39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00" w:history="1">
        <w:r w:rsidR="00A87E30" w:rsidRPr="004C68BD">
          <w:rPr>
            <w:rStyle w:val="Hyperlink"/>
            <w:rFonts w:ascii="Arial" w:hAnsi="Arial" w:cs="Arial"/>
            <w:noProof/>
          </w:rPr>
          <w:t>Figure 17: the general molecular structure of bisphosphonates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40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01" w:history="1">
        <w:r w:rsidR="00A87E30" w:rsidRPr="004C68BD">
          <w:rPr>
            <w:rStyle w:val="Hyperlink"/>
            <w:rFonts w:ascii="Arial" w:hAnsi="Arial" w:cs="Arial"/>
            <w:noProof/>
          </w:rPr>
          <w:t>Figure 18:</w:t>
        </w:r>
        <w:r w:rsidR="00900F2C" w:rsidRPr="004C68BD">
          <w:rPr>
            <w:rStyle w:val="Hyperlink"/>
            <w:rFonts w:ascii="Arial" w:hAnsi="Arial" w:cs="Arial"/>
            <w:noProof/>
          </w:rPr>
          <w:t xml:space="preserve"> The binding of SERMs to ERα and ERβ and gene transcription.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43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02" w:history="1">
        <w:r w:rsidR="00A87E30" w:rsidRPr="004C68BD">
          <w:rPr>
            <w:rStyle w:val="Hyperlink"/>
            <w:rFonts w:ascii="Arial" w:hAnsi="Arial" w:cs="Arial"/>
            <w:noProof/>
          </w:rPr>
          <w:t>Figure 19:</w:t>
        </w:r>
        <w:r w:rsidR="00900F2C" w:rsidRPr="004C68BD">
          <w:rPr>
            <w:rFonts w:ascii="Arial" w:hAnsi="Arial" w:cs="Arial"/>
            <w:noProof/>
          </w:rPr>
          <w:t xml:space="preserve"> </w:t>
        </w:r>
        <w:r w:rsidR="00900F2C" w:rsidRPr="004C68BD">
          <w:rPr>
            <w:rStyle w:val="Hyperlink"/>
            <w:rFonts w:ascii="Arial" w:hAnsi="Arial" w:cs="Arial"/>
            <w:noProof/>
          </w:rPr>
          <w:t>An overview of chemiluminescence methodology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54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4" w:anchor="_Toc425419503" w:history="1">
        <w:r w:rsidR="00A87E30" w:rsidRPr="004C68BD">
          <w:rPr>
            <w:rStyle w:val="Hyperlink"/>
            <w:rFonts w:ascii="Arial" w:hAnsi="Arial" w:cs="Arial"/>
            <w:noProof/>
          </w:rPr>
          <w:t>Figure 20: IDS-iSYS PINP calibration curve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55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5" w:anchor="_Toc425419504" w:history="1">
        <w:r w:rsidR="00A87E30" w:rsidRPr="004C68BD">
          <w:rPr>
            <w:rStyle w:val="Hyperlink"/>
            <w:rFonts w:ascii="Arial" w:hAnsi="Arial" w:cs="Arial"/>
            <w:noProof/>
          </w:rPr>
          <w:t xml:space="preserve">Figure 21: The </w:t>
        </w:r>
        <w:r w:rsidR="00900F2C" w:rsidRPr="004C68BD">
          <w:rPr>
            <w:rStyle w:val="Hyperlink"/>
            <w:rFonts w:ascii="Arial" w:hAnsi="Arial" w:cs="Arial"/>
            <w:noProof/>
          </w:rPr>
          <w:t xml:space="preserve">long term </w:t>
        </w:r>
        <w:r w:rsidR="00A87E30" w:rsidRPr="004C68BD">
          <w:rPr>
            <w:rStyle w:val="Hyperlink"/>
            <w:rFonts w:ascii="Arial" w:hAnsi="Arial" w:cs="Arial"/>
            <w:noProof/>
          </w:rPr>
          <w:t>stability of PINP.</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56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6" w:anchor="_Toc425419505" w:history="1">
        <w:r w:rsidR="00900F2C" w:rsidRPr="004C68BD">
          <w:rPr>
            <w:rStyle w:val="Hyperlink"/>
            <w:rFonts w:ascii="Arial" w:hAnsi="Arial" w:cs="Arial"/>
            <w:noProof/>
          </w:rPr>
          <w:t xml:space="preserve">Figure 22: PINP </w:t>
        </w:r>
        <w:r w:rsidR="00A87E30" w:rsidRPr="004C68BD">
          <w:rPr>
            <w:rStyle w:val="Hyperlink"/>
            <w:rFonts w:ascii="Arial" w:hAnsi="Arial" w:cs="Arial"/>
            <w:noProof/>
          </w:rPr>
          <w:t>method comparison analyses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57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7" w:anchor="_Toc425419506" w:history="1">
        <w:r w:rsidR="00A87E30" w:rsidRPr="004C68BD">
          <w:rPr>
            <w:rStyle w:val="Hyperlink"/>
            <w:rFonts w:ascii="Arial" w:hAnsi="Arial" w:cs="Arial"/>
            <w:noProof/>
          </w:rPr>
          <w:t>Figure 23: IDS-iSYS CTX-1 calibration curve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58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8" w:anchor="_Toc425419507" w:history="1">
        <w:r w:rsidR="00A87E30" w:rsidRPr="004C68BD">
          <w:rPr>
            <w:rStyle w:val="Hyperlink"/>
            <w:rFonts w:ascii="Arial" w:hAnsi="Arial" w:cs="Arial"/>
            <w:noProof/>
          </w:rPr>
          <w:t xml:space="preserve">Figure 24 : The </w:t>
        </w:r>
        <w:r w:rsidR="00900F2C" w:rsidRPr="004C68BD">
          <w:rPr>
            <w:rStyle w:val="Hyperlink"/>
            <w:rFonts w:ascii="Arial" w:hAnsi="Arial" w:cs="Arial"/>
            <w:noProof/>
          </w:rPr>
          <w:t>long term stability of CTX</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59" w:anchor="_Toc425419508" w:history="1">
        <w:r w:rsidR="00A87E30" w:rsidRPr="004C68BD">
          <w:rPr>
            <w:rStyle w:val="Hyperlink"/>
            <w:rFonts w:ascii="Arial" w:hAnsi="Arial" w:cs="Arial"/>
            <w:noProof/>
          </w:rPr>
          <w:t>Figure 25: CTX method comparison analyses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0" w:anchor="_Toc425419509" w:history="1">
        <w:r w:rsidR="00A87E30" w:rsidRPr="004C68BD">
          <w:rPr>
            <w:rStyle w:val="Hyperlink"/>
            <w:rFonts w:ascii="Arial" w:hAnsi="Arial" w:cs="Arial"/>
            <w:noProof/>
          </w:rPr>
          <w:t>Figure 26: IDS-iSYS N-Mid® osteocalcin calibration curve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_Toc425419509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0" w:history="1">
        <w:r w:rsidR="00A87E30" w:rsidRPr="004C68BD">
          <w:rPr>
            <w:rStyle w:val="Hyperlink"/>
            <w:rFonts w:ascii="Arial" w:hAnsi="Arial" w:cs="Arial"/>
            <w:noProof/>
          </w:rPr>
          <w:t>Figure 27: The long term storage at on osteocalcin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1" w:anchor="_Toc425419511" w:history="1">
        <w:r w:rsidR="00A87E30" w:rsidRPr="004C68BD">
          <w:rPr>
            <w:rStyle w:val="Hyperlink"/>
            <w:rFonts w:ascii="Arial" w:hAnsi="Arial" w:cs="Arial"/>
            <w:noProof/>
          </w:rPr>
          <w:t>Figure 28: Osteocalcin method comparison analyses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2" w:anchor="_Toc425419512" w:history="1">
        <w:r w:rsidR="00A87E30" w:rsidRPr="004C68BD">
          <w:rPr>
            <w:rStyle w:val="Hyperlink"/>
            <w:rFonts w:ascii="Arial" w:hAnsi="Arial" w:cs="Arial"/>
            <w:noProof/>
          </w:rPr>
          <w:t>Figure 29: IDS-Isys</w:t>
        </w:r>
        <w:r w:rsidR="00900F2C" w:rsidRPr="004C68BD">
          <w:rPr>
            <w:rStyle w:val="Hyperlink"/>
            <w:rFonts w:ascii="Arial" w:hAnsi="Arial" w:cs="Arial"/>
            <w:noProof/>
          </w:rPr>
          <w:t xml:space="preserve"> Ostase® BAP calibration curve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3" w:anchor="_Toc425419513" w:history="1">
        <w:r w:rsidR="00A87E30" w:rsidRPr="004C68BD">
          <w:rPr>
            <w:rStyle w:val="Hyperlink"/>
            <w:rFonts w:ascii="Arial" w:hAnsi="Arial" w:cs="Arial"/>
            <w:noProof/>
          </w:rPr>
          <w:t xml:space="preserve">Figure 30: The </w:t>
        </w:r>
        <w:r w:rsidR="00900F2C" w:rsidRPr="004C68BD">
          <w:rPr>
            <w:rStyle w:val="Hyperlink"/>
            <w:rFonts w:ascii="Arial" w:hAnsi="Arial" w:cs="Arial"/>
            <w:noProof/>
          </w:rPr>
          <w:t>long term stability of bone ALP</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4" w:anchor="_Toc425419514" w:history="1">
        <w:r w:rsidR="00A87E30" w:rsidRPr="004C68BD">
          <w:rPr>
            <w:rStyle w:val="Hyperlink"/>
            <w:rFonts w:ascii="Arial" w:hAnsi="Arial" w:cs="Arial"/>
            <w:noProof/>
          </w:rPr>
          <w:t>Figure 31: Bone ALP method comparison analyses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5" w:history="1">
        <w:r w:rsidR="00A87E30" w:rsidRPr="004C68BD">
          <w:rPr>
            <w:rStyle w:val="Hyperlink"/>
            <w:rFonts w:ascii="Arial" w:hAnsi="Arial" w:cs="Arial"/>
            <w:noProof/>
          </w:rPr>
          <w:t xml:space="preserve">Figure 32: </w:t>
        </w:r>
        <w:r w:rsidR="00900F2C" w:rsidRPr="004C68BD">
          <w:rPr>
            <w:rStyle w:val="Hyperlink"/>
            <w:rFonts w:ascii="Arial" w:hAnsi="Arial" w:cs="Arial"/>
            <w:noProof/>
          </w:rPr>
          <w:t>The long term stability</w:t>
        </w:r>
        <w:r w:rsidR="00A87E30" w:rsidRPr="004C68BD">
          <w:rPr>
            <w:rStyle w:val="Hyperlink"/>
            <w:rFonts w:ascii="Arial" w:hAnsi="Arial" w:cs="Arial"/>
            <w:noProof/>
          </w:rPr>
          <w:t xml:space="preserve"> </w:t>
        </w:r>
        <w:r w:rsidR="00900F2C" w:rsidRPr="004C68BD">
          <w:rPr>
            <w:rStyle w:val="Hyperlink"/>
            <w:rFonts w:ascii="Arial" w:hAnsi="Arial" w:cs="Arial"/>
            <w:noProof/>
          </w:rPr>
          <w:t>of NTX</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69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6" w:history="1">
        <w:r w:rsidR="00900F2C" w:rsidRPr="004C68BD">
          <w:rPr>
            <w:rStyle w:val="Hyperlink"/>
            <w:rFonts w:ascii="Arial" w:hAnsi="Arial" w:cs="Arial"/>
            <w:noProof/>
          </w:rPr>
          <w:t>Figure 33: The long term stability of</w:t>
        </w:r>
        <w:r w:rsidR="00A87E30" w:rsidRPr="004C68BD">
          <w:rPr>
            <w:rStyle w:val="Hyperlink"/>
            <w:rFonts w:ascii="Arial" w:hAnsi="Arial" w:cs="Arial"/>
            <w:noProof/>
          </w:rPr>
          <w:t xml:space="preserve"> creatinine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71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7" w:history="1">
        <w:r w:rsidR="00A87E30" w:rsidRPr="004C68BD">
          <w:rPr>
            <w:rStyle w:val="Hyperlink"/>
            <w:rFonts w:ascii="Arial" w:hAnsi="Arial" w:cs="Arial"/>
            <w:noProof/>
          </w:rPr>
          <w:t>Figure 34: An overview of the direct-capture ELISA</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72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8" w:history="1">
        <w:r w:rsidR="00A87E30" w:rsidRPr="004C68BD">
          <w:rPr>
            <w:rStyle w:val="Hyperlink"/>
            <w:rFonts w:ascii="Arial" w:hAnsi="Arial" w:cs="Arial"/>
            <w:noProof/>
          </w:rPr>
          <w:t>Figure 35: An example of a 96-well plate ELISA set up</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72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19" w:history="1">
        <w:r w:rsidR="00A87E30" w:rsidRPr="004C68BD">
          <w:rPr>
            <w:rStyle w:val="Hyperlink"/>
            <w:rFonts w:ascii="Arial" w:hAnsi="Arial" w:cs="Arial"/>
            <w:noProof/>
          </w:rPr>
          <w:t>Figure 36: An example of a 4-parametre logistic standard curve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_Toc425419519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73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5" w:anchor="_Toc425419520" w:history="1">
        <w:r w:rsidR="00A87E30" w:rsidRPr="004C68BD">
          <w:rPr>
            <w:rStyle w:val="Hyperlink"/>
            <w:rFonts w:ascii="Arial" w:hAnsi="Arial" w:cs="Arial"/>
            <w:noProof/>
          </w:rPr>
          <w:t>Figure 37: Sclerostin method comparision analyses)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76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1" w:history="1">
        <w:r w:rsidR="00A87E30" w:rsidRPr="004C68BD">
          <w:rPr>
            <w:rStyle w:val="Hyperlink"/>
            <w:rFonts w:ascii="Arial" w:hAnsi="Arial" w:cs="Arial"/>
            <w:noProof/>
          </w:rPr>
          <w:t xml:space="preserve">Figure 38: Healthy reference intervals for older and younger women for </w:t>
        </w:r>
        <w:r w:rsidR="00900F2C" w:rsidRPr="004C68BD">
          <w:rPr>
            <w:rStyle w:val="Hyperlink"/>
            <w:rFonts w:ascii="Arial" w:hAnsi="Arial" w:cs="Arial"/>
            <w:noProof/>
          </w:rPr>
          <w:t>bone turnover markers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85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2" w:history="1">
        <w:r w:rsidR="00A87E30" w:rsidRPr="004C68BD">
          <w:rPr>
            <w:rStyle w:val="Hyperlink"/>
            <w:rFonts w:ascii="Arial" w:hAnsi="Arial" w:cs="Arial"/>
            <w:noProof/>
          </w:rPr>
          <w:t xml:space="preserve">Figure 39: the effect of age </w:t>
        </w:r>
        <w:r w:rsidR="00900F2C" w:rsidRPr="004C68BD">
          <w:rPr>
            <w:rStyle w:val="Hyperlink"/>
            <w:rFonts w:ascii="Arial" w:hAnsi="Arial" w:cs="Arial"/>
            <w:noProof/>
          </w:rPr>
          <w:t>on bone turnover markers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87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6" w:anchor="_Toc425419523" w:history="1">
        <w:r w:rsidR="00A87E30" w:rsidRPr="004C68BD">
          <w:rPr>
            <w:rStyle w:val="Hyperlink"/>
            <w:rFonts w:ascii="Arial" w:hAnsi="Arial" w:cs="Arial"/>
            <w:noProof/>
          </w:rPr>
          <w:t>Figure 40: The clinical features of postmenopausal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90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4" w:history="1">
        <w:r w:rsidR="00A87E30" w:rsidRPr="004C68BD">
          <w:rPr>
            <w:rStyle w:val="Hyperlink"/>
            <w:rFonts w:ascii="Arial" w:hAnsi="Arial" w:cs="Arial"/>
            <w:noProof/>
          </w:rPr>
          <w:t>Figure 41: An illustration of the T-score bone marker plot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94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5" w:history="1">
        <w:r w:rsidR="00A87E30" w:rsidRPr="004C68BD">
          <w:rPr>
            <w:rStyle w:val="Hyperlink"/>
            <w:rFonts w:ascii="Arial" w:hAnsi="Arial" w:cs="Arial"/>
            <w:noProof/>
          </w:rPr>
          <w:t>Figure 42: T-score bone marker plots fo</w:t>
        </w:r>
        <w:r w:rsidR="00900F2C" w:rsidRPr="004C68BD">
          <w:rPr>
            <w:rStyle w:val="Hyperlink"/>
            <w:rFonts w:ascii="Arial" w:hAnsi="Arial" w:cs="Arial"/>
            <w:noProof/>
          </w:rPr>
          <w:t xml:space="preserve">r postmenopausal and </w:t>
        </w:r>
        <w:r w:rsidR="00A87E30" w:rsidRPr="004C68BD">
          <w:rPr>
            <w:rStyle w:val="Hyperlink"/>
            <w:rFonts w:ascii="Arial" w:hAnsi="Arial" w:cs="Arial"/>
            <w:noProof/>
          </w:rPr>
          <w:t>pre</w:t>
        </w:r>
        <w:r w:rsidR="00900F2C" w:rsidRPr="004C68BD">
          <w:rPr>
            <w:rStyle w:val="Hyperlink"/>
            <w:rFonts w:ascii="Arial" w:hAnsi="Arial" w:cs="Arial"/>
            <w:noProof/>
          </w:rPr>
          <w:t>menopausal women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95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6" w:history="1">
        <w:r w:rsidR="00A87E30" w:rsidRPr="004C68BD">
          <w:rPr>
            <w:rStyle w:val="Hyperlink"/>
            <w:rFonts w:ascii="Arial" w:hAnsi="Arial" w:cs="Arial"/>
            <w:noProof/>
          </w:rPr>
          <w:t xml:space="preserve">Figure 43: </w:t>
        </w:r>
        <w:r w:rsidR="00900F2C" w:rsidRPr="004C68BD">
          <w:rPr>
            <w:rStyle w:val="Hyperlink"/>
            <w:rFonts w:ascii="Arial" w:hAnsi="Arial" w:cs="Arial"/>
            <w:noProof/>
          </w:rPr>
          <w:t>The</w:t>
        </w:r>
        <w:r w:rsidR="00A87E30" w:rsidRPr="004C68BD">
          <w:rPr>
            <w:rStyle w:val="Hyperlink"/>
            <w:rFonts w:ascii="Arial" w:hAnsi="Arial" w:cs="Arial"/>
            <w:noProof/>
          </w:rPr>
          <w:t xml:space="preserve"> effects of ibandronate, alendronate and risedronate on CTX in postmenopausal women with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107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7" w:history="1">
        <w:r w:rsidR="00A87E30" w:rsidRPr="004C68BD">
          <w:rPr>
            <w:rStyle w:val="Hyperlink"/>
            <w:rFonts w:ascii="Arial" w:hAnsi="Arial" w:cs="Arial"/>
            <w:noProof/>
          </w:rPr>
          <w:t xml:space="preserve">Figure 44: </w:t>
        </w:r>
        <w:r w:rsidR="00900F2C" w:rsidRPr="004C68BD">
          <w:rPr>
            <w:rStyle w:val="Hyperlink"/>
            <w:rFonts w:ascii="Arial" w:hAnsi="Arial" w:cs="Arial"/>
            <w:noProof/>
          </w:rPr>
          <w:t xml:space="preserve">The </w:t>
        </w:r>
        <w:r w:rsidR="00A87E30" w:rsidRPr="004C68BD">
          <w:rPr>
            <w:rStyle w:val="Hyperlink"/>
            <w:rFonts w:ascii="Arial" w:hAnsi="Arial" w:cs="Arial"/>
            <w:noProof/>
          </w:rPr>
          <w:t>effects of ibandronate, alendronate and risedronate on NTX/Cr in postmenopausal women with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108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8" w:history="1">
        <w:r w:rsidR="00A87E30" w:rsidRPr="004C68BD">
          <w:rPr>
            <w:rStyle w:val="Hyperlink"/>
            <w:rFonts w:ascii="Arial" w:hAnsi="Arial" w:cs="Arial"/>
            <w:noProof/>
          </w:rPr>
          <w:t xml:space="preserve">Figure 45: </w:t>
        </w:r>
        <w:r w:rsidR="00900F2C" w:rsidRPr="004C68BD">
          <w:rPr>
            <w:rStyle w:val="Hyperlink"/>
            <w:rFonts w:ascii="Arial" w:hAnsi="Arial" w:cs="Arial"/>
            <w:noProof/>
          </w:rPr>
          <w:t xml:space="preserve">The </w:t>
        </w:r>
        <w:r w:rsidR="00A87E30" w:rsidRPr="004C68BD">
          <w:rPr>
            <w:rStyle w:val="Hyperlink"/>
            <w:rFonts w:ascii="Arial" w:hAnsi="Arial" w:cs="Arial"/>
            <w:noProof/>
          </w:rPr>
          <w:t>effects of ibandronate, alendronate and risedronate treatment on PINP in postmenopausal women with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108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29" w:history="1">
        <w:r w:rsidR="00A87E30" w:rsidRPr="004C68BD">
          <w:rPr>
            <w:rStyle w:val="Hyperlink"/>
            <w:rFonts w:ascii="Arial" w:hAnsi="Arial" w:cs="Arial"/>
            <w:noProof/>
          </w:rPr>
          <w:t xml:space="preserve">Figure 46: </w:t>
        </w:r>
        <w:r w:rsidR="00900F2C" w:rsidRPr="004C68BD">
          <w:rPr>
            <w:rStyle w:val="Hyperlink"/>
            <w:rFonts w:ascii="Arial" w:hAnsi="Arial" w:cs="Arial"/>
            <w:noProof/>
          </w:rPr>
          <w:t>The effects</w:t>
        </w:r>
        <w:r w:rsidR="00A87E30" w:rsidRPr="004C68BD">
          <w:rPr>
            <w:rStyle w:val="Hyperlink"/>
            <w:rFonts w:ascii="Arial" w:hAnsi="Arial" w:cs="Arial"/>
            <w:noProof/>
          </w:rPr>
          <w:t xml:space="preserve"> of ibandronate, alendronate and risedronate on bone ALP in postmenopausal women with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_Toc425419529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109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0" w:history="1">
        <w:r w:rsidR="00A87E30" w:rsidRPr="004C68BD">
          <w:rPr>
            <w:rStyle w:val="Hyperlink"/>
            <w:rFonts w:ascii="Arial" w:hAnsi="Arial" w:cs="Arial"/>
            <w:noProof/>
          </w:rPr>
          <w:t>Figure 47:</w:t>
        </w:r>
        <w:r w:rsidR="00900F2C" w:rsidRPr="004C68BD">
          <w:rPr>
            <w:rStyle w:val="Hyperlink"/>
            <w:rFonts w:ascii="Arial" w:hAnsi="Arial" w:cs="Arial"/>
            <w:noProof/>
          </w:rPr>
          <w:t xml:space="preserve"> T</w:t>
        </w:r>
        <w:r w:rsidR="00A87E30" w:rsidRPr="004C68BD">
          <w:rPr>
            <w:rStyle w:val="Hyperlink"/>
            <w:rFonts w:ascii="Arial" w:hAnsi="Arial" w:cs="Arial"/>
            <w:noProof/>
          </w:rPr>
          <w:t>he effects of ibandronate, alendronate and risedronate on osteocalcin in postmenopausal women with osteoporosis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109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1" w:history="1">
        <w:r w:rsidR="00A87E30" w:rsidRPr="004C68BD">
          <w:rPr>
            <w:rStyle w:val="Hyperlink"/>
            <w:rFonts w:ascii="Arial" w:hAnsi="Arial" w:cs="Arial"/>
            <w:noProof/>
          </w:rPr>
          <w:t xml:space="preserve">Figure 48: </w:t>
        </w:r>
        <w:r w:rsidR="00900F2C" w:rsidRPr="004C68BD">
          <w:rPr>
            <w:rStyle w:val="Hyperlink"/>
            <w:rFonts w:ascii="Arial" w:hAnsi="Arial" w:cs="Arial"/>
            <w:noProof/>
          </w:rPr>
          <w:t>The</w:t>
        </w:r>
        <w:r w:rsidR="00A87E30" w:rsidRPr="004C68BD">
          <w:rPr>
            <w:rStyle w:val="Hyperlink"/>
            <w:rFonts w:ascii="Arial" w:hAnsi="Arial" w:cs="Arial"/>
            <w:noProof/>
          </w:rPr>
          <w:t xml:space="preserve"> effects of raloxifene treatment on </w:t>
        </w:r>
        <w:r w:rsidR="00900F2C" w:rsidRPr="004C68BD">
          <w:rPr>
            <w:rStyle w:val="Hyperlink"/>
            <w:rFonts w:ascii="Arial" w:hAnsi="Arial" w:cs="Arial"/>
            <w:noProof/>
          </w:rPr>
          <w:t>bone turno</w:t>
        </w:r>
        <w:r w:rsidR="00347B9D" w:rsidRPr="004C68BD">
          <w:rPr>
            <w:rStyle w:val="Hyperlink"/>
            <w:rFonts w:ascii="Arial" w:hAnsi="Arial" w:cs="Arial"/>
            <w:noProof/>
          </w:rPr>
          <w:t>ver markers</w:t>
        </w:r>
        <w:r w:rsidR="00A87E30" w:rsidRPr="004C68BD">
          <w:rPr>
            <w:rStyle w:val="Hyperlink"/>
            <w:rFonts w:ascii="Arial" w:hAnsi="Arial" w:cs="Arial"/>
            <w:noProof/>
          </w:rPr>
          <w:t xml:space="preserve"> in postm</w:t>
        </w:r>
        <w:r w:rsidR="00347B9D" w:rsidRPr="004C68BD">
          <w:rPr>
            <w:rStyle w:val="Hyperlink"/>
            <w:rFonts w:ascii="Arial" w:hAnsi="Arial" w:cs="Arial"/>
            <w:noProof/>
          </w:rPr>
          <w:t>enopausal women with osteopenia</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110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7" w:anchor="_Toc425419532" w:history="1">
        <w:r w:rsidR="00A87E30" w:rsidRPr="004C68BD">
          <w:rPr>
            <w:rStyle w:val="Hyperlink"/>
            <w:rFonts w:ascii="Arial" w:hAnsi="Arial" w:cs="Arial"/>
            <w:noProof/>
          </w:rPr>
          <w:t>Figure 49:</w:t>
        </w:r>
        <w:r w:rsidR="00347B9D" w:rsidRPr="004C68BD">
          <w:rPr>
            <w:rFonts w:ascii="Arial" w:hAnsi="Arial" w:cs="Arial"/>
            <w:noProof/>
          </w:rPr>
          <w:t xml:space="preserve"> </w:t>
        </w:r>
        <w:r w:rsidR="00347B9D" w:rsidRPr="004C68BD">
          <w:rPr>
            <w:rStyle w:val="Hyperlink"/>
            <w:rFonts w:ascii="Arial" w:hAnsi="Arial" w:cs="Arial"/>
            <w:noProof/>
          </w:rPr>
          <w:t>Bisphosphonates and osteoclast precursor cells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116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3" w:history="1">
        <w:r w:rsidR="00A87E30" w:rsidRPr="004C68BD">
          <w:rPr>
            <w:rStyle w:val="Hyperlink"/>
            <w:rFonts w:ascii="Arial" w:hAnsi="Arial" w:cs="Arial"/>
            <w:noProof/>
          </w:rPr>
          <w:t>Figure 50:</w:t>
        </w:r>
        <w:r w:rsidR="00347B9D" w:rsidRPr="004C68BD">
          <w:rPr>
            <w:rFonts w:ascii="Arial" w:hAnsi="Arial" w:cs="Arial"/>
            <w:noProof/>
          </w:rPr>
          <w:t xml:space="preserve"> </w:t>
        </w:r>
        <w:r w:rsidR="00347B9D" w:rsidRPr="004C68BD">
          <w:rPr>
            <w:rStyle w:val="Hyperlink"/>
            <w:rFonts w:ascii="Arial" w:hAnsi="Arial" w:cs="Arial"/>
            <w:noProof/>
          </w:rPr>
          <w:t>Sclerostin inhibits bone formation via the Wnt signalling pathway</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117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8" w:anchor="_Toc425419534" w:history="1">
        <w:r w:rsidR="00A87E30" w:rsidRPr="004C68BD">
          <w:rPr>
            <w:rStyle w:val="Hyperlink"/>
            <w:rFonts w:ascii="Arial" w:hAnsi="Arial" w:cs="Arial"/>
            <w:noProof/>
          </w:rPr>
          <w:t>Figure 51:</w:t>
        </w:r>
        <w:r w:rsidR="00347B9D" w:rsidRPr="004C68BD">
          <w:rPr>
            <w:rStyle w:val="Hyperlink"/>
            <w:rFonts w:ascii="Arial" w:hAnsi="Arial" w:cs="Arial"/>
            <w:noProof/>
          </w:rPr>
          <w:t xml:space="preserve"> A possible mechanism of the action of nitrogen containing bisphosphonates on bone formation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118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5" w:history="1">
        <w:r w:rsidR="00A87E30" w:rsidRPr="004C68BD">
          <w:rPr>
            <w:rStyle w:val="Hyperlink"/>
            <w:rFonts w:ascii="Arial" w:hAnsi="Arial" w:cs="Arial"/>
            <w:noProof/>
          </w:rPr>
          <w:t>Figure 52:</w:t>
        </w:r>
        <w:r w:rsidR="00347B9D" w:rsidRPr="004C68BD">
          <w:rPr>
            <w:rFonts w:ascii="Arial" w:hAnsi="Arial" w:cs="Arial"/>
            <w:noProof/>
          </w:rPr>
          <w:t xml:space="preserve"> </w:t>
        </w:r>
        <w:r w:rsidR="00347B9D" w:rsidRPr="004C68BD">
          <w:rPr>
            <w:rStyle w:val="Hyperlink"/>
            <w:rFonts w:ascii="Arial" w:hAnsi="Arial" w:cs="Arial"/>
            <w:noProof/>
          </w:rPr>
          <w:t>PBMCs identified using flow cytometry and histograms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6" w:history="1">
        <w:r w:rsidR="00A87E30" w:rsidRPr="004C68BD">
          <w:rPr>
            <w:rStyle w:val="Hyperlink"/>
            <w:rFonts w:ascii="Arial" w:hAnsi="Arial" w:cs="Arial"/>
            <w:noProof/>
          </w:rPr>
          <w:t>Figure 53:</w:t>
        </w:r>
        <w:r w:rsidR="00347B9D" w:rsidRPr="004C68BD">
          <w:rPr>
            <w:rFonts w:ascii="Arial" w:hAnsi="Arial" w:cs="Arial"/>
            <w:noProof/>
          </w:rPr>
          <w:t xml:space="preserve"> </w:t>
        </w:r>
        <w:r w:rsidR="00347B9D" w:rsidRPr="004C68BD">
          <w:rPr>
            <w:rStyle w:val="Hyperlink"/>
            <w:rFonts w:ascii="Arial" w:hAnsi="Arial" w:cs="Arial"/>
            <w:noProof/>
          </w:rPr>
          <w:t>Dot plots: unstained, antibody and isotype control stained PBMCs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69" w:anchor="_Toc425419537" w:history="1">
        <w:r w:rsidR="00A87E30" w:rsidRPr="004C68BD">
          <w:rPr>
            <w:rStyle w:val="Hyperlink"/>
            <w:rFonts w:ascii="Arial" w:hAnsi="Arial" w:cs="Arial"/>
            <w:noProof/>
          </w:rPr>
          <w:t>Figure 54:</w:t>
        </w:r>
        <w:r w:rsidR="00347B9D" w:rsidRPr="004C68BD">
          <w:rPr>
            <w:rFonts w:ascii="Arial" w:hAnsi="Arial" w:cs="Arial"/>
            <w:noProof/>
          </w:rPr>
          <w:t xml:space="preserve"> The affects of </w:t>
        </w:r>
        <w:r w:rsidR="00347B9D" w:rsidRPr="004C68BD">
          <w:rPr>
            <w:rStyle w:val="Hyperlink"/>
            <w:rFonts w:ascii="Arial" w:hAnsi="Arial" w:cs="Arial"/>
            <w:noProof/>
          </w:rPr>
          <w:t>bisphosphonates on osteoclast precursor cells.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r:id="rId70" w:anchor="_Toc425419538" w:history="1">
        <w:r w:rsidR="00A87E30" w:rsidRPr="004C68BD">
          <w:rPr>
            <w:rStyle w:val="Hyperlink"/>
            <w:rFonts w:ascii="Arial" w:hAnsi="Arial" w:cs="Arial"/>
            <w:noProof/>
          </w:rPr>
          <w:t>Figure 55:</w:t>
        </w:r>
        <w:r w:rsidR="00347B9D" w:rsidRPr="004C68BD">
          <w:rPr>
            <w:rStyle w:val="Hyperlink"/>
            <w:rFonts w:ascii="Arial" w:hAnsi="Arial" w:cs="Arial"/>
            <w:noProof/>
          </w:rPr>
          <w:t xml:space="preserve"> The affects of Ibandronate, alendronate and risedronate on osteoclast precursor cells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39" w:history="1">
        <w:r w:rsidR="00A87E30" w:rsidRPr="004C68BD">
          <w:rPr>
            <w:rStyle w:val="Hyperlink"/>
            <w:rFonts w:ascii="Arial" w:hAnsi="Arial" w:cs="Arial"/>
            <w:noProof/>
          </w:rPr>
          <w:t>Figure 56:</w:t>
        </w:r>
        <w:r w:rsidR="00347B9D" w:rsidRPr="004C68BD">
          <w:rPr>
            <w:rStyle w:val="Hyperlink"/>
            <w:rFonts w:ascii="Arial" w:hAnsi="Arial" w:cs="Arial"/>
            <w:noProof/>
          </w:rPr>
          <w:t xml:space="preserve"> The affects of bisphosphonates on RANKL and OPG</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_Toc425419539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0" w:history="1">
        <w:r w:rsidR="00A87E30" w:rsidRPr="004C68BD">
          <w:rPr>
            <w:rStyle w:val="Hyperlink"/>
            <w:rFonts w:ascii="Arial" w:hAnsi="Arial" w:cs="Arial"/>
            <w:noProof/>
          </w:rPr>
          <w:t>Figure 57:</w:t>
        </w:r>
        <w:r w:rsidR="00347B9D" w:rsidRPr="004C68BD">
          <w:rPr>
            <w:rFonts w:ascii="Arial" w:hAnsi="Arial" w:cs="Arial"/>
            <w:noProof/>
          </w:rPr>
          <w:t xml:space="preserve"> The affects of </w:t>
        </w:r>
        <w:r w:rsidR="00347B9D" w:rsidRPr="004C68BD">
          <w:rPr>
            <w:rStyle w:val="Hyperlink"/>
            <w:rFonts w:ascii="Arial" w:hAnsi="Arial" w:cs="Arial"/>
            <w:noProof/>
          </w:rPr>
          <w:t>ibandronate, alendronate and risedronate on PINP and CTX</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1" w:history="1">
        <w:r w:rsidR="00A87E30" w:rsidRPr="004C68BD">
          <w:rPr>
            <w:rStyle w:val="Hyperlink"/>
            <w:rFonts w:ascii="Arial" w:hAnsi="Arial" w:cs="Arial"/>
            <w:noProof/>
          </w:rPr>
          <w:t>Figure 58:</w:t>
        </w:r>
        <w:r w:rsidR="00347B9D" w:rsidRPr="004C68BD">
          <w:rPr>
            <w:rFonts w:ascii="Arial" w:hAnsi="Arial" w:cs="Arial"/>
            <w:noProof/>
          </w:rPr>
          <w:t xml:space="preserve"> </w:t>
        </w:r>
        <w:r w:rsidR="00347B9D" w:rsidRPr="004C68BD">
          <w:rPr>
            <w:rStyle w:val="Hyperlink"/>
            <w:rFonts w:ascii="Arial" w:hAnsi="Arial" w:cs="Arial"/>
            <w:noProof/>
          </w:rPr>
          <w:t>The T-scores calculated for PINP and CTX  in postmenopausal women treated with bisphosphonates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129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2" w:history="1">
        <w:r w:rsidR="00A87E30" w:rsidRPr="004C68BD">
          <w:rPr>
            <w:rStyle w:val="Hyperlink"/>
            <w:rFonts w:ascii="Arial" w:hAnsi="Arial" w:cs="Arial"/>
            <w:noProof/>
          </w:rPr>
          <w:t>Figure 59:</w:t>
        </w:r>
        <w:r w:rsidR="00347B9D" w:rsidRPr="004C68BD">
          <w:rPr>
            <w:rFonts w:ascii="Arial" w:hAnsi="Arial" w:cs="Arial"/>
            <w:noProof/>
          </w:rPr>
          <w:t xml:space="preserve"> </w:t>
        </w:r>
        <w:r w:rsidR="00347B9D" w:rsidRPr="004C68BD">
          <w:rPr>
            <w:rStyle w:val="Hyperlink"/>
            <w:rFonts w:ascii="Arial" w:hAnsi="Arial" w:cs="Arial"/>
            <w:noProof/>
          </w:rPr>
          <w:t>Bone turnover and bone balance  in postmenopausal women receiving bisphosphonate treatme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3" w:history="1">
        <w:r w:rsidR="00A87E30" w:rsidRPr="004C68BD">
          <w:rPr>
            <w:rStyle w:val="Hyperlink"/>
            <w:rFonts w:ascii="Arial" w:hAnsi="Arial" w:cs="Arial"/>
            <w:noProof/>
          </w:rPr>
          <w:t>Figure 60:</w:t>
        </w:r>
        <w:r w:rsidR="00347B9D" w:rsidRPr="004C68BD">
          <w:rPr>
            <w:rStyle w:val="Hyperlink"/>
            <w:rFonts w:ascii="Arial" w:hAnsi="Arial" w:cs="Arial"/>
            <w:noProof/>
          </w:rPr>
          <w:t xml:space="preserve"> T-score bone marker plots for postmenopausal women receiving bisphosphonate treatment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4" w:history="1">
        <w:r w:rsidR="00A87E30" w:rsidRPr="004C68BD">
          <w:rPr>
            <w:rStyle w:val="Hyperlink"/>
            <w:rFonts w:ascii="Arial" w:hAnsi="Arial" w:cs="Arial"/>
            <w:noProof/>
          </w:rPr>
          <w:t>Figure 61:</w:t>
        </w:r>
        <w:r w:rsidR="00347B9D" w:rsidRPr="004C68BD">
          <w:rPr>
            <w:rStyle w:val="Hyperlink"/>
            <w:rFonts w:ascii="Arial" w:hAnsi="Arial" w:cs="Arial"/>
            <w:noProof/>
          </w:rPr>
          <w:t xml:space="preserve"> The mean T-scores calculated for PINP and CTX for postmenopausal women receiving ibandronate, alendronate and risedronate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5" w:history="1">
        <w:r w:rsidR="00A87E30" w:rsidRPr="004C68BD">
          <w:rPr>
            <w:rStyle w:val="Hyperlink"/>
            <w:rFonts w:ascii="Arial" w:hAnsi="Arial" w:cs="Arial"/>
            <w:noProof/>
          </w:rPr>
          <w:t>Figure 62:</w:t>
        </w:r>
        <w:r w:rsidR="00347B9D" w:rsidRPr="004C68BD">
          <w:rPr>
            <w:rStyle w:val="Hyperlink"/>
            <w:rFonts w:ascii="Arial" w:hAnsi="Arial" w:cs="Arial"/>
            <w:noProof/>
          </w:rPr>
          <w:t xml:space="preserve"> Bone turnover in postmenopausal women receiving ibandronate  alendronate and risedronate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6" w:history="1">
        <w:r w:rsidR="00A87E30" w:rsidRPr="004C68BD">
          <w:rPr>
            <w:rStyle w:val="Hyperlink"/>
            <w:rFonts w:ascii="Arial" w:hAnsi="Arial" w:cs="Arial"/>
            <w:noProof/>
          </w:rPr>
          <w:t>Figure 63:</w:t>
        </w:r>
        <w:r w:rsidR="00347B9D" w:rsidRPr="004C68BD">
          <w:rPr>
            <w:rStyle w:val="Hyperlink"/>
            <w:rFonts w:ascii="Arial" w:hAnsi="Arial" w:cs="Arial"/>
            <w:noProof/>
          </w:rPr>
          <w:t xml:space="preserve"> Bone balance in postmenopausal women receiving ibandronate, alendronate and risedronate</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7" w:history="1">
        <w:r w:rsidR="00A87E30" w:rsidRPr="004C68BD">
          <w:rPr>
            <w:rStyle w:val="Hyperlink"/>
            <w:rFonts w:ascii="Arial" w:hAnsi="Arial" w:cs="Arial"/>
            <w:noProof/>
          </w:rPr>
          <w:t>Figure 64:</w:t>
        </w:r>
        <w:r w:rsidR="00C273D9" w:rsidRPr="004C68BD">
          <w:rPr>
            <w:rFonts w:ascii="Arial" w:hAnsi="Arial" w:cs="Arial"/>
            <w:noProof/>
          </w:rPr>
          <w:t xml:space="preserve"> </w:t>
        </w:r>
        <w:r w:rsidR="00C273D9" w:rsidRPr="004C68BD">
          <w:rPr>
            <w:rStyle w:val="Hyperlink"/>
            <w:rFonts w:ascii="Arial" w:hAnsi="Arial" w:cs="Arial"/>
            <w:noProof/>
          </w:rPr>
          <w:t>The T-score bone marker plots for postmenopausal women receiving Ibandronate, alendronate and risedronate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8" w:history="1">
        <w:r w:rsidR="00A87E30" w:rsidRPr="004C68BD">
          <w:rPr>
            <w:rStyle w:val="Hyperlink"/>
            <w:rFonts w:ascii="Arial" w:hAnsi="Arial" w:cs="Arial"/>
            <w:noProof/>
          </w:rPr>
          <w:t>Figure 65:</w:t>
        </w:r>
        <w:r w:rsidR="00C273D9" w:rsidRPr="004C68BD">
          <w:rPr>
            <w:rStyle w:val="Hyperlink"/>
            <w:rFonts w:ascii="Arial" w:hAnsi="Arial" w:cs="Arial"/>
            <w:noProof/>
          </w:rPr>
          <w:t xml:space="preserve"> Levels of circulating sclerostin in postmenopausal women with osteoporosis compared to healthy premenopausal women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139</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49" w:history="1">
        <w:r w:rsidR="00A87E30" w:rsidRPr="004C68BD">
          <w:rPr>
            <w:rStyle w:val="Hyperlink"/>
            <w:rFonts w:ascii="Arial" w:hAnsi="Arial" w:cs="Arial"/>
            <w:noProof/>
          </w:rPr>
          <w:t>Figure 66:</w:t>
        </w:r>
        <w:r w:rsidR="00C273D9" w:rsidRPr="004C68BD">
          <w:rPr>
            <w:rFonts w:ascii="Arial" w:hAnsi="Arial" w:cs="Arial"/>
            <w:noProof/>
          </w:rPr>
          <w:t xml:space="preserve"> </w:t>
        </w:r>
        <w:r w:rsidR="00C273D9" w:rsidRPr="004C68BD">
          <w:rPr>
            <w:rStyle w:val="Hyperlink"/>
            <w:rFonts w:ascii="Arial" w:hAnsi="Arial" w:cs="Arial"/>
            <w:noProof/>
          </w:rPr>
          <w:t>The effects of ibandronate, alendronate and risedronate on levels of circulating sclersotin.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_Toc425419549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140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0" w:history="1">
        <w:r w:rsidR="00A87E30" w:rsidRPr="004C68BD">
          <w:rPr>
            <w:rStyle w:val="Hyperlink"/>
            <w:rFonts w:ascii="Arial" w:hAnsi="Arial" w:cs="Arial"/>
            <w:noProof/>
          </w:rPr>
          <w:t>Figure 67:</w:t>
        </w:r>
        <w:r w:rsidR="00C273D9" w:rsidRPr="004C68BD">
          <w:rPr>
            <w:rFonts w:ascii="Arial" w:hAnsi="Arial" w:cs="Arial"/>
            <w:noProof/>
          </w:rPr>
          <w:t xml:space="preserve"> </w:t>
        </w:r>
        <w:r w:rsidR="00C273D9" w:rsidRPr="004C68BD">
          <w:rPr>
            <w:rStyle w:val="Hyperlink"/>
            <w:rFonts w:ascii="Arial" w:hAnsi="Arial" w:cs="Arial"/>
            <w:noProof/>
          </w:rPr>
          <w:t>The correlation between serum sclerostin with PINP and CTX in women with postmenopausal osteoporosis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140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1" w:history="1">
        <w:r w:rsidR="00C273D9" w:rsidRPr="004C68BD">
          <w:rPr>
            <w:rStyle w:val="Hyperlink"/>
            <w:rFonts w:ascii="Arial" w:hAnsi="Arial" w:cs="Arial"/>
            <w:noProof/>
          </w:rPr>
          <w:t>Figure 68: DXA of total BMD in postmenopausal women receiving Ibandronate, alendronate and risedronate and premenopausal women.</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143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2" w:history="1">
        <w:r w:rsidR="00A87E30" w:rsidRPr="004C68BD">
          <w:rPr>
            <w:rStyle w:val="Hyperlink"/>
            <w:rFonts w:ascii="Arial" w:hAnsi="Arial" w:cs="Arial"/>
            <w:noProof/>
          </w:rPr>
          <w:t>Figure 69:</w:t>
        </w:r>
        <w:r w:rsidR="00C273D9" w:rsidRPr="004C68BD">
          <w:rPr>
            <w:rFonts w:ascii="Arial" w:hAnsi="Arial" w:cs="Arial"/>
            <w:noProof/>
          </w:rPr>
          <w:t xml:space="preserve"> </w:t>
        </w:r>
        <w:r w:rsidR="00C273D9" w:rsidRPr="004C68BD">
          <w:rPr>
            <w:rStyle w:val="Hyperlink"/>
            <w:rFonts w:ascii="Arial" w:hAnsi="Arial" w:cs="Arial"/>
            <w:noProof/>
          </w:rPr>
          <w:t>The mechanism of action of estrogen and the possible mechanism of action of raloxifene on osteocytes.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147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3" w:history="1">
        <w:r w:rsidR="00A87E30" w:rsidRPr="004C68BD">
          <w:rPr>
            <w:rStyle w:val="Hyperlink"/>
            <w:rFonts w:ascii="Arial" w:hAnsi="Arial" w:cs="Arial"/>
            <w:noProof/>
          </w:rPr>
          <w:t>Figure 70:</w:t>
        </w:r>
        <w:r w:rsidR="00C273D9" w:rsidRPr="004C68BD">
          <w:rPr>
            <w:rStyle w:val="Hyperlink"/>
            <w:rFonts w:ascii="Arial" w:hAnsi="Arial" w:cs="Arial"/>
            <w:noProof/>
          </w:rPr>
          <w:t xml:space="preserve"> The effect of raloxifene treatment on levels of CTX in postmenopausal women with osteopenia.</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150</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4" w:history="1">
        <w:r w:rsidR="00A87E30" w:rsidRPr="004C68BD">
          <w:rPr>
            <w:rStyle w:val="Hyperlink"/>
            <w:rFonts w:ascii="Arial" w:hAnsi="Arial" w:cs="Arial"/>
            <w:noProof/>
          </w:rPr>
          <w:t>Figure 71:</w:t>
        </w:r>
        <w:r w:rsidR="00C273D9" w:rsidRPr="004C68BD">
          <w:rPr>
            <w:rFonts w:ascii="Arial" w:hAnsi="Arial" w:cs="Arial"/>
            <w:noProof/>
          </w:rPr>
          <w:t xml:space="preserve"> </w:t>
        </w:r>
        <w:r w:rsidR="00C273D9" w:rsidRPr="004C68BD">
          <w:rPr>
            <w:rStyle w:val="Hyperlink"/>
            <w:rFonts w:ascii="Arial" w:hAnsi="Arial" w:cs="Arial"/>
            <w:noProof/>
          </w:rPr>
          <w:t>The effect of raloxifene treatment on levels of PINP in postmenopausal women with osteopenia</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5" w:history="1">
        <w:r w:rsidR="00A87E30" w:rsidRPr="004C68BD">
          <w:rPr>
            <w:rStyle w:val="Hyperlink"/>
            <w:rFonts w:ascii="Arial" w:hAnsi="Arial" w:cs="Arial"/>
            <w:noProof/>
          </w:rPr>
          <w:t>Figure 72:</w:t>
        </w:r>
        <w:r w:rsidR="00C273D9" w:rsidRPr="004C68BD">
          <w:rPr>
            <w:rStyle w:val="Hyperlink"/>
            <w:rFonts w:ascii="Arial" w:hAnsi="Arial" w:cs="Arial"/>
            <w:noProof/>
          </w:rPr>
          <w:t xml:space="preserve"> Bone turnover and bone balance in postmenopausal women with osteopenia receiving raloxifene treatment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_Toc425419555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153</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6" w:history="1">
        <w:r w:rsidR="00A87E30" w:rsidRPr="004C68BD">
          <w:rPr>
            <w:rStyle w:val="Hyperlink"/>
            <w:rFonts w:ascii="Arial" w:hAnsi="Arial" w:cs="Arial"/>
            <w:noProof/>
          </w:rPr>
          <w:t>Figure 73:</w:t>
        </w:r>
        <w:r w:rsidR="00C273D9" w:rsidRPr="004C68BD">
          <w:rPr>
            <w:rStyle w:val="Hyperlink"/>
            <w:rFonts w:ascii="Arial" w:hAnsi="Arial" w:cs="Arial"/>
            <w:noProof/>
          </w:rPr>
          <w:t xml:space="preserve"> The T-score bone marker plots for postmenopausal women receiving raloxifene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_Toc425419556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154</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7" w:history="1">
        <w:r w:rsidR="00A87E30" w:rsidRPr="004C68BD">
          <w:rPr>
            <w:rStyle w:val="Hyperlink"/>
            <w:rFonts w:ascii="Arial" w:hAnsi="Arial" w:cs="Arial"/>
            <w:noProof/>
          </w:rPr>
          <w:t>Figure 74:</w:t>
        </w:r>
        <w:r w:rsidR="00C273D9" w:rsidRPr="004C68BD">
          <w:rPr>
            <w:rFonts w:ascii="Arial" w:hAnsi="Arial" w:cs="Arial"/>
            <w:noProof/>
          </w:rPr>
          <w:t xml:space="preserve"> </w:t>
        </w:r>
        <w:r w:rsidR="00C273D9" w:rsidRPr="004C68BD">
          <w:rPr>
            <w:rStyle w:val="Hyperlink"/>
            <w:rFonts w:ascii="Arial" w:hAnsi="Arial" w:cs="Arial"/>
            <w:noProof/>
          </w:rPr>
          <w:t>Levels of circulating sclerostin in postmenopausal women with osteopenia compared with healthy premenopausal women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_Toc425419557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155</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8" w:history="1">
        <w:r w:rsidR="00A87E30" w:rsidRPr="004C68BD">
          <w:rPr>
            <w:rStyle w:val="Hyperlink"/>
            <w:rFonts w:ascii="Arial" w:hAnsi="Arial" w:cs="Arial"/>
            <w:noProof/>
          </w:rPr>
          <w:t>Figure 75:</w:t>
        </w:r>
        <w:r w:rsidR="00C273D9" w:rsidRPr="004C68BD">
          <w:rPr>
            <w:rFonts w:ascii="Arial" w:hAnsi="Arial" w:cs="Arial"/>
            <w:noProof/>
          </w:rPr>
          <w:t xml:space="preserve"> </w:t>
        </w:r>
        <w:r w:rsidR="00C273D9" w:rsidRPr="004C68BD">
          <w:rPr>
            <w:rStyle w:val="Hyperlink"/>
            <w:rFonts w:ascii="Arial" w:hAnsi="Arial" w:cs="Arial"/>
            <w:noProof/>
          </w:rPr>
          <w:t>The affect of raloxifene on circulating levels of sclerostin</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_Toc425419558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156</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59" w:history="1">
        <w:r w:rsidR="00A87E30" w:rsidRPr="004C68BD">
          <w:rPr>
            <w:rStyle w:val="Hyperlink"/>
            <w:rFonts w:ascii="Arial" w:hAnsi="Arial" w:cs="Arial"/>
            <w:noProof/>
          </w:rPr>
          <w:t xml:space="preserve">Figure 76:  </w:t>
        </w:r>
        <w:r w:rsidR="00C273D9" w:rsidRPr="004C68BD">
          <w:rPr>
            <w:rStyle w:val="Hyperlink"/>
            <w:rFonts w:ascii="Arial" w:hAnsi="Arial" w:cs="Arial"/>
            <w:noProof/>
          </w:rPr>
          <w:t>The mean T-scores calculated for sclerostin in postmenopausal women treated with raloxifene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_Toc425419559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60" w:history="1">
        <w:r w:rsidR="00A87E30" w:rsidRPr="004C68BD">
          <w:rPr>
            <w:rStyle w:val="Hyperlink"/>
            <w:rFonts w:ascii="Arial" w:hAnsi="Arial" w:cs="Arial"/>
            <w:noProof/>
          </w:rPr>
          <w:t>Figure 77:</w:t>
        </w:r>
        <w:r w:rsidR="00C273D9" w:rsidRPr="004C68BD">
          <w:rPr>
            <w:rFonts w:ascii="Arial" w:hAnsi="Arial" w:cs="Arial"/>
            <w:noProof/>
          </w:rPr>
          <w:t xml:space="preserve"> </w:t>
        </w:r>
        <w:r w:rsidR="00C273D9" w:rsidRPr="004C68BD">
          <w:rPr>
            <w:rStyle w:val="Hyperlink"/>
            <w:rFonts w:ascii="Arial" w:hAnsi="Arial" w:cs="Arial"/>
            <w:noProof/>
          </w:rPr>
          <w:t>The correlation between serum sclerostin with PINP and CTX in women with postmenopausal osteopenia</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_Toc425419560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157</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61" w:history="1">
        <w:r w:rsidR="00A87E30" w:rsidRPr="004C68BD">
          <w:rPr>
            <w:rStyle w:val="Hyperlink"/>
            <w:rFonts w:ascii="Arial" w:hAnsi="Arial" w:cs="Arial"/>
            <w:noProof/>
          </w:rPr>
          <w:t>Figure 78:</w:t>
        </w:r>
        <w:r w:rsidR="00C273D9" w:rsidRPr="004C68BD">
          <w:rPr>
            <w:rStyle w:val="Hyperlink"/>
            <w:rFonts w:ascii="Arial" w:hAnsi="Arial" w:cs="Arial"/>
            <w:noProof/>
          </w:rPr>
          <w:t xml:space="preserve"> The correlation between the change in sclerostin levels and bone balance and bone turnover</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_Toc425419561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158</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62" w:history="1">
        <w:r w:rsidR="00A87E30" w:rsidRPr="004C68BD">
          <w:rPr>
            <w:rStyle w:val="Hyperlink"/>
            <w:rFonts w:ascii="Arial" w:hAnsi="Arial" w:cs="Arial"/>
            <w:noProof/>
          </w:rPr>
          <w:t>Figure 79:</w:t>
        </w:r>
        <w:r w:rsidR="004C68BD" w:rsidRPr="004C68BD">
          <w:rPr>
            <w:rStyle w:val="Hyperlink"/>
            <w:rFonts w:ascii="Arial" w:hAnsi="Arial" w:cs="Arial"/>
            <w:noProof/>
          </w:rPr>
          <w:t xml:space="preserve"> Postmenopausal reference intervals compared to previous studies</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_Toc425419562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161</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63" w:history="1">
        <w:r w:rsidR="00A87E30" w:rsidRPr="004C68BD">
          <w:rPr>
            <w:rStyle w:val="Hyperlink"/>
            <w:rFonts w:ascii="Arial" w:hAnsi="Arial" w:cs="Arial"/>
            <w:noProof/>
          </w:rPr>
          <w:t>Figure 80:</w:t>
        </w:r>
        <w:r w:rsidR="004C68BD" w:rsidRPr="004C68BD">
          <w:rPr>
            <w:rStyle w:val="Hyperlink"/>
            <w:rFonts w:ascii="Arial" w:hAnsi="Arial" w:cs="Arial"/>
            <w:noProof/>
          </w:rPr>
          <w:t xml:space="preserve"> Premenopausal reference intervals compared to previous studies</w:t>
        </w:r>
        <w:r w:rsidR="00A87E30" w:rsidRPr="004C68BD">
          <w:rPr>
            <w:rStyle w:val="Hyperlink"/>
            <w:rFonts w:ascii="Arial" w:hAnsi="Arial" w:cs="Arial"/>
            <w:noProof/>
          </w:rPr>
          <w:t>.</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_Toc425419563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162</w:t>
        </w:r>
        <w:r w:rsidR="00A87E30" w:rsidRPr="004C68BD">
          <w:rPr>
            <w:rFonts w:ascii="Arial" w:hAnsi="Arial" w:cs="Arial"/>
            <w:noProof/>
            <w:webHidden/>
          </w:rPr>
          <w:fldChar w:fldCharType="end"/>
        </w:r>
      </w:hyperlink>
    </w:p>
    <w:p w:rsidR="00A87E30" w:rsidRPr="004C68BD" w:rsidRDefault="008432B5" w:rsidP="009143C3">
      <w:pPr>
        <w:pStyle w:val="TableofFigures"/>
        <w:tabs>
          <w:tab w:val="right" w:leader="dot" w:pos="8494"/>
        </w:tabs>
        <w:jc w:val="both"/>
        <w:rPr>
          <w:rFonts w:ascii="Arial" w:eastAsiaTheme="minorEastAsia" w:hAnsi="Arial" w:cs="Arial"/>
          <w:noProof/>
          <w:lang w:eastAsia="en-GB"/>
        </w:rPr>
      </w:pPr>
      <w:hyperlink w:anchor="_Toc425419564" w:history="1">
        <w:r w:rsidR="00A87E30" w:rsidRPr="004C68BD">
          <w:rPr>
            <w:rStyle w:val="Hyperlink"/>
            <w:rFonts w:ascii="Arial" w:hAnsi="Arial" w:cs="Arial"/>
            <w:noProof/>
          </w:rPr>
          <w:t>Figure 81: The T-</w:t>
        </w:r>
        <w:r w:rsidR="004C68BD" w:rsidRPr="004C68BD">
          <w:rPr>
            <w:rStyle w:val="Hyperlink"/>
            <w:rFonts w:ascii="Arial" w:hAnsi="Arial" w:cs="Arial"/>
            <w:noProof/>
          </w:rPr>
          <w:t>score bone marker plot showing for</w:t>
        </w:r>
        <w:r w:rsidR="00A87E30" w:rsidRPr="004C68BD">
          <w:rPr>
            <w:rStyle w:val="Hyperlink"/>
            <w:rFonts w:ascii="Arial" w:hAnsi="Arial" w:cs="Arial"/>
            <w:noProof/>
          </w:rPr>
          <w:t xml:space="preserve"> ibandronate, alendronate and risedronate</w:t>
        </w:r>
        <w:r w:rsidR="00A87E30" w:rsidRPr="004C68BD">
          <w:rPr>
            <w:rFonts w:ascii="Arial" w:hAnsi="Arial" w:cs="Arial"/>
            <w:noProof/>
            <w:webHidden/>
          </w:rPr>
          <w:tab/>
        </w:r>
        <w:r w:rsidR="00A87E30" w:rsidRPr="004C68BD">
          <w:rPr>
            <w:rFonts w:ascii="Arial" w:hAnsi="Arial" w:cs="Arial"/>
            <w:noProof/>
            <w:webHidden/>
          </w:rPr>
          <w:fldChar w:fldCharType="begin"/>
        </w:r>
        <w:r w:rsidR="00A87E30" w:rsidRPr="004C68BD">
          <w:rPr>
            <w:rFonts w:ascii="Arial" w:hAnsi="Arial" w:cs="Arial"/>
            <w:noProof/>
            <w:webHidden/>
          </w:rPr>
          <w:instrText xml:space="preserve"> PAGEREF _Toc425419564 \h </w:instrText>
        </w:r>
        <w:r w:rsidR="00A87E30" w:rsidRPr="004C68BD">
          <w:rPr>
            <w:rFonts w:ascii="Arial" w:hAnsi="Arial" w:cs="Arial"/>
            <w:noProof/>
            <w:webHidden/>
          </w:rPr>
        </w:r>
        <w:r w:rsidR="00A87E30" w:rsidRPr="004C68BD">
          <w:rPr>
            <w:rFonts w:ascii="Arial" w:hAnsi="Arial" w:cs="Arial"/>
            <w:noProof/>
            <w:webHidden/>
          </w:rPr>
          <w:fldChar w:fldCharType="separate"/>
        </w:r>
        <w:r w:rsidR="00DD116A">
          <w:rPr>
            <w:rFonts w:ascii="Arial" w:hAnsi="Arial" w:cs="Arial"/>
            <w:noProof/>
            <w:webHidden/>
          </w:rPr>
          <w:t>163</w:t>
        </w:r>
        <w:r w:rsidR="00A87E30" w:rsidRPr="004C68BD">
          <w:rPr>
            <w:rFonts w:ascii="Arial" w:hAnsi="Arial" w:cs="Arial"/>
            <w:noProof/>
            <w:webHidden/>
          </w:rPr>
          <w:fldChar w:fldCharType="end"/>
        </w:r>
      </w:hyperlink>
    </w:p>
    <w:p w:rsidR="00795608" w:rsidRDefault="00AA1B13" w:rsidP="009143C3">
      <w:pPr>
        <w:jc w:val="both"/>
      </w:pPr>
      <w:r w:rsidRPr="004C68BD">
        <w:rPr>
          <w:rFonts w:ascii="Arial" w:hAnsi="Arial" w:cs="Arial"/>
        </w:rPr>
        <w:fldChar w:fldCharType="end"/>
      </w:r>
    </w:p>
    <w:p w:rsidR="00795608" w:rsidRDefault="00795608" w:rsidP="009143C3">
      <w:pPr>
        <w:jc w:val="both"/>
      </w:pPr>
    </w:p>
    <w:p w:rsidR="00D70E97" w:rsidRDefault="00D70E97" w:rsidP="009143C3">
      <w:pPr>
        <w:jc w:val="both"/>
      </w:pPr>
    </w:p>
    <w:p w:rsidR="00D70E97" w:rsidRDefault="00D70E97" w:rsidP="00900F2C"/>
    <w:p w:rsidR="00D70E97" w:rsidRDefault="00D70E97" w:rsidP="00900F2C"/>
    <w:p w:rsidR="00D70E97" w:rsidRDefault="00D70E97" w:rsidP="00900F2C"/>
    <w:p w:rsidR="00D70E97" w:rsidRDefault="00D70E97" w:rsidP="00900F2C"/>
    <w:p w:rsidR="00D70E97" w:rsidRDefault="00D70E97" w:rsidP="00900F2C"/>
    <w:p w:rsidR="00D70E97" w:rsidRDefault="00D70E97" w:rsidP="00900F2C"/>
    <w:p w:rsidR="00D336EE" w:rsidRDefault="00D336EE" w:rsidP="00900F2C">
      <w:pPr>
        <w:pStyle w:val="Heading1"/>
      </w:pPr>
    </w:p>
    <w:p w:rsidR="00D336EE" w:rsidRDefault="00D336EE" w:rsidP="00900F2C">
      <w:pPr>
        <w:pStyle w:val="Heading1"/>
      </w:pPr>
    </w:p>
    <w:p w:rsidR="00E90F77" w:rsidRDefault="00E90F77" w:rsidP="00900F2C">
      <w:pPr>
        <w:pStyle w:val="Heading1"/>
      </w:pPr>
    </w:p>
    <w:p w:rsidR="00E90F77" w:rsidRPr="00E90F77" w:rsidRDefault="00E90F77" w:rsidP="00900F2C"/>
    <w:p w:rsidR="004C68BD" w:rsidRDefault="004C68BD" w:rsidP="00900F2C">
      <w:pPr>
        <w:pStyle w:val="Heading1"/>
      </w:pPr>
      <w:bookmarkStart w:id="7" w:name="_Toc425418886"/>
    </w:p>
    <w:p w:rsidR="004C68BD" w:rsidRPr="004C68BD" w:rsidRDefault="004C68BD" w:rsidP="004C68BD"/>
    <w:p w:rsidR="00D70E97" w:rsidRDefault="00A85832" w:rsidP="009143C3">
      <w:pPr>
        <w:pStyle w:val="Heading1"/>
        <w:jc w:val="both"/>
      </w:pPr>
      <w:r>
        <w:lastRenderedPageBreak/>
        <w:t>List of tables</w:t>
      </w:r>
      <w:bookmarkEnd w:id="7"/>
    </w:p>
    <w:p w:rsidR="00CF72BE" w:rsidRPr="00173441" w:rsidRDefault="00CF72BE" w:rsidP="009143C3">
      <w:pPr>
        <w:pStyle w:val="TableofFigures"/>
        <w:tabs>
          <w:tab w:val="right" w:leader="dot" w:pos="8494"/>
        </w:tabs>
        <w:jc w:val="both"/>
        <w:rPr>
          <w:rFonts w:ascii="Arial" w:eastAsiaTheme="minorEastAsia" w:hAnsi="Arial" w:cs="Arial"/>
          <w:noProof/>
          <w:lang w:eastAsia="zh-CN"/>
        </w:rPr>
      </w:pPr>
      <w:r>
        <w:fldChar w:fldCharType="begin"/>
      </w:r>
      <w:r>
        <w:instrText xml:space="preserve"> TOC \h \z \c "Table" </w:instrText>
      </w:r>
      <w:r>
        <w:fldChar w:fldCharType="separate"/>
      </w:r>
      <w:hyperlink w:anchor="_Toc424043675" w:history="1">
        <w:r w:rsidR="00BD690E" w:rsidRPr="00173441">
          <w:rPr>
            <w:rStyle w:val="Hyperlink"/>
            <w:rFonts w:ascii="Arial" w:hAnsi="Arial" w:cs="Arial"/>
            <w:noProof/>
          </w:rPr>
          <w:t xml:space="preserve">Table 1: </w:t>
        </w:r>
        <w:r w:rsidR="0072765E" w:rsidRPr="00173441">
          <w:rPr>
            <w:rStyle w:val="Hyperlink"/>
            <w:rFonts w:ascii="Arial" w:hAnsi="Arial" w:cs="Arial"/>
            <w:noProof/>
          </w:rPr>
          <w:t>Antiresorptives: Name, structures and current clinical findings</w:t>
        </w:r>
        <w:r w:rsidRPr="00173441">
          <w:rPr>
            <w:rFonts w:ascii="Arial" w:hAnsi="Arial" w:cs="Arial"/>
            <w:noProof/>
            <w:webHidden/>
          </w:rPr>
          <w:tab/>
        </w:r>
        <w:r w:rsidRPr="00173441">
          <w:rPr>
            <w:rFonts w:ascii="Arial" w:hAnsi="Arial" w:cs="Arial"/>
            <w:noProof/>
            <w:webHidden/>
          </w:rPr>
          <w:fldChar w:fldCharType="begin"/>
        </w:r>
        <w:r w:rsidRPr="00173441">
          <w:rPr>
            <w:rFonts w:ascii="Arial" w:hAnsi="Arial" w:cs="Arial"/>
            <w:noProof/>
            <w:webHidden/>
          </w:rPr>
          <w:instrText xml:space="preserve"> PAGEREF _Toc424043675 \h </w:instrText>
        </w:r>
        <w:r w:rsidRPr="00173441">
          <w:rPr>
            <w:rFonts w:ascii="Arial" w:hAnsi="Arial" w:cs="Arial"/>
            <w:noProof/>
            <w:webHidden/>
          </w:rPr>
        </w:r>
        <w:r w:rsidRPr="00173441">
          <w:rPr>
            <w:rFonts w:ascii="Arial" w:hAnsi="Arial" w:cs="Arial"/>
            <w:noProof/>
            <w:webHidden/>
          </w:rPr>
          <w:fldChar w:fldCharType="separate"/>
        </w:r>
        <w:r w:rsidR="00DD116A">
          <w:rPr>
            <w:rFonts w:ascii="Arial" w:hAnsi="Arial" w:cs="Arial"/>
            <w:noProof/>
            <w:webHidden/>
          </w:rPr>
          <w:t>45</w:t>
        </w:r>
        <w:r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76" w:history="1">
        <w:r w:rsidR="00BD690E" w:rsidRPr="00173441">
          <w:rPr>
            <w:rStyle w:val="Hyperlink"/>
            <w:rFonts w:ascii="Arial" w:hAnsi="Arial" w:cs="Arial"/>
            <w:noProof/>
          </w:rPr>
          <w:t>Table 2: The</w:t>
        </w:r>
        <w:r w:rsidR="00CF72BE" w:rsidRPr="00173441">
          <w:rPr>
            <w:rStyle w:val="Hyperlink"/>
            <w:rFonts w:ascii="Arial" w:hAnsi="Arial" w:cs="Arial"/>
            <w:noProof/>
          </w:rPr>
          <w:t xml:space="preserve"> </w:t>
        </w:r>
        <w:r w:rsidR="00BD690E" w:rsidRPr="00173441">
          <w:rPr>
            <w:rStyle w:val="Hyperlink"/>
            <w:rFonts w:ascii="Arial" w:hAnsi="Arial" w:cs="Arial"/>
            <w:noProof/>
          </w:rPr>
          <w:t>precision data of the IDS-iSYS PINP</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_Toc424043676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56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77" w:history="1">
        <w:r w:rsidR="00BD690E" w:rsidRPr="00173441">
          <w:rPr>
            <w:rStyle w:val="Hyperlink"/>
            <w:rFonts w:ascii="Arial" w:hAnsi="Arial" w:cs="Arial"/>
            <w:noProof/>
          </w:rPr>
          <w:t>Table 3: The</w:t>
        </w:r>
        <w:r w:rsidR="00CF72BE" w:rsidRPr="00173441">
          <w:rPr>
            <w:rStyle w:val="Hyperlink"/>
            <w:rFonts w:ascii="Arial" w:hAnsi="Arial" w:cs="Arial"/>
            <w:noProof/>
          </w:rPr>
          <w:t xml:space="preserve"> precision </w:t>
        </w:r>
        <w:r w:rsidR="00BD690E" w:rsidRPr="00173441">
          <w:rPr>
            <w:rStyle w:val="Hyperlink"/>
            <w:rFonts w:ascii="Arial" w:hAnsi="Arial" w:cs="Arial"/>
            <w:noProof/>
          </w:rPr>
          <w:t xml:space="preserve">data </w:t>
        </w:r>
        <w:r w:rsidR="00CF72BE" w:rsidRPr="00173441">
          <w:rPr>
            <w:rStyle w:val="Hyperlink"/>
            <w:rFonts w:ascii="Arial" w:hAnsi="Arial" w:cs="Arial"/>
            <w:noProof/>
          </w:rPr>
          <w:t>of the IDS-iSYS CTX-1</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_Toc424043677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59</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78" w:history="1">
        <w:r w:rsidR="00BD690E" w:rsidRPr="00173441">
          <w:rPr>
            <w:rStyle w:val="Hyperlink"/>
            <w:rFonts w:ascii="Arial" w:hAnsi="Arial" w:cs="Arial"/>
            <w:noProof/>
          </w:rPr>
          <w:t>Table 4: The</w:t>
        </w:r>
        <w:r w:rsidR="00CF72BE" w:rsidRPr="00173441">
          <w:rPr>
            <w:rStyle w:val="Hyperlink"/>
            <w:rFonts w:ascii="Arial" w:hAnsi="Arial" w:cs="Arial"/>
            <w:noProof/>
          </w:rPr>
          <w:t xml:space="preserve"> precision </w:t>
        </w:r>
        <w:r w:rsidR="00BD690E" w:rsidRPr="00173441">
          <w:rPr>
            <w:rStyle w:val="Hyperlink"/>
            <w:rFonts w:ascii="Arial" w:hAnsi="Arial" w:cs="Arial"/>
            <w:noProof/>
          </w:rPr>
          <w:t xml:space="preserve">data </w:t>
        </w:r>
        <w:r w:rsidR="00CF72BE" w:rsidRPr="00173441">
          <w:rPr>
            <w:rStyle w:val="Hyperlink"/>
            <w:rFonts w:ascii="Arial" w:hAnsi="Arial" w:cs="Arial"/>
            <w:noProof/>
          </w:rPr>
          <w:t>of the IDS-iSYS N-Mid osteocalcin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_Toc424043678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62</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79" w:history="1">
        <w:r w:rsidR="00BD690E" w:rsidRPr="00173441">
          <w:rPr>
            <w:rStyle w:val="Hyperlink"/>
            <w:rFonts w:ascii="Arial" w:hAnsi="Arial" w:cs="Arial"/>
            <w:noProof/>
          </w:rPr>
          <w:t xml:space="preserve">Table 5: The </w:t>
        </w:r>
        <w:r w:rsidR="00CF72BE" w:rsidRPr="00173441">
          <w:rPr>
            <w:rStyle w:val="Hyperlink"/>
            <w:rFonts w:ascii="Arial" w:hAnsi="Arial" w:cs="Arial"/>
            <w:noProof/>
          </w:rPr>
          <w:t xml:space="preserve">precision </w:t>
        </w:r>
        <w:r w:rsidR="00BD690E" w:rsidRPr="00173441">
          <w:rPr>
            <w:rStyle w:val="Hyperlink"/>
            <w:rFonts w:ascii="Arial" w:hAnsi="Arial" w:cs="Arial"/>
            <w:noProof/>
          </w:rPr>
          <w:t xml:space="preserve">data </w:t>
        </w:r>
        <w:r w:rsidR="00CF72BE" w:rsidRPr="00173441">
          <w:rPr>
            <w:rStyle w:val="Hyperlink"/>
            <w:rFonts w:ascii="Arial" w:hAnsi="Arial" w:cs="Arial"/>
            <w:noProof/>
          </w:rPr>
          <w:t>of the IDS-iSYS Ostase® BAP</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_Toc424043679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65</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0" w:history="1">
        <w:r w:rsidR="00CF72BE" w:rsidRPr="00173441">
          <w:rPr>
            <w:rStyle w:val="Hyperlink"/>
            <w:rFonts w:ascii="Arial" w:hAnsi="Arial" w:cs="Arial"/>
            <w:noProof/>
          </w:rPr>
          <w:t xml:space="preserve">Table 6: The precision </w:t>
        </w:r>
        <w:r w:rsidR="00BD690E" w:rsidRPr="00173441">
          <w:rPr>
            <w:rStyle w:val="Hyperlink"/>
            <w:rFonts w:ascii="Arial" w:hAnsi="Arial" w:cs="Arial"/>
            <w:noProof/>
          </w:rPr>
          <w:t xml:space="preserve">data </w:t>
        </w:r>
        <w:r w:rsidR="00CF72BE" w:rsidRPr="00173441">
          <w:rPr>
            <w:rStyle w:val="Hyperlink"/>
            <w:rFonts w:ascii="Arial" w:hAnsi="Arial" w:cs="Arial"/>
            <w:noProof/>
          </w:rPr>
          <w:t>of the OCD Vitros NTX</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_Toc424043680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68</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1" w:history="1">
        <w:r w:rsidR="00BD690E" w:rsidRPr="00173441">
          <w:rPr>
            <w:rStyle w:val="Hyperlink"/>
            <w:rFonts w:ascii="Arial" w:hAnsi="Arial" w:cs="Arial"/>
            <w:noProof/>
          </w:rPr>
          <w:t xml:space="preserve">Table 7: The </w:t>
        </w:r>
        <w:r w:rsidR="00CF72BE" w:rsidRPr="00173441">
          <w:rPr>
            <w:rStyle w:val="Hyperlink"/>
            <w:rFonts w:ascii="Arial" w:hAnsi="Arial" w:cs="Arial"/>
            <w:noProof/>
          </w:rPr>
          <w:t xml:space="preserve">precision </w:t>
        </w:r>
        <w:r w:rsidR="00BD690E" w:rsidRPr="00173441">
          <w:rPr>
            <w:rStyle w:val="Hyperlink"/>
            <w:rFonts w:ascii="Arial" w:hAnsi="Arial" w:cs="Arial"/>
            <w:noProof/>
          </w:rPr>
          <w:t xml:space="preserve">data </w:t>
        </w:r>
        <w:r w:rsidR="00CF72BE" w:rsidRPr="00173441">
          <w:rPr>
            <w:rStyle w:val="Hyperlink"/>
            <w:rFonts w:ascii="Arial" w:hAnsi="Arial" w:cs="Arial"/>
            <w:noProof/>
          </w:rPr>
          <w:t>of the OCD Vitros creatinine</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_Toc424043681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70</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2" w:history="1">
        <w:r w:rsidR="00CF72BE" w:rsidRPr="00173441">
          <w:rPr>
            <w:rStyle w:val="Hyperlink"/>
            <w:rFonts w:ascii="Arial" w:hAnsi="Arial" w:cs="Arial"/>
            <w:noProof/>
          </w:rPr>
          <w:t xml:space="preserve">Table 8: </w:t>
        </w:r>
        <w:r w:rsidR="00F83046" w:rsidRPr="00173441">
          <w:rPr>
            <w:rStyle w:val="Hyperlink"/>
            <w:rFonts w:ascii="Arial" w:hAnsi="Arial" w:cs="Arial"/>
            <w:noProof/>
          </w:rPr>
          <w:t>Sclerostin standard curve data</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_Toc424043682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72</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3" w:history="1">
        <w:r w:rsidR="00CF72BE" w:rsidRPr="00173441">
          <w:rPr>
            <w:rStyle w:val="Hyperlink"/>
            <w:rFonts w:ascii="Arial" w:hAnsi="Arial" w:cs="Arial"/>
            <w:noProof/>
          </w:rPr>
          <w:t xml:space="preserve">Table 9: </w:t>
        </w:r>
        <w:r w:rsidR="004C68BD" w:rsidRPr="00173441">
          <w:rPr>
            <w:rStyle w:val="Hyperlink"/>
            <w:rFonts w:ascii="Arial" w:hAnsi="Arial" w:cs="Arial"/>
            <w:noProof/>
          </w:rPr>
          <w:t>Sclerostin study data</w:t>
        </w:r>
        <w:r w:rsidR="00CF72BE" w:rsidRPr="00173441">
          <w:rPr>
            <w:rStyle w:val="Hyperlink"/>
            <w:rFonts w:ascii="Arial" w:hAnsi="Arial" w:cs="Arial"/>
            <w:noProof/>
          </w:rPr>
          <w: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_Toc424043683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73</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4" w:history="1">
        <w:r w:rsidR="00CF72BE" w:rsidRPr="00173441">
          <w:rPr>
            <w:rStyle w:val="Hyperlink"/>
            <w:rFonts w:ascii="Arial" w:hAnsi="Arial" w:cs="Arial"/>
            <w:noProof/>
          </w:rPr>
          <w:t xml:space="preserve">Table 10: The precision </w:t>
        </w:r>
        <w:r w:rsidR="008D1161" w:rsidRPr="00173441">
          <w:rPr>
            <w:rStyle w:val="Hyperlink"/>
            <w:rFonts w:ascii="Arial" w:hAnsi="Arial" w:cs="Arial"/>
            <w:noProof/>
          </w:rPr>
          <w:t xml:space="preserve">data </w:t>
        </w:r>
        <w:r w:rsidR="004C68BD" w:rsidRPr="00173441">
          <w:rPr>
            <w:rStyle w:val="Hyperlink"/>
            <w:rFonts w:ascii="Arial" w:hAnsi="Arial" w:cs="Arial"/>
            <w:noProof/>
          </w:rPr>
          <w:t>for</w:t>
        </w:r>
        <w:r w:rsidR="00CF72BE" w:rsidRPr="00173441">
          <w:rPr>
            <w:rStyle w:val="Hyperlink"/>
            <w:rFonts w:ascii="Arial" w:hAnsi="Arial" w:cs="Arial"/>
            <w:noProof/>
          </w:rPr>
          <w:t xml:space="preserve"> sclerostin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_Toc424043684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75</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5" w:history="1">
        <w:r w:rsidR="00CF72BE" w:rsidRPr="00173441">
          <w:rPr>
            <w:rStyle w:val="Hyperlink"/>
            <w:rFonts w:ascii="Arial" w:hAnsi="Arial" w:cs="Arial"/>
            <w:noProof/>
          </w:rPr>
          <w:t xml:space="preserve">Table 11: </w:t>
        </w:r>
        <w:r w:rsidR="008D1161" w:rsidRPr="00173441">
          <w:rPr>
            <w:rStyle w:val="Hyperlink"/>
            <w:rFonts w:ascii="Arial" w:hAnsi="Arial" w:cs="Arial"/>
            <w:noProof/>
          </w:rPr>
          <w:t>Controlling s</w:t>
        </w:r>
        <w:r w:rsidR="00CF72BE" w:rsidRPr="00173441">
          <w:rPr>
            <w:rStyle w:val="Hyperlink"/>
            <w:rFonts w:ascii="Arial" w:hAnsi="Arial" w:cs="Arial"/>
            <w:noProof/>
          </w:rPr>
          <w:t>ources of variability</w:t>
        </w:r>
        <w:r w:rsidR="004C68BD" w:rsidRPr="00173441">
          <w:rPr>
            <w:rStyle w:val="Hyperlink"/>
            <w:rFonts w:ascii="Arial" w:hAnsi="Arial" w:cs="Arial"/>
            <w:noProof/>
          </w:rPr>
          <w:t xml:space="preserve"> on </w:t>
        </w:r>
        <w:r w:rsidR="0000595F" w:rsidRPr="00173441">
          <w:rPr>
            <w:rStyle w:val="Hyperlink"/>
            <w:rFonts w:ascii="Arial" w:hAnsi="Arial" w:cs="Arial"/>
            <w:noProof/>
          </w:rPr>
          <w:t>BTMs</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_Toc424043685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77</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6" w:history="1">
        <w:r w:rsidR="00CF72BE" w:rsidRPr="00173441">
          <w:rPr>
            <w:rStyle w:val="Hyperlink"/>
            <w:rFonts w:ascii="Arial" w:hAnsi="Arial" w:cs="Arial"/>
            <w:noProof/>
          </w:rPr>
          <w:t>Table 12</w:t>
        </w:r>
        <w:r w:rsidR="008D1161" w:rsidRPr="00173441">
          <w:rPr>
            <w:rStyle w:val="Hyperlink"/>
            <w:rFonts w:ascii="Arial" w:hAnsi="Arial" w:cs="Arial"/>
            <w:noProof/>
          </w:rPr>
          <w:t>: Baseline c</w:t>
        </w:r>
        <w:r w:rsidR="00CF72BE" w:rsidRPr="00173441">
          <w:rPr>
            <w:rStyle w:val="Hyperlink"/>
            <w:rFonts w:ascii="Arial" w:hAnsi="Arial" w:cs="Arial"/>
            <w:noProof/>
          </w:rPr>
          <w:t xml:space="preserve">haracteristics of the older </w:t>
        </w:r>
        <w:r w:rsidR="008D1161" w:rsidRPr="00173441">
          <w:rPr>
            <w:rStyle w:val="Hyperlink"/>
            <w:rFonts w:ascii="Arial" w:hAnsi="Arial" w:cs="Arial"/>
            <w:noProof/>
          </w:rPr>
          <w:t>a</w:t>
        </w:r>
        <w:r w:rsidR="00CF72BE" w:rsidRPr="00173441">
          <w:rPr>
            <w:rStyle w:val="Hyperlink"/>
            <w:rFonts w:ascii="Arial" w:hAnsi="Arial" w:cs="Arial"/>
            <w:noProof/>
          </w:rPr>
          <w:t>nd younger women in the OPUS study</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_Toc424043686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83</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7" w:history="1">
        <w:r w:rsidR="00CF72BE" w:rsidRPr="00173441">
          <w:rPr>
            <w:rStyle w:val="Hyperlink"/>
            <w:rFonts w:ascii="Arial" w:hAnsi="Arial" w:cs="Arial"/>
            <w:noProof/>
          </w:rPr>
          <w:t xml:space="preserve">Table 13: </w:t>
        </w:r>
        <w:r w:rsidR="004C68BD" w:rsidRPr="00173441">
          <w:rPr>
            <w:rStyle w:val="Hyperlink"/>
            <w:rFonts w:ascii="Arial" w:hAnsi="Arial" w:cs="Arial"/>
            <w:noProof/>
          </w:rPr>
          <w:t>T</w:t>
        </w:r>
        <w:r w:rsidR="00CF72BE" w:rsidRPr="00173441">
          <w:rPr>
            <w:rStyle w:val="Hyperlink"/>
            <w:rFonts w:ascii="Arial" w:hAnsi="Arial" w:cs="Arial"/>
            <w:noProof/>
          </w:rPr>
          <w:t>he effects of d</w:t>
        </w:r>
        <w:r w:rsidR="0000595F" w:rsidRPr="00173441">
          <w:rPr>
            <w:rStyle w:val="Hyperlink"/>
            <w:rFonts w:ascii="Arial" w:hAnsi="Arial" w:cs="Arial"/>
            <w:noProof/>
          </w:rPr>
          <w:t xml:space="preserve">iseases and treatments on BTMs </w:t>
        </w:r>
        <w:r w:rsidR="00CF72BE" w:rsidRPr="00173441">
          <w:rPr>
            <w:rStyle w:val="Hyperlink"/>
            <w:rFonts w:ascii="Arial" w:hAnsi="Arial" w:cs="Arial"/>
            <w:noProof/>
          </w:rPr>
          <w:t xml:space="preserve"> older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_Toc424043687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84</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8" w:history="1">
        <w:r w:rsidR="00CF72BE" w:rsidRPr="00173441">
          <w:rPr>
            <w:rStyle w:val="Hyperlink"/>
            <w:rFonts w:ascii="Arial" w:hAnsi="Arial" w:cs="Arial"/>
            <w:noProof/>
          </w:rPr>
          <w:t xml:space="preserve">Table 14: </w:t>
        </w:r>
        <w:r w:rsidR="008D1161" w:rsidRPr="00173441">
          <w:rPr>
            <w:rStyle w:val="Hyperlink"/>
            <w:rFonts w:ascii="Arial" w:hAnsi="Arial" w:cs="Arial"/>
            <w:noProof/>
          </w:rPr>
          <w:t>R</w:t>
        </w:r>
        <w:r w:rsidR="00CF72BE" w:rsidRPr="00173441">
          <w:rPr>
            <w:rStyle w:val="Hyperlink"/>
            <w:rFonts w:ascii="Arial" w:hAnsi="Arial" w:cs="Arial"/>
            <w:noProof/>
          </w:rPr>
          <w:t>eference intervals for BTMs for healthy 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_Toc424043688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84</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89" w:history="1">
        <w:r w:rsidR="00CF72BE" w:rsidRPr="00173441">
          <w:rPr>
            <w:rStyle w:val="Hyperlink"/>
            <w:rFonts w:ascii="Arial" w:hAnsi="Arial" w:cs="Arial"/>
            <w:noProof/>
          </w:rPr>
          <w:t xml:space="preserve">Table 15: </w:t>
        </w:r>
        <w:r w:rsidR="008D1161" w:rsidRPr="00173441">
          <w:rPr>
            <w:rStyle w:val="Hyperlink"/>
            <w:rFonts w:ascii="Arial" w:hAnsi="Arial" w:cs="Arial"/>
            <w:noProof/>
          </w:rPr>
          <w:t>R</w:t>
        </w:r>
        <w:r w:rsidR="00CF72BE" w:rsidRPr="00173441">
          <w:rPr>
            <w:rStyle w:val="Hyperlink"/>
            <w:rFonts w:ascii="Arial" w:hAnsi="Arial" w:cs="Arial"/>
            <w:noProof/>
          </w:rPr>
          <w:t>eference intervals for BTMs f</w:t>
        </w:r>
        <w:r w:rsidR="008D1161" w:rsidRPr="00173441">
          <w:rPr>
            <w:rStyle w:val="Hyperlink"/>
            <w:rFonts w:ascii="Arial" w:hAnsi="Arial" w:cs="Arial"/>
            <w:noProof/>
          </w:rPr>
          <w:t>or healthy premenopausal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_Toc424043689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85</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0" w:history="1">
        <w:r w:rsidR="00CF72BE" w:rsidRPr="00173441">
          <w:rPr>
            <w:rStyle w:val="Hyperlink"/>
            <w:rFonts w:ascii="Arial" w:hAnsi="Arial" w:cs="Arial"/>
            <w:noProof/>
          </w:rPr>
          <w:t xml:space="preserve">Table 16: </w:t>
        </w:r>
        <w:r w:rsidR="00F80936" w:rsidRPr="00173441">
          <w:rPr>
            <w:rStyle w:val="Hyperlink"/>
            <w:rFonts w:ascii="Arial" w:hAnsi="Arial" w:cs="Arial"/>
            <w:noProof/>
          </w:rPr>
          <w:t>F</w:t>
        </w:r>
        <w:r w:rsidR="00CF72BE" w:rsidRPr="00173441">
          <w:rPr>
            <w:rStyle w:val="Hyperlink"/>
            <w:rFonts w:ascii="Arial" w:hAnsi="Arial" w:cs="Arial"/>
            <w:noProof/>
          </w:rPr>
          <w:t>actors that influence BTMs in healthy 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_Toc424043690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87</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1" w:history="1">
        <w:r w:rsidR="00CF72BE" w:rsidRPr="00173441">
          <w:rPr>
            <w:rStyle w:val="Hyperlink"/>
            <w:rFonts w:ascii="Arial" w:hAnsi="Arial" w:cs="Arial"/>
            <w:noProof/>
          </w:rPr>
          <w:t xml:space="preserve">Table 17: </w:t>
        </w:r>
        <w:r w:rsidR="0000595F" w:rsidRPr="00173441">
          <w:rPr>
            <w:rStyle w:val="Hyperlink"/>
            <w:rFonts w:ascii="Arial" w:hAnsi="Arial" w:cs="Arial"/>
            <w:noProof/>
          </w:rPr>
          <w:t xml:space="preserve">The </w:t>
        </w:r>
        <w:r w:rsidR="00CF72BE" w:rsidRPr="00173441">
          <w:rPr>
            <w:rStyle w:val="Hyperlink"/>
            <w:rFonts w:ascii="Arial" w:hAnsi="Arial" w:cs="Arial"/>
            <w:noProof/>
          </w:rPr>
          <w:t>effect of geographical location on BTMs in healthy 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_Toc424043691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87</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2" w:history="1">
        <w:r w:rsidR="00CF72BE" w:rsidRPr="00173441">
          <w:rPr>
            <w:rStyle w:val="Hyperlink"/>
            <w:rFonts w:ascii="Arial" w:hAnsi="Arial" w:cs="Arial"/>
            <w:noProof/>
          </w:rPr>
          <w:t xml:space="preserve">Table 18: </w:t>
        </w:r>
        <w:r w:rsidR="0000595F" w:rsidRPr="00173441">
          <w:rPr>
            <w:rStyle w:val="Hyperlink"/>
            <w:rFonts w:ascii="Arial" w:hAnsi="Arial" w:cs="Arial"/>
            <w:noProof/>
          </w:rPr>
          <w:t>T</w:t>
        </w:r>
        <w:r w:rsidR="008D1161" w:rsidRPr="00173441">
          <w:rPr>
            <w:rStyle w:val="Hyperlink"/>
            <w:rFonts w:ascii="Arial" w:hAnsi="Arial" w:cs="Arial"/>
            <w:noProof/>
          </w:rPr>
          <w:t xml:space="preserve">he relationship between </w:t>
        </w:r>
        <w:r w:rsidR="00CF72BE" w:rsidRPr="00173441">
          <w:rPr>
            <w:rStyle w:val="Hyperlink"/>
            <w:rFonts w:ascii="Arial" w:hAnsi="Arial" w:cs="Arial"/>
            <w:noProof/>
          </w:rPr>
          <w:t xml:space="preserve">bone balance, bone turnover and </w:t>
        </w:r>
        <w:r w:rsidR="008D1161" w:rsidRPr="00173441">
          <w:rPr>
            <w:rStyle w:val="Hyperlink"/>
            <w:rFonts w:ascii="Arial" w:hAnsi="Arial" w:cs="Arial"/>
            <w:noProof/>
          </w:rPr>
          <w:t xml:space="preserve">BTMs  with BMD at the total hip in </w:t>
        </w:r>
        <w:r w:rsidR="00CF72BE" w:rsidRPr="00173441">
          <w:rPr>
            <w:rStyle w:val="Hyperlink"/>
            <w:rFonts w:ascii="Arial" w:hAnsi="Arial" w:cs="Arial"/>
            <w:noProof/>
          </w:rPr>
          <w:t>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_Toc424043692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96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3" w:history="1">
        <w:r w:rsidR="00CF72BE" w:rsidRPr="00173441">
          <w:rPr>
            <w:rStyle w:val="Hyperlink"/>
            <w:rFonts w:ascii="Arial" w:hAnsi="Arial" w:cs="Arial"/>
            <w:noProof/>
          </w:rPr>
          <w:t xml:space="preserve">Table 19: </w:t>
        </w:r>
        <w:r w:rsidR="0000595F" w:rsidRPr="00173441">
          <w:rPr>
            <w:rStyle w:val="Hyperlink"/>
            <w:rFonts w:ascii="Arial" w:hAnsi="Arial" w:cs="Arial"/>
            <w:noProof/>
          </w:rPr>
          <w:t xml:space="preserve">The </w:t>
        </w:r>
        <w:r w:rsidR="00CF72BE" w:rsidRPr="00173441">
          <w:rPr>
            <w:rStyle w:val="Hyperlink"/>
            <w:rFonts w:ascii="Arial" w:hAnsi="Arial" w:cs="Arial"/>
            <w:noProof/>
          </w:rPr>
          <w:t>relationship between each; bone balance, bone turnover and levels of PINP and CTX at baseline with the change in BMD at the total hip</w:t>
        </w:r>
        <w:r w:rsidR="0000595F" w:rsidRPr="00173441">
          <w:rPr>
            <w:rStyle w:val="Hyperlink"/>
            <w:rFonts w:ascii="Arial" w:hAnsi="Arial" w:cs="Arial"/>
            <w:noProof/>
          </w:rPr>
          <w:t xml:space="preserve"> in </w:t>
        </w:r>
        <w:r w:rsidR="00CF72BE" w:rsidRPr="00173441">
          <w:rPr>
            <w:rStyle w:val="Hyperlink"/>
            <w:rFonts w:ascii="Arial" w:hAnsi="Arial" w:cs="Arial"/>
            <w:noProof/>
          </w:rPr>
          <w:t>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_Toc424043693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96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4" w:history="1">
        <w:r w:rsidR="00CF72BE" w:rsidRPr="00173441">
          <w:rPr>
            <w:rStyle w:val="Hyperlink"/>
            <w:rFonts w:ascii="Arial" w:hAnsi="Arial" w:cs="Arial"/>
            <w:noProof/>
          </w:rPr>
          <w:t xml:space="preserve">Table 20: </w:t>
        </w:r>
        <w:r w:rsidR="0000595F" w:rsidRPr="00173441">
          <w:rPr>
            <w:rStyle w:val="Hyperlink"/>
            <w:rFonts w:ascii="Arial" w:hAnsi="Arial" w:cs="Arial"/>
            <w:noProof/>
          </w:rPr>
          <w:t>T</w:t>
        </w:r>
        <w:r w:rsidR="00CF72BE" w:rsidRPr="00173441">
          <w:rPr>
            <w:rStyle w:val="Hyperlink"/>
            <w:rFonts w:ascii="Arial" w:hAnsi="Arial" w:cs="Arial"/>
            <w:noProof/>
          </w:rPr>
          <w:t>he relationship between bone balance and bone turnover</w:t>
        </w:r>
        <w:r w:rsidR="0000595F" w:rsidRPr="00173441">
          <w:rPr>
            <w:rStyle w:val="Hyperlink"/>
            <w:rFonts w:ascii="Arial" w:hAnsi="Arial" w:cs="Arial"/>
            <w:noProof/>
          </w:rPr>
          <w:t xml:space="preserve"> </w:t>
        </w:r>
        <w:r w:rsidR="00CF72BE" w:rsidRPr="00173441">
          <w:rPr>
            <w:rStyle w:val="Hyperlink"/>
            <w:rFonts w:ascii="Arial" w:hAnsi="Arial" w:cs="Arial"/>
            <w:noProof/>
          </w:rPr>
          <w:t>and the relative risk of vertebral an</w:t>
        </w:r>
        <w:r w:rsidR="0000595F" w:rsidRPr="00173441">
          <w:rPr>
            <w:rStyle w:val="Hyperlink"/>
            <w:rFonts w:ascii="Arial" w:hAnsi="Arial" w:cs="Arial"/>
            <w:noProof/>
          </w:rPr>
          <w:t xml:space="preserve">d non-vertebral fracture in </w:t>
        </w:r>
        <w:r w:rsidR="00CF72BE" w:rsidRPr="00173441">
          <w:rPr>
            <w:rStyle w:val="Hyperlink"/>
            <w:rFonts w:ascii="Arial" w:hAnsi="Arial" w:cs="Arial"/>
            <w:noProof/>
          </w:rPr>
          <w:t>postmenopausal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_Toc424043694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96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5" w:history="1">
        <w:r w:rsidR="00CF72BE" w:rsidRPr="00173441">
          <w:rPr>
            <w:rStyle w:val="Hyperlink"/>
            <w:rFonts w:ascii="Arial" w:hAnsi="Arial" w:cs="Arial"/>
            <w:noProof/>
          </w:rPr>
          <w:t xml:space="preserve">Table 21: The baseline characteristics of the postmenopausal women with osteoporosis </w:t>
        </w:r>
        <w:r w:rsidR="0000595F" w:rsidRPr="00173441">
          <w:rPr>
            <w:rStyle w:val="Hyperlink"/>
            <w:rFonts w:ascii="Arial" w:hAnsi="Arial" w:cs="Arial"/>
            <w:noProof/>
          </w:rPr>
          <w:t>and osteopenia</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_Toc424043695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104</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6" w:history="1">
        <w:r w:rsidR="00CF72BE" w:rsidRPr="00173441">
          <w:rPr>
            <w:rStyle w:val="Hyperlink"/>
            <w:rFonts w:ascii="Arial" w:hAnsi="Arial" w:cs="Arial"/>
            <w:noProof/>
          </w:rPr>
          <w:t>Table 22: Geom</w:t>
        </w:r>
        <w:r w:rsidR="0000595F" w:rsidRPr="00173441">
          <w:rPr>
            <w:rStyle w:val="Hyperlink"/>
            <w:rFonts w:ascii="Arial" w:hAnsi="Arial" w:cs="Arial"/>
            <w:noProof/>
          </w:rPr>
          <w:t xml:space="preserve">etric mean and </w:t>
        </w:r>
        <w:r w:rsidR="00CF72BE" w:rsidRPr="00173441">
          <w:rPr>
            <w:rStyle w:val="Hyperlink"/>
            <w:rFonts w:ascii="Arial" w:hAnsi="Arial" w:cs="Arial"/>
            <w:noProof/>
          </w:rPr>
          <w:t>intervals for BTMs for healthy premenopausal women.</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_Toc424043696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106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7" w:history="1">
        <w:r w:rsidR="00CF72BE" w:rsidRPr="00173441">
          <w:rPr>
            <w:rStyle w:val="Hyperlink"/>
            <w:rFonts w:ascii="Arial" w:hAnsi="Arial" w:cs="Arial"/>
            <w:noProof/>
          </w:rPr>
          <w:t>Table 23:</w:t>
        </w:r>
        <w:r w:rsidR="0000595F" w:rsidRPr="00173441">
          <w:rPr>
            <w:rStyle w:val="Hyperlink"/>
            <w:rFonts w:ascii="Arial" w:hAnsi="Arial" w:cs="Arial"/>
            <w:noProof/>
          </w:rPr>
          <w:t xml:space="preserve">The </w:t>
        </w:r>
        <w:r w:rsidR="00CF72BE" w:rsidRPr="00173441">
          <w:rPr>
            <w:rStyle w:val="Hyperlink"/>
            <w:rFonts w:ascii="Arial" w:hAnsi="Arial" w:cs="Arial"/>
            <w:noProof/>
          </w:rPr>
          <w:t xml:space="preserve">change </w:t>
        </w:r>
        <w:r w:rsidR="0000595F" w:rsidRPr="00173441">
          <w:rPr>
            <w:rStyle w:val="Hyperlink"/>
            <w:rFonts w:ascii="Arial" w:hAnsi="Arial" w:cs="Arial"/>
            <w:noProof/>
          </w:rPr>
          <w:t xml:space="preserve">in </w:t>
        </w:r>
        <w:r w:rsidR="00CF72BE" w:rsidRPr="00173441">
          <w:rPr>
            <w:rStyle w:val="Hyperlink"/>
            <w:rFonts w:ascii="Arial" w:hAnsi="Arial" w:cs="Arial"/>
            <w:noProof/>
          </w:rPr>
          <w:t>BTM</w:t>
        </w:r>
        <w:r w:rsidR="0000595F" w:rsidRPr="00173441">
          <w:rPr>
            <w:rStyle w:val="Hyperlink"/>
            <w:rFonts w:ascii="Arial" w:hAnsi="Arial" w:cs="Arial"/>
            <w:noProof/>
          </w:rPr>
          <w:t>s</w:t>
        </w:r>
        <w:r w:rsidR="00CF72BE" w:rsidRPr="00173441">
          <w:rPr>
            <w:rStyle w:val="Hyperlink"/>
            <w:rFonts w:ascii="Arial" w:hAnsi="Arial" w:cs="Arial"/>
            <w:noProof/>
          </w:rPr>
          <w:t xml:space="preserve"> throughout the treatment periods in postmenopausal women receiving antiresorptive treatments.</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_Toc424043697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111</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8" w:history="1">
        <w:r w:rsidR="00CF72BE" w:rsidRPr="00173441">
          <w:rPr>
            <w:rStyle w:val="Hyperlink"/>
            <w:rFonts w:ascii="Arial" w:hAnsi="Arial" w:cs="Arial"/>
            <w:noProof/>
          </w:rPr>
          <w:t xml:space="preserve">Table 24: </w:t>
        </w:r>
        <w:r w:rsidR="0000595F" w:rsidRPr="00173441">
          <w:rPr>
            <w:rStyle w:val="Hyperlink"/>
            <w:rFonts w:ascii="Arial" w:hAnsi="Arial" w:cs="Arial"/>
            <w:noProof/>
          </w:rPr>
          <w:t>The change in osteoclast precursor cell population with bisphosphonate treatement</w:t>
        </w:r>
        <w:r w:rsidR="00CF72BE" w:rsidRPr="00173441">
          <w:rPr>
            <w:rStyle w:val="Hyperlink"/>
            <w:rFonts w:ascii="Arial" w:hAnsi="Arial" w:cs="Arial"/>
            <w:noProof/>
          </w:rPr>
          <w: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_Toc424043698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127</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699" w:history="1">
        <w:r w:rsidR="00CF72BE" w:rsidRPr="00173441">
          <w:rPr>
            <w:rStyle w:val="Hyperlink"/>
            <w:rFonts w:ascii="Arial" w:hAnsi="Arial" w:cs="Arial"/>
            <w:noProof/>
          </w:rPr>
          <w:t>Table 25: The</w:t>
        </w:r>
        <w:r w:rsidR="0000595F" w:rsidRPr="00173441">
          <w:rPr>
            <w:rStyle w:val="Hyperlink"/>
            <w:rFonts w:ascii="Arial" w:hAnsi="Arial" w:cs="Arial"/>
            <w:noProof/>
          </w:rPr>
          <w:t xml:space="preserve"> mean bone balance and bone turnover in postmenopausal women receiving bisphosphonate treatment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_Toc424043699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131</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0" w:history="1">
        <w:r w:rsidR="0000595F" w:rsidRPr="00173441">
          <w:rPr>
            <w:rStyle w:val="Hyperlink"/>
            <w:rFonts w:ascii="Arial" w:hAnsi="Arial" w:cs="Arial"/>
            <w:noProof/>
          </w:rPr>
          <w:t>Table 26: The mean change  in bone balance and bone turnover</w:t>
        </w:r>
        <w:r w:rsidR="00CF72BE" w:rsidRPr="00173441">
          <w:rPr>
            <w:rStyle w:val="Hyperlink"/>
            <w:rFonts w:ascii="Arial" w:hAnsi="Arial" w:cs="Arial"/>
            <w:noProof/>
          </w:rPr>
          <w:t xml:space="preserve"> in postmenopausal women receiving bisphosphonate treatment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_Toc424043700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131</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1" w:history="1">
        <w:r w:rsidR="00CF72BE" w:rsidRPr="00173441">
          <w:rPr>
            <w:rStyle w:val="Hyperlink"/>
            <w:rFonts w:ascii="Arial" w:hAnsi="Arial" w:cs="Arial"/>
            <w:noProof/>
          </w:rPr>
          <w:t>Table 27: The mean bone balance and bone turnover in postmenopausal women receiving ibandronate, alendronate and risedronate</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_Toc424043701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136</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2" w:history="1">
        <w:r w:rsidR="00CF72BE" w:rsidRPr="00173441">
          <w:rPr>
            <w:rStyle w:val="Hyperlink"/>
            <w:rFonts w:ascii="Arial" w:hAnsi="Arial" w:cs="Arial"/>
            <w:noProof/>
          </w:rPr>
          <w:t>Table 28: The mean change in bone balance and bone turnover in postmenopausal women receiving ibandronate, alendronate and risedrona</w:t>
        </w:r>
        <w:r w:rsidR="0000595F" w:rsidRPr="00173441">
          <w:rPr>
            <w:rStyle w:val="Hyperlink"/>
            <w:rFonts w:ascii="Arial" w:hAnsi="Arial" w:cs="Arial"/>
            <w:noProof/>
          </w:rPr>
          <w:t>te</w:t>
        </w:r>
        <w:r w:rsidR="00CF72BE" w:rsidRPr="00173441">
          <w:rPr>
            <w:rStyle w:val="Hyperlink"/>
            <w:rFonts w:ascii="Arial" w:hAnsi="Arial" w:cs="Arial"/>
            <w:noProof/>
          </w:rPr>
          <w:t>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_Toc424043702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137</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3" w:history="1">
        <w:r w:rsidR="00CF72BE" w:rsidRPr="00173441">
          <w:rPr>
            <w:rStyle w:val="Hyperlink"/>
            <w:rFonts w:ascii="Arial" w:hAnsi="Arial" w:cs="Arial"/>
            <w:noProof/>
          </w:rPr>
          <w:t xml:space="preserve">Table 29: The </w:t>
        </w:r>
        <w:r w:rsidR="0000595F" w:rsidRPr="00173441">
          <w:rPr>
            <w:rStyle w:val="Hyperlink"/>
            <w:rFonts w:ascii="Arial" w:hAnsi="Arial" w:cs="Arial"/>
            <w:noProof/>
          </w:rPr>
          <w:t>levels</w:t>
        </w:r>
        <w:r w:rsidR="00CF72BE" w:rsidRPr="00173441">
          <w:rPr>
            <w:rStyle w:val="Hyperlink"/>
            <w:rFonts w:ascii="Arial" w:hAnsi="Arial" w:cs="Arial"/>
            <w:noProof/>
          </w:rPr>
          <w:t xml:space="preserve"> circulating serum sclerostin in postmenopausal women receiving either ibandronate, alendronate or risedronate</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_Toc424043703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139</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4" w:history="1">
        <w:r w:rsidR="00CF72BE" w:rsidRPr="00173441">
          <w:rPr>
            <w:rStyle w:val="Hyperlink"/>
            <w:rFonts w:ascii="Arial" w:hAnsi="Arial" w:cs="Arial"/>
            <w:noProof/>
          </w:rPr>
          <w:t xml:space="preserve">Table 30: </w:t>
        </w:r>
        <w:r w:rsidR="0000595F" w:rsidRPr="00173441">
          <w:rPr>
            <w:rStyle w:val="Hyperlink"/>
            <w:rFonts w:ascii="Arial" w:hAnsi="Arial" w:cs="Arial"/>
            <w:noProof/>
          </w:rPr>
          <w:t>The effect of raloxifene on CTX is postmenopausal women compared to no treatment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_Toc424043704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150</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5" w:history="1">
        <w:r w:rsidR="00CF72BE" w:rsidRPr="00173441">
          <w:rPr>
            <w:rStyle w:val="Hyperlink"/>
            <w:rFonts w:ascii="Arial" w:hAnsi="Arial" w:cs="Arial"/>
            <w:noProof/>
          </w:rPr>
          <w:t>Table 31:</w:t>
        </w:r>
        <w:r w:rsidR="0000595F" w:rsidRPr="00173441">
          <w:rPr>
            <w:rStyle w:val="Hyperlink"/>
            <w:rFonts w:ascii="Arial" w:hAnsi="Arial" w:cs="Arial"/>
            <w:noProof/>
          </w:rPr>
          <w:t xml:space="preserve"> The effect of raloxifene on CTX is postmenopausal women compared to no treatment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_Toc424043705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151</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6" w:history="1">
        <w:r w:rsidR="00CF72BE" w:rsidRPr="00173441">
          <w:rPr>
            <w:rStyle w:val="Hyperlink"/>
            <w:rFonts w:ascii="Arial" w:hAnsi="Arial" w:cs="Arial"/>
            <w:noProof/>
          </w:rPr>
          <w:t>Table 32:</w:t>
        </w:r>
        <w:r w:rsidR="0000595F" w:rsidRPr="00173441">
          <w:rPr>
            <w:rFonts w:ascii="Arial" w:hAnsi="Arial" w:cs="Arial"/>
            <w:noProof/>
          </w:rPr>
          <w:t xml:space="preserve"> </w:t>
        </w:r>
        <w:r w:rsidR="0000595F" w:rsidRPr="00173441">
          <w:rPr>
            <w:rStyle w:val="Hyperlink"/>
            <w:rFonts w:ascii="Arial" w:hAnsi="Arial" w:cs="Arial"/>
            <w:noProof/>
          </w:rPr>
          <w:t>The mean bone balance and bone turnover in postmenopausal women receiving raloxifene</w:t>
        </w:r>
        <w:r w:rsidR="00CF72BE" w:rsidRPr="00173441">
          <w:rPr>
            <w:rStyle w:val="Hyperlink"/>
            <w:rFonts w:ascii="Arial" w:hAnsi="Arial" w:cs="Arial"/>
            <w:noProof/>
          </w:rPr>
          <w: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_Toc424043706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153</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7" w:history="1">
        <w:r w:rsidR="00CF72BE" w:rsidRPr="00173441">
          <w:rPr>
            <w:rStyle w:val="Hyperlink"/>
            <w:rFonts w:ascii="Arial" w:hAnsi="Arial" w:cs="Arial"/>
            <w:noProof/>
          </w:rPr>
          <w:t>Table 33:</w:t>
        </w:r>
        <w:r w:rsidR="0000595F" w:rsidRPr="00173441">
          <w:rPr>
            <w:rStyle w:val="Hyperlink"/>
            <w:rFonts w:ascii="Arial" w:hAnsi="Arial" w:cs="Arial"/>
            <w:noProof/>
          </w:rPr>
          <w:t xml:space="preserve"> The mean change in bone balance and bone turnover in postmenopausal women receiving ibandronate, alendronate and risedronatet.</w:t>
        </w:r>
        <w:r w:rsidR="00CF72BE" w:rsidRPr="00173441">
          <w:rPr>
            <w:rStyle w:val="Hyperlink"/>
            <w:rFonts w:ascii="Arial" w:hAnsi="Arial" w:cs="Arial"/>
            <w:noProof/>
          </w:rPr>
          <w: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_Toc424043707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154</w:t>
        </w:r>
        <w:r w:rsidR="00CF72BE" w:rsidRPr="00173441">
          <w:rPr>
            <w:rFonts w:ascii="Arial" w:hAnsi="Arial" w:cs="Arial"/>
            <w:noProof/>
            <w:webHidden/>
          </w:rPr>
          <w:fldChar w:fldCharType="end"/>
        </w:r>
      </w:hyperlink>
    </w:p>
    <w:p w:rsidR="00CF72BE" w:rsidRPr="00173441" w:rsidRDefault="008432B5" w:rsidP="009143C3">
      <w:pPr>
        <w:pStyle w:val="TableofFigures"/>
        <w:tabs>
          <w:tab w:val="right" w:leader="dot" w:pos="8494"/>
        </w:tabs>
        <w:jc w:val="both"/>
        <w:rPr>
          <w:rFonts w:ascii="Arial" w:eastAsiaTheme="minorEastAsia" w:hAnsi="Arial" w:cs="Arial"/>
          <w:noProof/>
          <w:lang w:eastAsia="zh-CN"/>
        </w:rPr>
      </w:pPr>
      <w:hyperlink w:anchor="_Toc424043708" w:history="1">
        <w:r w:rsidR="00CF72BE" w:rsidRPr="00173441">
          <w:rPr>
            <w:rStyle w:val="Hyperlink"/>
            <w:rFonts w:ascii="Arial" w:hAnsi="Arial" w:cs="Arial"/>
            <w:noProof/>
          </w:rPr>
          <w:t>Table 34:</w:t>
        </w:r>
        <w:r w:rsidR="0000595F" w:rsidRPr="00173441">
          <w:rPr>
            <w:rStyle w:val="Hyperlink"/>
            <w:rFonts w:ascii="Arial" w:hAnsi="Arial" w:cs="Arial"/>
            <w:noProof/>
          </w:rPr>
          <w:t xml:space="preserve"> The effect of raloxifene on circulating sclerostin is postmenopausal women compared to no treatment</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_Toc424043708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155</w:t>
        </w:r>
        <w:r w:rsidR="00CF72BE" w:rsidRPr="00173441">
          <w:rPr>
            <w:rFonts w:ascii="Arial" w:hAnsi="Arial" w:cs="Arial"/>
            <w:noProof/>
            <w:webHidden/>
          </w:rPr>
          <w:fldChar w:fldCharType="end"/>
        </w:r>
      </w:hyperlink>
    </w:p>
    <w:p w:rsidR="00CF72BE" w:rsidRDefault="008432B5" w:rsidP="009143C3">
      <w:pPr>
        <w:pStyle w:val="TableofFigures"/>
        <w:tabs>
          <w:tab w:val="right" w:leader="dot" w:pos="8494"/>
        </w:tabs>
        <w:jc w:val="both"/>
        <w:rPr>
          <w:rFonts w:eastAsiaTheme="minorEastAsia"/>
          <w:noProof/>
          <w:lang w:eastAsia="zh-CN"/>
        </w:rPr>
      </w:pPr>
      <w:hyperlink w:anchor="_Toc424043709" w:history="1">
        <w:r w:rsidR="00CF72BE" w:rsidRPr="00173441">
          <w:rPr>
            <w:rStyle w:val="Hyperlink"/>
            <w:rFonts w:ascii="Arial" w:hAnsi="Arial" w:cs="Arial"/>
            <w:noProof/>
          </w:rPr>
          <w:t>Table 35: The key findings from the TRIO and Raloxifene clinical trials described in the thesis</w:t>
        </w:r>
        <w:r w:rsidR="00CF72BE" w:rsidRPr="00173441">
          <w:rPr>
            <w:rFonts w:ascii="Arial" w:hAnsi="Arial" w:cs="Arial"/>
            <w:noProof/>
            <w:webHidden/>
          </w:rPr>
          <w:tab/>
        </w:r>
        <w:r w:rsidR="00CF72BE" w:rsidRPr="00173441">
          <w:rPr>
            <w:rFonts w:ascii="Arial" w:hAnsi="Arial" w:cs="Arial"/>
            <w:noProof/>
            <w:webHidden/>
          </w:rPr>
          <w:fldChar w:fldCharType="begin"/>
        </w:r>
        <w:r w:rsidR="00CF72BE" w:rsidRPr="00173441">
          <w:rPr>
            <w:rFonts w:ascii="Arial" w:hAnsi="Arial" w:cs="Arial"/>
            <w:noProof/>
            <w:webHidden/>
          </w:rPr>
          <w:instrText xml:space="preserve"> PAGEREF _Toc424043709 \h </w:instrText>
        </w:r>
        <w:r w:rsidR="00CF72BE" w:rsidRPr="00173441">
          <w:rPr>
            <w:rFonts w:ascii="Arial" w:hAnsi="Arial" w:cs="Arial"/>
            <w:noProof/>
            <w:webHidden/>
          </w:rPr>
        </w:r>
        <w:r w:rsidR="00CF72BE" w:rsidRPr="00173441">
          <w:rPr>
            <w:rFonts w:ascii="Arial" w:hAnsi="Arial" w:cs="Arial"/>
            <w:noProof/>
            <w:webHidden/>
          </w:rPr>
          <w:fldChar w:fldCharType="separate"/>
        </w:r>
        <w:r w:rsidR="00DD116A">
          <w:rPr>
            <w:rFonts w:ascii="Arial" w:hAnsi="Arial" w:cs="Arial"/>
            <w:noProof/>
            <w:webHidden/>
          </w:rPr>
          <w:t>165</w:t>
        </w:r>
        <w:r w:rsidR="00CF72BE" w:rsidRPr="00173441">
          <w:rPr>
            <w:rFonts w:ascii="Arial" w:hAnsi="Arial" w:cs="Arial"/>
            <w:noProof/>
            <w:webHidden/>
          </w:rPr>
          <w:fldChar w:fldCharType="end"/>
        </w:r>
      </w:hyperlink>
    </w:p>
    <w:p w:rsidR="00CF72BE" w:rsidRPr="00CF72BE" w:rsidRDefault="00CF72BE" w:rsidP="009143C3">
      <w:pPr>
        <w:jc w:val="both"/>
      </w:pPr>
      <w:r>
        <w:fldChar w:fldCharType="end"/>
      </w:r>
    </w:p>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A85832" w:rsidRDefault="00A85832" w:rsidP="00900F2C"/>
    <w:p w:rsidR="0000595F" w:rsidRDefault="0000595F" w:rsidP="00900F2C">
      <w:pPr>
        <w:pStyle w:val="Heading1"/>
        <w:spacing w:line="240" w:lineRule="auto"/>
        <w:rPr>
          <w:rFonts w:cs="Arial"/>
        </w:rPr>
      </w:pPr>
      <w:bookmarkStart w:id="8" w:name="_Toc425418887"/>
    </w:p>
    <w:p w:rsidR="0000595F" w:rsidRDefault="0000595F" w:rsidP="00900F2C">
      <w:pPr>
        <w:pStyle w:val="Heading1"/>
        <w:spacing w:line="240" w:lineRule="auto"/>
        <w:rPr>
          <w:rFonts w:cs="Arial"/>
        </w:rPr>
      </w:pPr>
    </w:p>
    <w:p w:rsidR="0000595F" w:rsidRDefault="0000595F" w:rsidP="00900F2C">
      <w:pPr>
        <w:pStyle w:val="Heading1"/>
        <w:spacing w:line="240" w:lineRule="auto"/>
        <w:rPr>
          <w:rFonts w:cs="Arial"/>
        </w:rPr>
      </w:pPr>
    </w:p>
    <w:p w:rsidR="0000595F" w:rsidRDefault="0000595F" w:rsidP="00900F2C">
      <w:pPr>
        <w:pStyle w:val="Heading1"/>
        <w:spacing w:line="240" w:lineRule="auto"/>
        <w:rPr>
          <w:rFonts w:cs="Arial"/>
        </w:rPr>
      </w:pPr>
    </w:p>
    <w:p w:rsidR="0000595F" w:rsidRDefault="0000595F" w:rsidP="00900F2C">
      <w:pPr>
        <w:pStyle w:val="Heading1"/>
        <w:spacing w:line="240" w:lineRule="auto"/>
        <w:rPr>
          <w:rFonts w:cs="Arial"/>
        </w:rPr>
      </w:pPr>
    </w:p>
    <w:p w:rsidR="0000595F" w:rsidRDefault="0000595F" w:rsidP="00900F2C">
      <w:pPr>
        <w:pStyle w:val="Heading1"/>
        <w:spacing w:line="240" w:lineRule="auto"/>
        <w:rPr>
          <w:rFonts w:cs="Arial"/>
        </w:rPr>
      </w:pPr>
    </w:p>
    <w:p w:rsidR="0000595F" w:rsidRDefault="0000595F" w:rsidP="0000595F"/>
    <w:p w:rsidR="0000595F" w:rsidRDefault="0000595F" w:rsidP="0000595F"/>
    <w:p w:rsidR="0000595F" w:rsidRDefault="0000595F" w:rsidP="0000595F"/>
    <w:p w:rsidR="00173441" w:rsidRPr="0000595F" w:rsidRDefault="00173441" w:rsidP="0000595F"/>
    <w:p w:rsidR="007D49C9" w:rsidRPr="007D49C9" w:rsidRDefault="007D49C9" w:rsidP="009143C3">
      <w:pPr>
        <w:pStyle w:val="Heading1"/>
        <w:spacing w:line="240" w:lineRule="auto"/>
        <w:jc w:val="both"/>
        <w:rPr>
          <w:rFonts w:cs="Arial"/>
        </w:rPr>
      </w:pPr>
      <w:r w:rsidRPr="007D49C9">
        <w:rPr>
          <w:rFonts w:cs="Arial"/>
        </w:rPr>
        <w:lastRenderedPageBreak/>
        <w:t>Abbreviations</w:t>
      </w:r>
      <w:bookmarkEnd w:id="1"/>
      <w:bookmarkEnd w:id="8"/>
    </w:p>
    <w:tbl>
      <w:tblPr>
        <w:tblW w:w="0" w:type="auto"/>
        <w:tblLook w:val="04A0" w:firstRow="1" w:lastRow="0" w:firstColumn="1" w:lastColumn="0" w:noHBand="0" w:noVBand="1"/>
      </w:tblPr>
      <w:tblGrid>
        <w:gridCol w:w="2054"/>
        <w:gridCol w:w="6450"/>
      </w:tblGrid>
      <w:tr w:rsidR="007D49C9" w:rsidRPr="007D49C9" w:rsidTr="007E1451">
        <w:tc>
          <w:tcPr>
            <w:tcW w:w="2093" w:type="dxa"/>
            <w:shd w:val="clear" w:color="auto" w:fill="auto"/>
          </w:tcPr>
          <w:p w:rsidR="007D49C9" w:rsidRDefault="007D49C9" w:rsidP="009143C3">
            <w:pPr>
              <w:spacing w:line="240" w:lineRule="auto"/>
              <w:jc w:val="both"/>
              <w:rPr>
                <w:rFonts w:ascii="Arial" w:hAnsi="Arial" w:cs="Arial"/>
              </w:rPr>
            </w:pPr>
            <w:r>
              <w:rPr>
                <w:rFonts w:ascii="Arial" w:hAnsi="Arial" w:cs="Arial"/>
              </w:rPr>
              <w:t>Bone ALP</w:t>
            </w:r>
          </w:p>
          <w:p w:rsidR="0050283E" w:rsidRPr="007D49C9" w:rsidRDefault="0050283E" w:rsidP="009143C3">
            <w:pPr>
              <w:spacing w:line="240" w:lineRule="auto"/>
              <w:jc w:val="both"/>
              <w:rPr>
                <w:rFonts w:ascii="Arial" w:hAnsi="Arial" w:cs="Arial"/>
              </w:rPr>
            </w:pPr>
            <w:r>
              <w:rPr>
                <w:rFonts w:ascii="Arial" w:hAnsi="Arial" w:cs="Arial"/>
              </w:rPr>
              <w:t>BCE</w:t>
            </w:r>
          </w:p>
        </w:tc>
        <w:tc>
          <w:tcPr>
            <w:tcW w:w="6627" w:type="dxa"/>
            <w:shd w:val="clear" w:color="auto" w:fill="auto"/>
          </w:tcPr>
          <w:p w:rsidR="007D49C9" w:rsidRDefault="007D49C9" w:rsidP="009143C3">
            <w:pPr>
              <w:spacing w:line="240" w:lineRule="auto"/>
              <w:jc w:val="both"/>
              <w:rPr>
                <w:rFonts w:ascii="Arial" w:hAnsi="Arial" w:cs="Arial"/>
              </w:rPr>
            </w:pPr>
            <w:r w:rsidRPr="007D49C9">
              <w:rPr>
                <w:rFonts w:ascii="Arial" w:hAnsi="Arial" w:cs="Arial"/>
              </w:rPr>
              <w:t>Bone alkaline phosphatase</w:t>
            </w:r>
          </w:p>
          <w:p w:rsidR="0050283E" w:rsidRPr="007D49C9" w:rsidRDefault="0050283E" w:rsidP="009143C3">
            <w:pPr>
              <w:spacing w:line="240" w:lineRule="auto"/>
              <w:jc w:val="both"/>
              <w:rPr>
                <w:rFonts w:ascii="Arial" w:hAnsi="Arial" w:cs="Arial"/>
              </w:rPr>
            </w:pPr>
            <w:r>
              <w:rPr>
                <w:rFonts w:ascii="Arial" w:hAnsi="Arial" w:cs="Arial"/>
              </w:rPr>
              <w:t>Bone collagen equivalent</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BMD</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Bone mineral density</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BMI</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Body mass index</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 xml:space="preserve">BMP </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Bone morphogenetic protein</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BRU</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Bone remodelling unit</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BTM</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Bone turnover marker</w:t>
            </w:r>
          </w:p>
        </w:tc>
      </w:tr>
      <w:tr w:rsidR="007D49C9" w:rsidRPr="007D49C9" w:rsidTr="007E1451">
        <w:tc>
          <w:tcPr>
            <w:tcW w:w="2093" w:type="dxa"/>
            <w:shd w:val="clear" w:color="auto" w:fill="auto"/>
          </w:tcPr>
          <w:p w:rsidR="007D49C9" w:rsidRDefault="007D49C9" w:rsidP="009143C3">
            <w:pPr>
              <w:spacing w:line="240" w:lineRule="auto"/>
              <w:jc w:val="both"/>
              <w:rPr>
                <w:rFonts w:ascii="Arial" w:hAnsi="Arial" w:cs="Arial"/>
                <w:color w:val="000000"/>
              </w:rPr>
            </w:pPr>
            <w:r w:rsidRPr="007D49C9">
              <w:rPr>
                <w:rFonts w:ascii="Arial" w:hAnsi="Arial" w:cs="Arial"/>
                <w:color w:val="000000"/>
              </w:rPr>
              <w:t xml:space="preserve">CI </w:t>
            </w:r>
          </w:p>
          <w:p w:rsidR="00942523" w:rsidRPr="007D49C9" w:rsidRDefault="00942523" w:rsidP="009143C3">
            <w:pPr>
              <w:spacing w:line="240" w:lineRule="auto"/>
              <w:jc w:val="both"/>
              <w:rPr>
                <w:rFonts w:ascii="Arial" w:hAnsi="Arial" w:cs="Arial"/>
              </w:rPr>
            </w:pPr>
            <w:r>
              <w:rPr>
                <w:rFonts w:ascii="Arial" w:hAnsi="Arial" w:cs="Arial"/>
                <w:color w:val="000000"/>
              </w:rPr>
              <w:t>CKD</w:t>
            </w:r>
          </w:p>
        </w:tc>
        <w:tc>
          <w:tcPr>
            <w:tcW w:w="6627" w:type="dxa"/>
            <w:shd w:val="clear" w:color="auto" w:fill="auto"/>
          </w:tcPr>
          <w:p w:rsidR="007D49C9" w:rsidRDefault="007D49C9" w:rsidP="009143C3">
            <w:pPr>
              <w:spacing w:line="240" w:lineRule="auto"/>
              <w:jc w:val="both"/>
              <w:rPr>
                <w:rFonts w:ascii="Arial" w:hAnsi="Arial" w:cs="Arial"/>
                <w:color w:val="000000"/>
              </w:rPr>
            </w:pPr>
            <w:r w:rsidRPr="007D49C9">
              <w:rPr>
                <w:rFonts w:ascii="Arial" w:hAnsi="Arial" w:cs="Arial"/>
                <w:color w:val="000000"/>
              </w:rPr>
              <w:t>Confidence interval</w:t>
            </w:r>
          </w:p>
          <w:p w:rsidR="00942523" w:rsidRPr="007D49C9" w:rsidRDefault="00942523" w:rsidP="009143C3">
            <w:pPr>
              <w:spacing w:line="240" w:lineRule="auto"/>
              <w:jc w:val="both"/>
              <w:rPr>
                <w:rFonts w:ascii="Arial" w:hAnsi="Arial" w:cs="Arial"/>
              </w:rPr>
            </w:pPr>
            <w:r>
              <w:rPr>
                <w:rFonts w:ascii="Arial" w:hAnsi="Arial" w:cs="Arial"/>
                <w:color w:val="000000"/>
              </w:rPr>
              <w:t>Chronic kidney disease</w:t>
            </w:r>
          </w:p>
        </w:tc>
      </w:tr>
      <w:tr w:rsidR="007D49C9" w:rsidRPr="007D49C9" w:rsidTr="007E1451">
        <w:tc>
          <w:tcPr>
            <w:tcW w:w="2093"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CLIA</w:t>
            </w:r>
          </w:p>
        </w:tc>
        <w:tc>
          <w:tcPr>
            <w:tcW w:w="6627" w:type="dxa"/>
            <w:shd w:val="clear" w:color="auto" w:fill="auto"/>
          </w:tcPr>
          <w:p w:rsidR="007D49C9" w:rsidRPr="007D49C9" w:rsidRDefault="007D49C9" w:rsidP="009143C3">
            <w:pPr>
              <w:spacing w:line="240" w:lineRule="auto"/>
              <w:jc w:val="both"/>
              <w:rPr>
                <w:rFonts w:ascii="Arial" w:hAnsi="Arial" w:cs="Arial"/>
              </w:rPr>
            </w:pPr>
            <w:r w:rsidRPr="007D49C9">
              <w:rPr>
                <w:rFonts w:ascii="Arial" w:hAnsi="Arial" w:cs="Arial"/>
              </w:rPr>
              <w:t>Chemiluminescent immunoassay</w:t>
            </w:r>
          </w:p>
        </w:tc>
      </w:tr>
      <w:tr w:rsidR="007D49C9" w:rsidRPr="007D49C9" w:rsidTr="007E1451">
        <w:tc>
          <w:tcPr>
            <w:tcW w:w="2093" w:type="dxa"/>
            <w:shd w:val="clear" w:color="auto" w:fill="auto"/>
          </w:tcPr>
          <w:p w:rsidR="007D49C9" w:rsidRDefault="007D49C9" w:rsidP="009143C3">
            <w:pPr>
              <w:spacing w:line="240" w:lineRule="auto"/>
              <w:jc w:val="both"/>
              <w:rPr>
                <w:rFonts w:ascii="Arial" w:hAnsi="Arial" w:cs="Arial"/>
              </w:rPr>
            </w:pPr>
            <w:r w:rsidRPr="007D49C9">
              <w:rPr>
                <w:rFonts w:ascii="Arial" w:hAnsi="Arial" w:cs="Arial"/>
              </w:rPr>
              <w:t>CTX</w:t>
            </w:r>
          </w:p>
          <w:p w:rsidR="0061506A" w:rsidRDefault="0061506A" w:rsidP="009143C3">
            <w:pPr>
              <w:spacing w:line="240" w:lineRule="auto"/>
              <w:jc w:val="both"/>
              <w:rPr>
                <w:rFonts w:ascii="Arial" w:hAnsi="Arial" w:cs="Arial"/>
              </w:rPr>
            </w:pPr>
            <w:r>
              <w:rPr>
                <w:rFonts w:ascii="Arial" w:hAnsi="Arial" w:cs="Arial"/>
              </w:rPr>
              <w:t>CV</w:t>
            </w:r>
          </w:p>
          <w:p w:rsidR="002C4EB8" w:rsidRPr="007D49C9" w:rsidRDefault="002C4EB8" w:rsidP="009143C3">
            <w:pPr>
              <w:spacing w:line="240" w:lineRule="auto"/>
              <w:jc w:val="both"/>
              <w:rPr>
                <w:rFonts w:ascii="Arial" w:hAnsi="Arial" w:cs="Arial"/>
              </w:rPr>
            </w:pPr>
            <w:r>
              <w:rPr>
                <w:rFonts w:ascii="Arial" w:hAnsi="Arial" w:cs="Arial"/>
              </w:rPr>
              <w:t>DPD</w:t>
            </w:r>
          </w:p>
        </w:tc>
        <w:tc>
          <w:tcPr>
            <w:tcW w:w="6627" w:type="dxa"/>
            <w:shd w:val="clear" w:color="auto" w:fill="auto"/>
          </w:tcPr>
          <w:p w:rsidR="007D49C9" w:rsidRDefault="002C4EB8" w:rsidP="009143C3">
            <w:pPr>
              <w:spacing w:line="240" w:lineRule="auto"/>
              <w:jc w:val="both"/>
              <w:rPr>
                <w:rFonts w:ascii="Arial" w:hAnsi="Arial" w:cs="Arial"/>
              </w:rPr>
            </w:pPr>
            <w:r>
              <w:rPr>
                <w:rFonts w:ascii="Arial" w:hAnsi="Arial" w:cs="Arial"/>
              </w:rPr>
              <w:t>C</w:t>
            </w:r>
            <w:r w:rsidR="007D49C9" w:rsidRPr="007D49C9">
              <w:rPr>
                <w:rFonts w:ascii="Arial" w:hAnsi="Arial" w:cs="Arial"/>
              </w:rPr>
              <w:t>arb</w:t>
            </w:r>
            <w:r>
              <w:rPr>
                <w:rFonts w:ascii="Arial" w:hAnsi="Arial" w:cs="Arial"/>
              </w:rPr>
              <w:t>oxy-terminal cross-linking telopeptides of type I collagen</w:t>
            </w:r>
          </w:p>
          <w:p w:rsidR="0061506A" w:rsidRDefault="0061506A" w:rsidP="009143C3">
            <w:pPr>
              <w:spacing w:line="240" w:lineRule="auto"/>
              <w:jc w:val="both"/>
              <w:rPr>
                <w:rFonts w:ascii="Arial" w:hAnsi="Arial" w:cs="Arial"/>
              </w:rPr>
            </w:pPr>
            <w:r>
              <w:rPr>
                <w:rFonts w:ascii="Arial" w:hAnsi="Arial" w:cs="Arial"/>
              </w:rPr>
              <w:t>Coefficient of variation</w:t>
            </w:r>
          </w:p>
          <w:p w:rsidR="002C4EB8" w:rsidRPr="007D49C9" w:rsidRDefault="002C4EB8" w:rsidP="009143C3">
            <w:pPr>
              <w:spacing w:line="240" w:lineRule="auto"/>
              <w:jc w:val="both"/>
              <w:rPr>
                <w:rFonts w:ascii="Arial" w:hAnsi="Arial" w:cs="Arial"/>
              </w:rPr>
            </w:pPr>
            <w:r>
              <w:rPr>
                <w:rFonts w:ascii="Arial" w:hAnsi="Arial" w:cs="Arial"/>
              </w:rPr>
              <w:t>Deoxypyridinoline</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DXA</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Dual energy x-ray absorptiometry</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E2</w:t>
            </w:r>
          </w:p>
        </w:tc>
        <w:tc>
          <w:tcPr>
            <w:tcW w:w="6627" w:type="dxa"/>
            <w:shd w:val="clear" w:color="auto" w:fill="auto"/>
          </w:tcPr>
          <w:p w:rsidR="00E915C9" w:rsidRPr="007D49C9" w:rsidRDefault="00E915C9" w:rsidP="009143C3">
            <w:pPr>
              <w:spacing w:line="240" w:lineRule="auto"/>
              <w:jc w:val="both"/>
              <w:rPr>
                <w:rFonts w:ascii="Arial" w:hAnsi="Arial" w:cs="Arial"/>
              </w:rPr>
            </w:pPr>
            <w:r>
              <w:rPr>
                <w:rFonts w:ascii="Arial" w:hAnsi="Arial" w:cs="Arial"/>
              </w:rPr>
              <w:t>Es</w:t>
            </w:r>
            <w:r w:rsidRPr="007D49C9">
              <w:rPr>
                <w:rFonts w:ascii="Arial" w:hAnsi="Arial" w:cs="Arial"/>
              </w:rPr>
              <w:t>tradiol</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ECLIA</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Electrochemiluminescent immunoassay</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Pr>
                <w:rFonts w:ascii="Arial" w:hAnsi="Arial" w:cs="Arial"/>
              </w:rPr>
              <w:t>eGFR</w:t>
            </w:r>
          </w:p>
          <w:p w:rsidR="000334A8" w:rsidRPr="000339E6" w:rsidRDefault="000339E6" w:rsidP="009143C3">
            <w:pPr>
              <w:spacing w:line="240" w:lineRule="auto"/>
              <w:jc w:val="both"/>
              <w:rPr>
                <w:rFonts w:ascii="Arial" w:hAnsi="Arial" w:cs="Arial"/>
              </w:rPr>
            </w:pPr>
            <w:r>
              <w:rPr>
                <w:rFonts w:ascii="Arial" w:hAnsi="Arial" w:cs="Arial"/>
              </w:rPr>
              <w:t>ELISA</w:t>
            </w:r>
          </w:p>
          <w:p w:rsidR="007954B9" w:rsidRDefault="007954B9" w:rsidP="009143C3">
            <w:pPr>
              <w:spacing w:line="240" w:lineRule="auto"/>
              <w:jc w:val="both"/>
              <w:rPr>
                <w:rFonts w:ascii="Arial" w:hAnsi="Arial" w:cs="Arial"/>
              </w:rPr>
            </w:pPr>
            <w:r>
              <w:rPr>
                <w:rFonts w:ascii="Arial" w:hAnsi="Arial" w:cs="Arial"/>
              </w:rPr>
              <w:t>EPIDOS</w:t>
            </w:r>
          </w:p>
          <w:p w:rsidR="00236636" w:rsidRDefault="00236636" w:rsidP="009143C3">
            <w:pPr>
              <w:spacing w:line="240" w:lineRule="auto"/>
              <w:jc w:val="both"/>
              <w:rPr>
                <w:rFonts w:ascii="Arial" w:hAnsi="Arial" w:cs="Arial"/>
              </w:rPr>
            </w:pPr>
            <w:r>
              <w:rPr>
                <w:rFonts w:ascii="Arial" w:hAnsi="Arial" w:cs="Arial"/>
              </w:rPr>
              <w:t>ERKs</w:t>
            </w:r>
          </w:p>
          <w:p w:rsidR="007A29F7" w:rsidRPr="007D49C9" w:rsidRDefault="007A29F7" w:rsidP="009143C3">
            <w:pPr>
              <w:spacing w:line="240" w:lineRule="auto"/>
              <w:jc w:val="both"/>
              <w:rPr>
                <w:rFonts w:ascii="Arial" w:hAnsi="Arial" w:cs="Arial"/>
              </w:rPr>
            </w:pPr>
            <w:r>
              <w:rPr>
                <w:rFonts w:ascii="Arial" w:hAnsi="Arial" w:cs="Arial"/>
              </w:rPr>
              <w:t>EVOS</w:t>
            </w:r>
          </w:p>
        </w:tc>
        <w:tc>
          <w:tcPr>
            <w:tcW w:w="6627" w:type="dxa"/>
            <w:shd w:val="clear" w:color="auto" w:fill="auto"/>
          </w:tcPr>
          <w:p w:rsidR="007954B9" w:rsidRDefault="007954B9" w:rsidP="009143C3">
            <w:pPr>
              <w:spacing w:line="240" w:lineRule="auto"/>
              <w:jc w:val="both"/>
              <w:rPr>
                <w:rFonts w:ascii="Arial" w:eastAsia="Calibri" w:hAnsi="Arial" w:cs="Arial"/>
                <w:color w:val="000000"/>
              </w:rPr>
            </w:pPr>
            <w:r>
              <w:rPr>
                <w:rFonts w:ascii="Arial" w:eastAsia="Calibri" w:hAnsi="Arial" w:cs="Arial"/>
                <w:color w:val="000000"/>
              </w:rPr>
              <w:t>E</w:t>
            </w:r>
            <w:r w:rsidRPr="00E915C9">
              <w:rPr>
                <w:rFonts w:ascii="Arial" w:eastAsia="Calibri" w:hAnsi="Arial" w:cs="Arial"/>
                <w:color w:val="000000"/>
              </w:rPr>
              <w:t>stimated glomerular filtration rate</w:t>
            </w:r>
          </w:p>
          <w:p w:rsidR="00E915C9" w:rsidRPr="007954B9" w:rsidRDefault="007954B9" w:rsidP="009143C3">
            <w:pPr>
              <w:spacing w:line="240" w:lineRule="auto"/>
              <w:jc w:val="both"/>
              <w:rPr>
                <w:rFonts w:ascii="Arial" w:hAnsi="Arial" w:cs="Arial"/>
              </w:rPr>
            </w:pPr>
            <w:r>
              <w:rPr>
                <w:rFonts w:ascii="Arial" w:hAnsi="Arial" w:cs="Arial"/>
              </w:rPr>
              <w:t>Enzyme linked immunoassay</w:t>
            </w:r>
          </w:p>
          <w:p w:rsidR="007954B9" w:rsidRDefault="007954B9" w:rsidP="009143C3">
            <w:pPr>
              <w:spacing w:line="240" w:lineRule="auto"/>
              <w:jc w:val="both"/>
              <w:rPr>
                <w:rFonts w:ascii="Arial" w:hAnsi="Arial" w:cs="Arial"/>
              </w:rPr>
            </w:pPr>
            <w:r>
              <w:rPr>
                <w:rFonts w:ascii="Arial" w:hAnsi="Arial" w:cs="Arial"/>
              </w:rPr>
              <w:t>Epidemiologie de l’Osteoporose study</w:t>
            </w:r>
          </w:p>
          <w:p w:rsidR="00236636" w:rsidRDefault="00236636" w:rsidP="009143C3">
            <w:pPr>
              <w:spacing w:line="240" w:lineRule="auto"/>
              <w:jc w:val="both"/>
              <w:rPr>
                <w:rFonts w:ascii="Arial" w:eastAsia="Calibri" w:hAnsi="Arial" w:cs="Arial"/>
                <w:color w:val="000000"/>
              </w:rPr>
            </w:pPr>
            <w:r>
              <w:rPr>
                <w:rFonts w:ascii="Arial" w:hAnsi="Arial" w:cs="Arial"/>
              </w:rPr>
              <w:t xml:space="preserve">Extracellular signal-regulated kinases </w:t>
            </w:r>
          </w:p>
          <w:p w:rsidR="00E915C9" w:rsidRPr="00942523" w:rsidRDefault="007A29F7" w:rsidP="009143C3">
            <w:pPr>
              <w:spacing w:line="240" w:lineRule="auto"/>
              <w:jc w:val="both"/>
              <w:rPr>
                <w:rFonts w:ascii="Arial" w:eastAsia="Calibri" w:hAnsi="Arial" w:cs="Arial"/>
                <w:color w:val="000000"/>
              </w:rPr>
            </w:pPr>
            <w:r>
              <w:rPr>
                <w:rFonts w:ascii="Arial" w:hAnsi="Arial" w:cs="Arial"/>
                <w:bCs/>
              </w:rPr>
              <w:t>European v</w:t>
            </w:r>
            <w:r w:rsidRPr="00FF6E13">
              <w:rPr>
                <w:rFonts w:ascii="Arial" w:hAnsi="Arial" w:cs="Arial"/>
                <w:bCs/>
              </w:rPr>
              <w:t>er</w:t>
            </w:r>
            <w:r>
              <w:rPr>
                <w:rFonts w:ascii="Arial" w:hAnsi="Arial" w:cs="Arial"/>
                <w:bCs/>
              </w:rPr>
              <w:t xml:space="preserve">tebral osteoporosis study </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FGF23</w:t>
            </w:r>
          </w:p>
          <w:p w:rsidR="00E915C9" w:rsidRDefault="00E915C9" w:rsidP="009143C3">
            <w:pPr>
              <w:spacing w:line="240" w:lineRule="auto"/>
              <w:jc w:val="both"/>
              <w:rPr>
                <w:rFonts w:ascii="Arial" w:hAnsi="Arial" w:cs="Arial"/>
              </w:rPr>
            </w:pPr>
            <w:r>
              <w:rPr>
                <w:rFonts w:ascii="Arial" w:hAnsi="Arial" w:cs="Arial"/>
              </w:rPr>
              <w:t>FIT</w:t>
            </w:r>
          </w:p>
          <w:p w:rsidR="00E915C9" w:rsidRPr="007D49C9" w:rsidRDefault="00E915C9" w:rsidP="009143C3">
            <w:pPr>
              <w:spacing w:line="240" w:lineRule="auto"/>
              <w:jc w:val="both"/>
              <w:rPr>
                <w:rFonts w:ascii="Arial" w:hAnsi="Arial" w:cs="Arial"/>
              </w:rPr>
            </w:pPr>
            <w:r>
              <w:rPr>
                <w:rFonts w:ascii="Arial" w:hAnsi="Arial" w:cs="Arial"/>
              </w:rPr>
              <w:t>FLEX</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Fibroblast growth factor 23</w:t>
            </w:r>
          </w:p>
          <w:p w:rsidR="00E915C9" w:rsidRDefault="00E915C9" w:rsidP="009143C3">
            <w:pPr>
              <w:spacing w:line="240" w:lineRule="auto"/>
              <w:jc w:val="both"/>
              <w:rPr>
                <w:rFonts w:ascii="Arial" w:hAnsi="Arial" w:cs="Arial"/>
              </w:rPr>
            </w:pPr>
            <w:r>
              <w:rPr>
                <w:rFonts w:ascii="Arial" w:hAnsi="Arial" w:cs="Arial"/>
              </w:rPr>
              <w:t>Fracture Intervention Trial</w:t>
            </w:r>
          </w:p>
          <w:p w:rsidR="00E915C9" w:rsidRPr="007D49C9" w:rsidRDefault="00E915C9" w:rsidP="009143C3">
            <w:pPr>
              <w:spacing w:line="240" w:lineRule="auto"/>
              <w:jc w:val="both"/>
              <w:rPr>
                <w:rFonts w:ascii="Arial" w:hAnsi="Arial" w:cs="Arial"/>
              </w:rPr>
            </w:pPr>
            <w:r>
              <w:rPr>
                <w:rFonts w:ascii="Arial" w:hAnsi="Arial" w:cs="Arial"/>
              </w:rPr>
              <w:t>Fracture Long Term Extension</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FN</w:t>
            </w:r>
          </w:p>
          <w:p w:rsidR="00613E8E" w:rsidRDefault="00613E8E" w:rsidP="009143C3">
            <w:pPr>
              <w:spacing w:line="240" w:lineRule="auto"/>
              <w:jc w:val="both"/>
              <w:rPr>
                <w:rFonts w:ascii="Arial" w:hAnsi="Arial" w:cs="Arial"/>
              </w:rPr>
            </w:pPr>
            <w:r>
              <w:rPr>
                <w:rFonts w:ascii="Arial" w:hAnsi="Arial" w:cs="Arial"/>
              </w:rPr>
              <w:t>FPP</w:t>
            </w:r>
          </w:p>
          <w:p w:rsidR="00E915C9" w:rsidRPr="007D49C9" w:rsidRDefault="00E915C9" w:rsidP="009143C3">
            <w:pPr>
              <w:spacing w:line="240" w:lineRule="auto"/>
              <w:jc w:val="both"/>
              <w:rPr>
                <w:rFonts w:ascii="Arial" w:hAnsi="Arial" w:cs="Arial"/>
              </w:rPr>
            </w:pPr>
            <w:r>
              <w:rPr>
                <w:rFonts w:ascii="Arial" w:hAnsi="Arial" w:cs="Arial"/>
              </w:rPr>
              <w:t>FPPS</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Femoral neck</w:t>
            </w:r>
          </w:p>
          <w:p w:rsidR="00613E8E" w:rsidRDefault="00613E8E" w:rsidP="009143C3">
            <w:pPr>
              <w:spacing w:line="240" w:lineRule="auto"/>
              <w:jc w:val="both"/>
              <w:rPr>
                <w:rFonts w:ascii="Arial" w:hAnsi="Arial" w:cs="Arial"/>
              </w:rPr>
            </w:pPr>
            <w:r>
              <w:rPr>
                <w:rFonts w:ascii="Arial" w:hAnsi="Arial" w:cs="Arial"/>
              </w:rPr>
              <w:t>F</w:t>
            </w:r>
            <w:r w:rsidRPr="00CB0730">
              <w:rPr>
                <w:rFonts w:ascii="Arial" w:hAnsi="Arial" w:cs="Arial"/>
              </w:rPr>
              <w:t>arnesyl pyrophosphate</w:t>
            </w:r>
          </w:p>
          <w:p w:rsidR="00E915C9" w:rsidRPr="007D49C9" w:rsidRDefault="00E915C9" w:rsidP="009143C3">
            <w:pPr>
              <w:spacing w:line="240" w:lineRule="auto"/>
              <w:jc w:val="both"/>
              <w:rPr>
                <w:rFonts w:ascii="Arial" w:hAnsi="Arial" w:cs="Arial"/>
              </w:rPr>
            </w:pPr>
            <w:r>
              <w:rPr>
                <w:rFonts w:ascii="Arial" w:hAnsi="Arial" w:cs="Arial"/>
              </w:rPr>
              <w:t>F</w:t>
            </w:r>
            <w:r w:rsidRPr="00CB0730">
              <w:rPr>
                <w:rFonts w:ascii="Arial" w:hAnsi="Arial" w:cs="Arial"/>
              </w:rPr>
              <w:t xml:space="preserve">arnesyl pyrophosphate synthase </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FRAX</w:t>
            </w:r>
          </w:p>
          <w:p w:rsidR="00613E8E" w:rsidRDefault="00613E8E" w:rsidP="009143C3">
            <w:pPr>
              <w:spacing w:line="240" w:lineRule="auto"/>
              <w:jc w:val="both"/>
              <w:rPr>
                <w:rFonts w:ascii="Arial" w:hAnsi="Arial" w:cs="Arial"/>
              </w:rPr>
            </w:pPr>
            <w:r>
              <w:rPr>
                <w:rFonts w:ascii="Arial" w:hAnsi="Arial" w:cs="Arial"/>
              </w:rPr>
              <w:t>GGPP</w:t>
            </w:r>
          </w:p>
          <w:p w:rsidR="00866350" w:rsidRDefault="00866350" w:rsidP="009143C3">
            <w:pPr>
              <w:spacing w:line="240" w:lineRule="auto"/>
              <w:jc w:val="both"/>
              <w:rPr>
                <w:rFonts w:ascii="Arial" w:hAnsi="Arial" w:cs="Arial"/>
              </w:rPr>
            </w:pPr>
            <w:r>
              <w:rPr>
                <w:rFonts w:ascii="Arial" w:hAnsi="Arial" w:cs="Arial"/>
              </w:rPr>
              <w:t>GSK3β</w:t>
            </w:r>
          </w:p>
          <w:p w:rsidR="00E915C9" w:rsidRPr="007D49C9" w:rsidRDefault="00E915C9" w:rsidP="009143C3">
            <w:pPr>
              <w:spacing w:line="240" w:lineRule="auto"/>
              <w:jc w:val="both"/>
              <w:rPr>
                <w:rFonts w:ascii="Arial" w:hAnsi="Arial" w:cs="Arial"/>
              </w:rPr>
            </w:pPr>
            <w:r>
              <w:rPr>
                <w:rFonts w:ascii="Arial" w:hAnsi="Arial" w:cs="Arial"/>
              </w:rPr>
              <w:t>HORIZON PFT</w:t>
            </w:r>
          </w:p>
        </w:tc>
        <w:tc>
          <w:tcPr>
            <w:tcW w:w="6627" w:type="dxa"/>
            <w:shd w:val="clear" w:color="auto" w:fill="auto"/>
          </w:tcPr>
          <w:p w:rsidR="00E915C9" w:rsidRDefault="00E915C9" w:rsidP="009143C3">
            <w:pPr>
              <w:spacing w:line="240" w:lineRule="auto"/>
              <w:jc w:val="both"/>
              <w:rPr>
                <w:rStyle w:val="ref-text"/>
                <w:rFonts w:ascii="Arial" w:hAnsi="Arial" w:cs="Arial"/>
              </w:rPr>
            </w:pPr>
            <w:r w:rsidRPr="007D49C9">
              <w:rPr>
                <w:rStyle w:val="ref-text"/>
                <w:rFonts w:ascii="Arial" w:hAnsi="Arial" w:cs="Arial"/>
              </w:rPr>
              <w:t>WHO Fracture Risk Assessment Tool</w:t>
            </w:r>
          </w:p>
          <w:p w:rsidR="00613E8E" w:rsidRDefault="00613E8E" w:rsidP="009143C3">
            <w:pPr>
              <w:spacing w:line="240" w:lineRule="auto"/>
              <w:jc w:val="both"/>
              <w:rPr>
                <w:rStyle w:val="ref-text"/>
                <w:rFonts w:ascii="Arial" w:hAnsi="Arial" w:cs="Arial"/>
              </w:rPr>
            </w:pPr>
            <w:r>
              <w:rPr>
                <w:rFonts w:ascii="Arial" w:hAnsi="Arial" w:cs="Arial"/>
              </w:rPr>
              <w:t>G</w:t>
            </w:r>
            <w:r w:rsidRPr="00CB0730">
              <w:rPr>
                <w:rFonts w:ascii="Arial" w:hAnsi="Arial" w:cs="Arial"/>
              </w:rPr>
              <w:t>eranylgeranyl pyrophosphate</w:t>
            </w:r>
          </w:p>
          <w:p w:rsidR="00866350" w:rsidRDefault="00866350" w:rsidP="009143C3">
            <w:pPr>
              <w:spacing w:line="240" w:lineRule="auto"/>
              <w:jc w:val="both"/>
              <w:rPr>
                <w:rStyle w:val="ref-text"/>
                <w:rFonts w:ascii="Arial" w:hAnsi="Arial" w:cs="Arial"/>
              </w:rPr>
            </w:pPr>
            <w:r>
              <w:rPr>
                <w:rFonts w:ascii="Arial" w:hAnsi="Arial" w:cs="Arial"/>
              </w:rPr>
              <w:t>G</w:t>
            </w:r>
            <w:r w:rsidRPr="00244514">
              <w:rPr>
                <w:rFonts w:ascii="Arial" w:hAnsi="Arial" w:cs="Arial"/>
              </w:rPr>
              <w:t>lycogen synthase kinase 3 beta</w:t>
            </w:r>
          </w:p>
          <w:p w:rsidR="00E915C9" w:rsidRPr="007D49C9" w:rsidRDefault="00E915C9" w:rsidP="009143C3">
            <w:pPr>
              <w:spacing w:line="240" w:lineRule="auto"/>
              <w:jc w:val="both"/>
              <w:rPr>
                <w:rStyle w:val="Emphasis"/>
                <w:rFonts w:ascii="Arial" w:hAnsi="Arial" w:cs="Arial"/>
                <w:i w:val="0"/>
              </w:rPr>
            </w:pPr>
            <w:r>
              <w:rPr>
                <w:rStyle w:val="ref-text"/>
                <w:rFonts w:ascii="Arial" w:hAnsi="Arial" w:cs="Arial"/>
              </w:rPr>
              <w:t xml:space="preserve">Health Outcomes and Reduced Incidence with Zoledronic acid ONce yearly Pivotal Fracture Trial </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lastRenderedPageBreak/>
              <w:t>HRP</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Horseradish peroxidase</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color w:val="000000"/>
              </w:rPr>
            </w:pPr>
            <w:r w:rsidRPr="007D49C9">
              <w:rPr>
                <w:rFonts w:ascii="Arial" w:hAnsi="Arial" w:cs="Arial"/>
                <w:color w:val="000000"/>
              </w:rPr>
              <w:t>HRT</w:t>
            </w:r>
          </w:p>
          <w:p w:rsidR="00E915C9" w:rsidRPr="007D49C9" w:rsidRDefault="00E915C9" w:rsidP="009143C3">
            <w:pPr>
              <w:spacing w:line="240" w:lineRule="auto"/>
              <w:jc w:val="both"/>
              <w:rPr>
                <w:rFonts w:ascii="Arial" w:hAnsi="Arial" w:cs="Arial"/>
              </w:rPr>
            </w:pPr>
            <w:r>
              <w:rPr>
                <w:rFonts w:ascii="Arial" w:hAnsi="Arial" w:cs="Arial"/>
                <w:color w:val="000000"/>
              </w:rPr>
              <w:t>IDS</w:t>
            </w:r>
            <w:r w:rsidRPr="007D49C9">
              <w:rPr>
                <w:rFonts w:ascii="Arial" w:hAnsi="Arial" w:cs="Arial"/>
                <w:color w:val="000000"/>
              </w:rPr>
              <w:t xml:space="preserve"> </w:t>
            </w:r>
          </w:p>
        </w:tc>
        <w:tc>
          <w:tcPr>
            <w:tcW w:w="6627" w:type="dxa"/>
            <w:shd w:val="clear" w:color="auto" w:fill="auto"/>
          </w:tcPr>
          <w:p w:rsidR="00E915C9" w:rsidRDefault="00E915C9" w:rsidP="009143C3">
            <w:pPr>
              <w:spacing w:line="240" w:lineRule="auto"/>
              <w:jc w:val="both"/>
              <w:rPr>
                <w:rFonts w:ascii="Arial" w:hAnsi="Arial" w:cs="Arial"/>
                <w:color w:val="000000"/>
              </w:rPr>
            </w:pPr>
            <w:r w:rsidRPr="007D49C9">
              <w:rPr>
                <w:rFonts w:ascii="Arial" w:hAnsi="Arial" w:cs="Arial"/>
                <w:color w:val="000000"/>
              </w:rPr>
              <w:t>Hormone replacement therapy</w:t>
            </w:r>
          </w:p>
          <w:p w:rsidR="00E915C9" w:rsidRPr="007D49C9" w:rsidRDefault="00E915C9" w:rsidP="009143C3">
            <w:pPr>
              <w:spacing w:line="240" w:lineRule="auto"/>
              <w:jc w:val="both"/>
              <w:rPr>
                <w:rFonts w:ascii="Arial" w:hAnsi="Arial" w:cs="Arial"/>
              </w:rPr>
            </w:pPr>
            <w:r>
              <w:rPr>
                <w:rFonts w:ascii="Arial" w:hAnsi="Arial" w:cs="Arial"/>
                <w:color w:val="000000"/>
              </w:rPr>
              <w:t>Immunodiagnostics Systems</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IGF-1</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Insulin-like growth factor-1</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IL-</w:t>
            </w:r>
          </w:p>
          <w:p w:rsidR="001B00FC" w:rsidRDefault="001B00FC" w:rsidP="009143C3">
            <w:pPr>
              <w:spacing w:line="240" w:lineRule="auto"/>
              <w:jc w:val="both"/>
              <w:rPr>
                <w:rFonts w:ascii="Arial" w:hAnsi="Arial" w:cs="Arial"/>
              </w:rPr>
            </w:pPr>
            <w:r>
              <w:rPr>
                <w:rFonts w:ascii="Arial" w:hAnsi="Arial" w:cs="Arial"/>
              </w:rPr>
              <w:t>IOF</w:t>
            </w:r>
          </w:p>
          <w:p w:rsidR="001B00FC" w:rsidRDefault="001B00FC" w:rsidP="009143C3">
            <w:pPr>
              <w:spacing w:line="240" w:lineRule="auto"/>
              <w:jc w:val="both"/>
              <w:rPr>
                <w:rFonts w:ascii="Arial" w:hAnsi="Arial" w:cs="Arial"/>
              </w:rPr>
            </w:pPr>
            <w:r>
              <w:rPr>
                <w:rFonts w:ascii="Arial" w:hAnsi="Arial" w:cs="Arial"/>
              </w:rPr>
              <w:t>IFCC</w:t>
            </w:r>
          </w:p>
          <w:p w:rsidR="001B00FC" w:rsidRDefault="001B00FC" w:rsidP="009143C3">
            <w:pPr>
              <w:spacing w:line="240" w:lineRule="auto"/>
              <w:jc w:val="both"/>
              <w:rPr>
                <w:rFonts w:ascii="Arial" w:hAnsi="Arial" w:cs="Arial"/>
              </w:rPr>
            </w:pPr>
          </w:p>
          <w:p w:rsidR="000339E6" w:rsidRPr="007D49C9" w:rsidRDefault="000339E6" w:rsidP="009143C3">
            <w:pPr>
              <w:spacing w:line="240" w:lineRule="auto"/>
              <w:jc w:val="both"/>
              <w:rPr>
                <w:rFonts w:ascii="Arial" w:hAnsi="Arial" w:cs="Arial"/>
              </w:rPr>
            </w:pPr>
            <w:r>
              <w:rPr>
                <w:rFonts w:ascii="Arial" w:hAnsi="Arial" w:cs="Arial"/>
              </w:rPr>
              <w:t>KDIGO</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Interleukin-</w:t>
            </w:r>
          </w:p>
          <w:p w:rsidR="001B00FC" w:rsidRDefault="001B00FC" w:rsidP="009143C3">
            <w:pPr>
              <w:spacing w:line="240" w:lineRule="auto"/>
              <w:jc w:val="both"/>
              <w:rPr>
                <w:rFonts w:ascii="Arial" w:hAnsi="Arial" w:cs="Arial"/>
              </w:rPr>
            </w:pPr>
            <w:r w:rsidRPr="00555AD2">
              <w:rPr>
                <w:rFonts w:ascii="Arial" w:hAnsi="Arial" w:cs="Arial"/>
              </w:rPr>
              <w:t>International Osteoporosis Foundation (IOF)</w:t>
            </w:r>
          </w:p>
          <w:p w:rsidR="001B00FC" w:rsidRDefault="001B00FC" w:rsidP="009143C3">
            <w:pPr>
              <w:spacing w:line="240" w:lineRule="auto"/>
              <w:jc w:val="both"/>
              <w:rPr>
                <w:rFonts w:ascii="Arial" w:hAnsi="Arial" w:cs="Arial"/>
              </w:rPr>
            </w:pPr>
            <w:r w:rsidRPr="00555AD2">
              <w:rPr>
                <w:rFonts w:ascii="Arial" w:hAnsi="Arial" w:cs="Arial"/>
              </w:rPr>
              <w:t xml:space="preserve">International Federation of Clinical Chemistry and Laboratory Medicine </w:t>
            </w:r>
          </w:p>
          <w:p w:rsidR="000339E6" w:rsidRPr="007D49C9" w:rsidRDefault="000339E6" w:rsidP="009143C3">
            <w:pPr>
              <w:spacing w:line="240" w:lineRule="auto"/>
              <w:jc w:val="both"/>
              <w:rPr>
                <w:rFonts w:ascii="Arial" w:hAnsi="Arial" w:cs="Arial"/>
              </w:rPr>
            </w:pPr>
            <w:r>
              <w:rPr>
                <w:rFonts w:ascii="Arial" w:hAnsi="Arial" w:cs="Arial"/>
                <w:lang w:val="en-US"/>
              </w:rPr>
              <w:t>Kidney disease improving global outcome</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LDL</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Low density lipoprotein cholesterol</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LS</w:t>
            </w:r>
          </w:p>
          <w:p w:rsidR="00E915C9" w:rsidRDefault="00E915C9" w:rsidP="009143C3">
            <w:pPr>
              <w:spacing w:line="240" w:lineRule="auto"/>
              <w:jc w:val="both"/>
              <w:rPr>
                <w:rFonts w:ascii="Arial" w:hAnsi="Arial" w:cs="Arial"/>
              </w:rPr>
            </w:pPr>
            <w:r>
              <w:rPr>
                <w:rFonts w:ascii="Arial" w:hAnsi="Arial" w:cs="Arial"/>
              </w:rPr>
              <w:t>M-CSF</w:t>
            </w:r>
          </w:p>
          <w:p w:rsidR="00942523" w:rsidRDefault="00942523" w:rsidP="009143C3">
            <w:pPr>
              <w:spacing w:line="240" w:lineRule="auto"/>
              <w:jc w:val="both"/>
              <w:rPr>
                <w:rFonts w:ascii="Arial" w:hAnsi="Arial" w:cs="Arial"/>
              </w:rPr>
            </w:pPr>
            <w:r>
              <w:rPr>
                <w:rFonts w:ascii="Arial" w:hAnsi="Arial" w:cs="Arial"/>
              </w:rPr>
              <w:t>MDRD</w:t>
            </w:r>
          </w:p>
          <w:p w:rsidR="00866350" w:rsidRDefault="00866350" w:rsidP="009143C3">
            <w:pPr>
              <w:spacing w:line="240" w:lineRule="auto"/>
              <w:jc w:val="both"/>
              <w:rPr>
                <w:rFonts w:ascii="Arial" w:hAnsi="Arial" w:cs="Arial"/>
              </w:rPr>
            </w:pPr>
            <w:r>
              <w:rPr>
                <w:rFonts w:ascii="Arial" w:hAnsi="Arial" w:cs="Arial"/>
              </w:rPr>
              <w:t>MESD</w:t>
            </w:r>
          </w:p>
          <w:p w:rsidR="00CF2629" w:rsidRDefault="00CF2629" w:rsidP="009143C3">
            <w:pPr>
              <w:spacing w:line="240" w:lineRule="auto"/>
              <w:jc w:val="both"/>
              <w:rPr>
                <w:rFonts w:ascii="Arial" w:hAnsi="Arial" w:cs="Arial"/>
              </w:rPr>
            </w:pPr>
            <w:r>
              <w:rPr>
                <w:rFonts w:ascii="Arial" w:hAnsi="Arial" w:cs="Arial"/>
              </w:rPr>
              <w:t>Mi-RNA</w:t>
            </w:r>
          </w:p>
          <w:p w:rsidR="002C4EB8" w:rsidRDefault="002C4EB8" w:rsidP="009143C3">
            <w:pPr>
              <w:spacing w:line="240" w:lineRule="auto"/>
              <w:jc w:val="both"/>
              <w:rPr>
                <w:rFonts w:ascii="Arial" w:hAnsi="Arial" w:cs="Arial"/>
              </w:rPr>
            </w:pPr>
            <w:r>
              <w:rPr>
                <w:rFonts w:ascii="Arial" w:hAnsi="Arial" w:cs="Arial"/>
              </w:rPr>
              <w:t>MMP</w:t>
            </w:r>
          </w:p>
          <w:p w:rsidR="00646D9B" w:rsidRDefault="00646D9B" w:rsidP="009143C3">
            <w:pPr>
              <w:spacing w:line="240" w:lineRule="auto"/>
              <w:jc w:val="both"/>
              <w:rPr>
                <w:rFonts w:ascii="Arial" w:hAnsi="Arial" w:cs="Arial"/>
              </w:rPr>
            </w:pPr>
            <w:r>
              <w:rPr>
                <w:rFonts w:ascii="Arial" w:hAnsi="Arial" w:cs="Arial"/>
              </w:rPr>
              <w:t>MOBILE</w:t>
            </w:r>
          </w:p>
          <w:p w:rsidR="00A570EA" w:rsidRDefault="00A570EA" w:rsidP="009143C3">
            <w:pPr>
              <w:spacing w:line="240" w:lineRule="auto"/>
              <w:jc w:val="both"/>
              <w:rPr>
                <w:rFonts w:ascii="Arial" w:hAnsi="Arial" w:cs="Arial"/>
              </w:rPr>
            </w:pPr>
            <w:r>
              <w:rPr>
                <w:rFonts w:ascii="Arial" w:hAnsi="Arial" w:cs="Arial"/>
              </w:rPr>
              <w:t>MORE</w:t>
            </w:r>
          </w:p>
          <w:p w:rsidR="002C4EB8" w:rsidRPr="007D49C9" w:rsidRDefault="002C4EB8" w:rsidP="009143C3">
            <w:pPr>
              <w:spacing w:line="240" w:lineRule="auto"/>
              <w:jc w:val="both"/>
              <w:rPr>
                <w:rFonts w:ascii="Arial" w:hAnsi="Arial" w:cs="Arial"/>
              </w:rPr>
            </w:pPr>
            <w:r>
              <w:rPr>
                <w:rFonts w:ascii="Arial" w:hAnsi="Arial" w:cs="Arial"/>
              </w:rPr>
              <w:t>MOTION</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Lumbar spine</w:t>
            </w:r>
          </w:p>
          <w:p w:rsidR="00E915C9" w:rsidRDefault="00E915C9" w:rsidP="009143C3">
            <w:pPr>
              <w:spacing w:line="240" w:lineRule="auto"/>
              <w:jc w:val="both"/>
              <w:rPr>
                <w:rFonts w:ascii="Arial" w:hAnsi="Arial" w:cs="Arial"/>
              </w:rPr>
            </w:pPr>
            <w:r>
              <w:rPr>
                <w:rFonts w:ascii="Arial" w:hAnsi="Arial" w:cs="Arial"/>
              </w:rPr>
              <w:t>M</w:t>
            </w:r>
            <w:r w:rsidRPr="00124BE1">
              <w:rPr>
                <w:rFonts w:ascii="Arial" w:hAnsi="Arial" w:cs="Arial"/>
              </w:rPr>
              <w:t>acro</w:t>
            </w:r>
            <w:r>
              <w:rPr>
                <w:rFonts w:ascii="Arial" w:hAnsi="Arial" w:cs="Arial"/>
              </w:rPr>
              <w:t>phage colony-stimulating factor</w:t>
            </w:r>
          </w:p>
          <w:p w:rsidR="00942523" w:rsidRDefault="00866350" w:rsidP="009143C3">
            <w:pPr>
              <w:spacing w:line="240" w:lineRule="auto"/>
              <w:jc w:val="both"/>
              <w:rPr>
                <w:rFonts w:ascii="Arial" w:hAnsi="Arial" w:cs="Arial"/>
                <w:lang w:val="en-US"/>
              </w:rPr>
            </w:pPr>
            <w:r>
              <w:rPr>
                <w:rFonts w:ascii="Arial" w:hAnsi="Arial" w:cs="Arial"/>
                <w:lang w:val="en-US"/>
              </w:rPr>
              <w:t>M</w:t>
            </w:r>
            <w:r w:rsidR="00942523" w:rsidRPr="004A65DA">
              <w:rPr>
                <w:rFonts w:ascii="Arial" w:hAnsi="Arial" w:cs="Arial"/>
                <w:lang w:val="en-US"/>
              </w:rPr>
              <w:t xml:space="preserve">odification of diet and renal disease </w:t>
            </w:r>
          </w:p>
          <w:p w:rsidR="00866350" w:rsidRDefault="00866350" w:rsidP="009143C3">
            <w:pPr>
              <w:spacing w:line="240" w:lineRule="auto"/>
              <w:jc w:val="both"/>
              <w:rPr>
                <w:rFonts w:ascii="Arial" w:hAnsi="Arial" w:cs="Arial"/>
                <w:lang w:val="en-US"/>
              </w:rPr>
            </w:pPr>
            <w:r>
              <w:rPr>
                <w:rFonts w:ascii="Arial" w:hAnsi="Arial" w:cs="Arial"/>
              </w:rPr>
              <w:t>M</w:t>
            </w:r>
            <w:r w:rsidRPr="00244514">
              <w:rPr>
                <w:rFonts w:ascii="Arial" w:hAnsi="Arial" w:cs="Arial"/>
              </w:rPr>
              <w:t>e</w:t>
            </w:r>
            <w:r>
              <w:rPr>
                <w:rFonts w:ascii="Arial" w:hAnsi="Arial" w:cs="Arial"/>
              </w:rPr>
              <w:t>soderm development</w:t>
            </w:r>
          </w:p>
          <w:p w:rsidR="00CF2629" w:rsidRDefault="00CF2629" w:rsidP="009143C3">
            <w:pPr>
              <w:spacing w:line="240" w:lineRule="auto"/>
              <w:jc w:val="both"/>
              <w:rPr>
                <w:rFonts w:ascii="Arial" w:hAnsi="Arial" w:cs="Arial"/>
              </w:rPr>
            </w:pPr>
            <w:r>
              <w:rPr>
                <w:rFonts w:ascii="Arial" w:hAnsi="Arial" w:cs="Arial"/>
              </w:rPr>
              <w:t>Micro-ribonucleic acid</w:t>
            </w:r>
          </w:p>
          <w:p w:rsidR="002C4EB8" w:rsidRDefault="002C4EB8" w:rsidP="009143C3">
            <w:pPr>
              <w:spacing w:line="240" w:lineRule="auto"/>
              <w:jc w:val="both"/>
              <w:rPr>
                <w:rFonts w:ascii="Arial" w:hAnsi="Arial" w:cs="Arial"/>
              </w:rPr>
            </w:pPr>
            <w:r>
              <w:rPr>
                <w:rFonts w:ascii="Arial" w:hAnsi="Arial" w:cs="Arial"/>
              </w:rPr>
              <w:t>Matrix-metalloprotease</w:t>
            </w:r>
          </w:p>
          <w:p w:rsidR="00646D9B" w:rsidRPr="00E75835" w:rsidRDefault="00E75835" w:rsidP="009143C3">
            <w:pPr>
              <w:spacing w:line="240" w:lineRule="auto"/>
              <w:jc w:val="both"/>
              <w:rPr>
                <w:rFonts w:ascii="Arial" w:hAnsi="Arial" w:cs="Arial"/>
              </w:rPr>
            </w:pPr>
            <w:r w:rsidRPr="00E75835">
              <w:rPr>
                <w:rFonts w:ascii="Arial" w:hAnsi="Arial" w:cs="Arial"/>
                <w:lang w:val="en"/>
              </w:rPr>
              <w:t>Monthly Oral iBandronate In LadiEs</w:t>
            </w:r>
          </w:p>
          <w:p w:rsidR="00A570EA" w:rsidRDefault="00A570EA" w:rsidP="009143C3">
            <w:pPr>
              <w:spacing w:line="240" w:lineRule="auto"/>
              <w:jc w:val="both"/>
              <w:rPr>
                <w:rFonts w:ascii="Arial" w:hAnsi="Arial" w:cs="Arial"/>
              </w:rPr>
            </w:pPr>
            <w:r>
              <w:rPr>
                <w:rFonts w:ascii="Arial" w:hAnsi="Arial" w:cs="Arial"/>
              </w:rPr>
              <w:t>M</w:t>
            </w:r>
            <w:r w:rsidRPr="00555AD2">
              <w:rPr>
                <w:rFonts w:ascii="Arial" w:hAnsi="Arial" w:cs="Arial"/>
              </w:rPr>
              <w:t xml:space="preserve">ultiple outcomes of raloxifene evaluation </w:t>
            </w:r>
          </w:p>
          <w:p w:rsidR="002C4EB8" w:rsidRPr="007D49C9" w:rsidRDefault="00646D9B" w:rsidP="009143C3">
            <w:pPr>
              <w:spacing w:line="240" w:lineRule="auto"/>
              <w:jc w:val="both"/>
              <w:rPr>
                <w:rFonts w:ascii="Arial" w:hAnsi="Arial" w:cs="Arial"/>
              </w:rPr>
            </w:pPr>
            <w:r>
              <w:rPr>
                <w:rFonts w:ascii="Arial" w:hAnsi="Arial" w:cs="Arial"/>
              </w:rPr>
              <w:t>Monthly oral therapy with ibandronate for osteoporosis intervention</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MSC</w:t>
            </w:r>
          </w:p>
          <w:p w:rsidR="00E915C9" w:rsidRDefault="00E915C9" w:rsidP="009143C3">
            <w:pPr>
              <w:spacing w:line="240" w:lineRule="auto"/>
              <w:jc w:val="both"/>
              <w:rPr>
                <w:rFonts w:ascii="Arial" w:hAnsi="Arial" w:cs="Arial"/>
              </w:rPr>
            </w:pPr>
            <w:r>
              <w:rPr>
                <w:rFonts w:ascii="Arial" w:hAnsi="Arial" w:cs="Arial"/>
              </w:rPr>
              <w:t>MTHFR</w:t>
            </w:r>
          </w:p>
          <w:p w:rsidR="002C4EB8" w:rsidRPr="007D49C9" w:rsidRDefault="002C4EB8" w:rsidP="009143C3">
            <w:pPr>
              <w:spacing w:line="240" w:lineRule="auto"/>
              <w:jc w:val="both"/>
              <w:rPr>
                <w:rFonts w:ascii="Arial" w:hAnsi="Arial" w:cs="Arial"/>
              </w:rPr>
            </w:pPr>
            <w:r>
              <w:rPr>
                <w:rFonts w:ascii="Arial" w:hAnsi="Arial" w:cs="Arial"/>
              </w:rPr>
              <w:t>NTX</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Mesenchymal stem cell</w:t>
            </w:r>
          </w:p>
          <w:p w:rsidR="00E915C9" w:rsidRDefault="00E915C9" w:rsidP="009143C3">
            <w:pPr>
              <w:spacing w:line="240" w:lineRule="auto"/>
              <w:jc w:val="both"/>
              <w:rPr>
                <w:rFonts w:ascii="Arial" w:hAnsi="Arial" w:cs="Arial"/>
              </w:rPr>
            </w:pPr>
            <w:r>
              <w:rPr>
                <w:rFonts w:ascii="Arial" w:hAnsi="Arial" w:cs="Arial"/>
              </w:rPr>
              <w:t>M</w:t>
            </w:r>
            <w:r w:rsidRPr="00A37043">
              <w:rPr>
                <w:rFonts w:ascii="Arial" w:hAnsi="Arial" w:cs="Arial"/>
              </w:rPr>
              <w:t>ethylenete</w:t>
            </w:r>
            <w:r>
              <w:rPr>
                <w:rFonts w:ascii="Arial" w:hAnsi="Arial" w:cs="Arial"/>
              </w:rPr>
              <w:t xml:space="preserve">trahydrofolate reductase </w:t>
            </w:r>
          </w:p>
          <w:p w:rsidR="002C4EB8" w:rsidRPr="007D49C9" w:rsidRDefault="002C4EB8" w:rsidP="009143C3">
            <w:pPr>
              <w:spacing w:line="240" w:lineRule="auto"/>
              <w:jc w:val="both"/>
              <w:rPr>
                <w:rFonts w:ascii="Arial" w:hAnsi="Arial" w:cs="Arial"/>
              </w:rPr>
            </w:pPr>
            <w:r>
              <w:rPr>
                <w:rFonts w:ascii="Arial" w:hAnsi="Arial" w:cs="Arial"/>
              </w:rPr>
              <w:t>N-terminal crosslinking telopeptides of type I collagen</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OA</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Osteoarthritis</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OC</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Osteocalcin</w:t>
            </w:r>
          </w:p>
        </w:tc>
      </w:tr>
      <w:tr w:rsidR="00E915C9" w:rsidRPr="007D49C9" w:rsidTr="007E1451">
        <w:tc>
          <w:tcPr>
            <w:tcW w:w="2093" w:type="dxa"/>
            <w:shd w:val="clear" w:color="auto" w:fill="auto"/>
          </w:tcPr>
          <w:p w:rsidR="00646D9B" w:rsidRDefault="00646D9B" w:rsidP="009143C3">
            <w:pPr>
              <w:spacing w:line="240" w:lineRule="auto"/>
              <w:jc w:val="both"/>
              <w:rPr>
                <w:rFonts w:ascii="Arial" w:hAnsi="Arial" w:cs="Arial"/>
              </w:rPr>
            </w:pPr>
            <w:r>
              <w:rPr>
                <w:rFonts w:ascii="Arial" w:hAnsi="Arial" w:cs="Arial"/>
              </w:rPr>
              <w:t>OCP</w:t>
            </w:r>
          </w:p>
          <w:p w:rsidR="003B1F4F" w:rsidRDefault="003B1F4F" w:rsidP="009143C3">
            <w:pPr>
              <w:spacing w:line="240" w:lineRule="auto"/>
              <w:jc w:val="both"/>
              <w:rPr>
                <w:rFonts w:ascii="Arial" w:hAnsi="Arial" w:cs="Arial"/>
              </w:rPr>
            </w:pPr>
            <w:r>
              <w:rPr>
                <w:rFonts w:ascii="Arial" w:hAnsi="Arial" w:cs="Arial"/>
              </w:rPr>
              <w:t>OCD</w:t>
            </w:r>
          </w:p>
          <w:p w:rsidR="00A206CA" w:rsidRDefault="00A206CA" w:rsidP="009143C3">
            <w:pPr>
              <w:spacing w:line="240" w:lineRule="auto"/>
              <w:jc w:val="both"/>
              <w:rPr>
                <w:rFonts w:ascii="Arial" w:hAnsi="Arial" w:cs="Arial"/>
              </w:rPr>
            </w:pPr>
            <w:r>
              <w:rPr>
                <w:rFonts w:ascii="Arial" w:hAnsi="Arial" w:cs="Arial"/>
              </w:rPr>
              <w:t>OFLEY</w:t>
            </w:r>
          </w:p>
          <w:p w:rsidR="00646D9B" w:rsidRDefault="00646D9B" w:rsidP="009143C3">
            <w:pPr>
              <w:spacing w:line="240" w:lineRule="auto"/>
              <w:jc w:val="both"/>
              <w:rPr>
                <w:rFonts w:ascii="Arial" w:hAnsi="Arial" w:cs="Arial"/>
              </w:rPr>
            </w:pPr>
            <w:r>
              <w:rPr>
                <w:rFonts w:ascii="Arial" w:hAnsi="Arial" w:cs="Arial"/>
              </w:rPr>
              <w:t>OPG</w:t>
            </w:r>
          </w:p>
          <w:p w:rsidR="00E915C9" w:rsidRPr="007D49C9" w:rsidRDefault="003B1F4F" w:rsidP="009143C3">
            <w:pPr>
              <w:spacing w:line="240" w:lineRule="auto"/>
              <w:jc w:val="both"/>
              <w:rPr>
                <w:rFonts w:ascii="Arial" w:hAnsi="Arial" w:cs="Arial"/>
              </w:rPr>
            </w:pPr>
            <w:r>
              <w:rPr>
                <w:rFonts w:ascii="Arial" w:hAnsi="Arial" w:cs="Arial"/>
              </w:rPr>
              <w:t>OPUS</w:t>
            </w:r>
          </w:p>
        </w:tc>
        <w:tc>
          <w:tcPr>
            <w:tcW w:w="6627" w:type="dxa"/>
            <w:shd w:val="clear" w:color="auto" w:fill="auto"/>
          </w:tcPr>
          <w:p w:rsidR="00646D9B" w:rsidRDefault="00646D9B" w:rsidP="009143C3">
            <w:pPr>
              <w:spacing w:line="240" w:lineRule="auto"/>
              <w:jc w:val="both"/>
              <w:rPr>
                <w:rFonts w:ascii="Arial" w:hAnsi="Arial" w:cs="Arial"/>
              </w:rPr>
            </w:pPr>
            <w:r>
              <w:rPr>
                <w:rFonts w:ascii="Arial" w:hAnsi="Arial" w:cs="Arial"/>
              </w:rPr>
              <w:t>Osteoclast precursors</w:t>
            </w:r>
          </w:p>
          <w:p w:rsidR="00646D9B" w:rsidRDefault="00646D9B" w:rsidP="009143C3">
            <w:pPr>
              <w:spacing w:line="240" w:lineRule="auto"/>
              <w:jc w:val="both"/>
              <w:rPr>
                <w:rFonts w:ascii="Arial" w:hAnsi="Arial" w:cs="Arial"/>
              </w:rPr>
            </w:pPr>
            <w:r>
              <w:rPr>
                <w:rFonts w:ascii="Arial" w:hAnsi="Arial" w:cs="Arial"/>
              </w:rPr>
              <w:t>Ortho Clinical Diagnostics</w:t>
            </w:r>
          </w:p>
          <w:p w:rsidR="00A206CA" w:rsidRDefault="00A206CA" w:rsidP="009143C3">
            <w:pPr>
              <w:spacing w:line="240" w:lineRule="auto"/>
              <w:jc w:val="both"/>
              <w:rPr>
                <w:rFonts w:ascii="Arial" w:hAnsi="Arial" w:cs="Arial"/>
              </w:rPr>
            </w:pPr>
            <w:r>
              <w:rPr>
                <w:rFonts w:ascii="Arial" w:hAnsi="Arial" w:cs="Arial"/>
              </w:rPr>
              <w:t xml:space="preserve">Os des Femmes de Lyon </w:t>
            </w:r>
          </w:p>
          <w:p w:rsidR="00646D9B" w:rsidRDefault="00646D9B" w:rsidP="009143C3">
            <w:pPr>
              <w:spacing w:line="240" w:lineRule="auto"/>
              <w:jc w:val="both"/>
              <w:rPr>
                <w:rFonts w:ascii="Arial" w:hAnsi="Arial" w:cs="Arial"/>
              </w:rPr>
            </w:pPr>
            <w:r w:rsidRPr="007D49C9">
              <w:rPr>
                <w:rFonts w:ascii="Arial" w:hAnsi="Arial" w:cs="Arial"/>
              </w:rPr>
              <w:t>Osteoprotegerin</w:t>
            </w:r>
          </w:p>
          <w:p w:rsidR="00E915C9" w:rsidRPr="007D49C9" w:rsidRDefault="003B1F4F" w:rsidP="009143C3">
            <w:pPr>
              <w:spacing w:line="240" w:lineRule="auto"/>
              <w:jc w:val="both"/>
              <w:rPr>
                <w:rFonts w:ascii="Arial" w:hAnsi="Arial" w:cs="Arial"/>
              </w:rPr>
            </w:pPr>
            <w:r w:rsidRPr="00FF6E13">
              <w:rPr>
                <w:rFonts w:ascii="Arial" w:hAnsi="Arial" w:cs="Arial"/>
              </w:rPr>
              <w:t>Osteoporosis and Ultrasound</w:t>
            </w:r>
          </w:p>
        </w:tc>
      </w:tr>
      <w:tr w:rsidR="00E915C9" w:rsidRPr="00606BF3" w:rsidTr="007E1451">
        <w:tc>
          <w:tcPr>
            <w:tcW w:w="2093" w:type="dxa"/>
            <w:shd w:val="clear" w:color="auto" w:fill="auto"/>
          </w:tcPr>
          <w:p w:rsidR="00E915C9" w:rsidRPr="007D49C9" w:rsidRDefault="00E915C9" w:rsidP="009143C3">
            <w:pPr>
              <w:spacing w:line="240" w:lineRule="auto"/>
              <w:jc w:val="both"/>
              <w:rPr>
                <w:rFonts w:ascii="Arial" w:hAnsi="Arial" w:cs="Arial"/>
              </w:rPr>
            </w:pPr>
            <w:r>
              <w:rPr>
                <w:rFonts w:ascii="Arial" w:hAnsi="Arial" w:cs="Arial"/>
              </w:rPr>
              <w:t>PI</w:t>
            </w:r>
            <w:r w:rsidRPr="007D49C9">
              <w:rPr>
                <w:rFonts w:ascii="Arial" w:hAnsi="Arial" w:cs="Arial"/>
              </w:rPr>
              <w:t>NP</w:t>
            </w:r>
          </w:p>
        </w:tc>
        <w:tc>
          <w:tcPr>
            <w:tcW w:w="6627" w:type="dxa"/>
            <w:shd w:val="clear" w:color="auto" w:fill="auto"/>
          </w:tcPr>
          <w:p w:rsidR="00E915C9" w:rsidRPr="00F3359B" w:rsidRDefault="00E915C9" w:rsidP="009143C3">
            <w:pPr>
              <w:spacing w:line="240" w:lineRule="auto"/>
              <w:jc w:val="both"/>
              <w:rPr>
                <w:rFonts w:ascii="Arial" w:hAnsi="Arial" w:cs="Arial"/>
                <w:lang w:val="pt-PT"/>
              </w:rPr>
            </w:pPr>
            <w:r w:rsidRPr="00F3359B">
              <w:rPr>
                <w:rFonts w:ascii="Arial" w:hAnsi="Arial" w:cs="Arial"/>
                <w:lang w:val="pt-PT"/>
              </w:rPr>
              <w:t>Procollagen I N-terminal peptide</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color w:val="000000"/>
              </w:rPr>
            </w:pPr>
            <w:r w:rsidRPr="007D49C9">
              <w:rPr>
                <w:rFonts w:ascii="Arial" w:hAnsi="Arial" w:cs="Arial"/>
                <w:color w:val="000000"/>
              </w:rPr>
              <w:t>pQCT</w:t>
            </w:r>
          </w:p>
        </w:tc>
        <w:tc>
          <w:tcPr>
            <w:tcW w:w="6627" w:type="dxa"/>
            <w:shd w:val="clear" w:color="auto" w:fill="auto"/>
          </w:tcPr>
          <w:p w:rsidR="00E915C9" w:rsidRPr="007D49C9" w:rsidRDefault="00E915C9" w:rsidP="009143C3">
            <w:pPr>
              <w:spacing w:line="240" w:lineRule="auto"/>
              <w:jc w:val="both"/>
              <w:rPr>
                <w:rFonts w:ascii="Arial" w:hAnsi="Arial" w:cs="Arial"/>
                <w:color w:val="000000"/>
              </w:rPr>
            </w:pPr>
            <w:r w:rsidRPr="007D49C9">
              <w:rPr>
                <w:rFonts w:ascii="Arial" w:hAnsi="Arial" w:cs="Arial"/>
                <w:color w:val="000000"/>
              </w:rPr>
              <w:t>Peripheral q</w:t>
            </w:r>
            <w:r w:rsidRPr="007D49C9">
              <w:rPr>
                <w:rFonts w:ascii="Arial" w:hAnsi="Arial" w:cs="Arial"/>
              </w:rPr>
              <w:t>uantitative computed tomography</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color w:val="000000"/>
              </w:rPr>
            </w:pPr>
            <w:r w:rsidRPr="007D49C9">
              <w:rPr>
                <w:rFonts w:ascii="Arial" w:hAnsi="Arial" w:cs="Arial"/>
                <w:color w:val="000000"/>
              </w:rPr>
              <w:lastRenderedPageBreak/>
              <w:t xml:space="preserve">PTH </w:t>
            </w:r>
          </w:p>
          <w:p w:rsidR="007A29F7" w:rsidRDefault="007A29F7" w:rsidP="009143C3">
            <w:pPr>
              <w:spacing w:line="240" w:lineRule="auto"/>
              <w:jc w:val="both"/>
              <w:rPr>
                <w:rFonts w:ascii="Arial" w:hAnsi="Arial" w:cs="Arial"/>
                <w:color w:val="000000"/>
              </w:rPr>
            </w:pPr>
            <w:r>
              <w:rPr>
                <w:rFonts w:ascii="Arial" w:hAnsi="Arial" w:cs="Arial"/>
                <w:color w:val="000000"/>
              </w:rPr>
              <w:t>iPTH</w:t>
            </w:r>
          </w:p>
          <w:p w:rsidR="002C4EB8" w:rsidRPr="007D49C9" w:rsidRDefault="002C4EB8" w:rsidP="009143C3">
            <w:pPr>
              <w:spacing w:line="240" w:lineRule="auto"/>
              <w:jc w:val="both"/>
              <w:rPr>
                <w:rFonts w:ascii="Arial" w:hAnsi="Arial" w:cs="Arial"/>
              </w:rPr>
            </w:pPr>
            <w:r>
              <w:rPr>
                <w:rFonts w:ascii="Arial" w:hAnsi="Arial" w:cs="Arial"/>
              </w:rPr>
              <w:t>PYD</w:t>
            </w:r>
          </w:p>
        </w:tc>
        <w:tc>
          <w:tcPr>
            <w:tcW w:w="6627" w:type="dxa"/>
            <w:shd w:val="clear" w:color="auto" w:fill="auto"/>
          </w:tcPr>
          <w:p w:rsidR="00E915C9" w:rsidRDefault="00E915C9" w:rsidP="009143C3">
            <w:pPr>
              <w:spacing w:line="240" w:lineRule="auto"/>
              <w:jc w:val="both"/>
              <w:rPr>
                <w:rFonts w:ascii="Arial" w:hAnsi="Arial" w:cs="Arial"/>
                <w:color w:val="000000"/>
              </w:rPr>
            </w:pPr>
            <w:r w:rsidRPr="007D49C9">
              <w:rPr>
                <w:rFonts w:ascii="Arial" w:hAnsi="Arial" w:cs="Arial"/>
                <w:color w:val="000000"/>
              </w:rPr>
              <w:t>Parathyroid hormone</w:t>
            </w:r>
          </w:p>
          <w:p w:rsidR="007A29F7" w:rsidRDefault="007A29F7" w:rsidP="009143C3">
            <w:pPr>
              <w:spacing w:line="240" w:lineRule="auto"/>
              <w:jc w:val="both"/>
              <w:rPr>
                <w:rFonts w:ascii="Arial" w:hAnsi="Arial" w:cs="Arial"/>
              </w:rPr>
            </w:pPr>
            <w:r w:rsidRPr="007A29F7">
              <w:rPr>
                <w:rFonts w:ascii="Arial" w:hAnsi="Arial" w:cs="Arial"/>
              </w:rPr>
              <w:t>Intact parathyroid hormone</w:t>
            </w:r>
          </w:p>
          <w:p w:rsidR="002C4EB8" w:rsidRPr="007A29F7" w:rsidRDefault="002C4EB8" w:rsidP="009143C3">
            <w:pPr>
              <w:spacing w:line="240" w:lineRule="auto"/>
              <w:jc w:val="both"/>
              <w:rPr>
                <w:rFonts w:ascii="Arial" w:hAnsi="Arial" w:cs="Arial"/>
              </w:rPr>
            </w:pPr>
            <w:r>
              <w:rPr>
                <w:rFonts w:ascii="Arial" w:hAnsi="Arial" w:cs="Arial"/>
              </w:rPr>
              <w:t>pyridinoline</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color w:val="000000"/>
              </w:rPr>
              <w:t xml:space="preserve">QC </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color w:val="000000"/>
              </w:rPr>
              <w:t>Quality control</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QCT</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Quantitative computed tomography</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RANK</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 xml:space="preserve">Receptor activator of nuclear factor κB </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RANKL</w:t>
            </w:r>
          </w:p>
          <w:p w:rsidR="009E35F3" w:rsidRDefault="009E35F3" w:rsidP="009143C3">
            <w:pPr>
              <w:spacing w:line="240" w:lineRule="auto"/>
              <w:jc w:val="both"/>
              <w:rPr>
                <w:rFonts w:ascii="Arial" w:hAnsi="Arial" w:cs="Arial"/>
              </w:rPr>
            </w:pPr>
            <w:r>
              <w:rPr>
                <w:rFonts w:ascii="Arial" w:hAnsi="Arial" w:cs="Arial"/>
              </w:rPr>
              <w:t>RLU</w:t>
            </w:r>
          </w:p>
          <w:p w:rsidR="00364A84" w:rsidRDefault="00364A84" w:rsidP="009143C3">
            <w:pPr>
              <w:spacing w:line="240" w:lineRule="auto"/>
              <w:jc w:val="both"/>
              <w:rPr>
                <w:rFonts w:ascii="Arial" w:hAnsi="Arial" w:cs="Arial"/>
              </w:rPr>
            </w:pPr>
            <w:r>
              <w:rPr>
                <w:rFonts w:ascii="Arial" w:hAnsi="Arial" w:cs="Arial"/>
              </w:rPr>
              <w:t>SERM</w:t>
            </w:r>
          </w:p>
          <w:p w:rsidR="00E915C9" w:rsidRPr="007D49C9" w:rsidRDefault="00E915C9" w:rsidP="009143C3">
            <w:pPr>
              <w:spacing w:line="240" w:lineRule="auto"/>
              <w:jc w:val="both"/>
              <w:rPr>
                <w:rFonts w:ascii="Arial" w:hAnsi="Arial" w:cs="Arial"/>
              </w:rPr>
            </w:pPr>
            <w:r>
              <w:rPr>
                <w:rFonts w:ascii="Arial" w:hAnsi="Arial" w:cs="Arial"/>
              </w:rPr>
              <w:t>SFRP</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 xml:space="preserve">Receptor activator of nuclear factor κB ligand </w:t>
            </w:r>
          </w:p>
          <w:p w:rsidR="009E35F3" w:rsidRDefault="009E35F3" w:rsidP="009143C3">
            <w:pPr>
              <w:spacing w:line="240" w:lineRule="auto"/>
              <w:jc w:val="both"/>
              <w:rPr>
                <w:rFonts w:ascii="Arial" w:hAnsi="Arial" w:cs="Arial"/>
              </w:rPr>
            </w:pPr>
            <w:r>
              <w:rPr>
                <w:rFonts w:ascii="Arial" w:hAnsi="Arial" w:cs="Arial"/>
              </w:rPr>
              <w:t>Relative light units</w:t>
            </w:r>
          </w:p>
          <w:p w:rsidR="00364A84" w:rsidRPr="00364A84" w:rsidRDefault="00364A84" w:rsidP="009143C3">
            <w:pPr>
              <w:spacing w:line="240" w:lineRule="auto"/>
              <w:jc w:val="both"/>
              <w:rPr>
                <w:rFonts w:ascii="Arial" w:hAnsi="Arial" w:cs="Arial"/>
              </w:rPr>
            </w:pPr>
            <w:r w:rsidRPr="00364A84">
              <w:rPr>
                <w:rFonts w:ascii="Arial" w:hAnsi="Arial" w:cs="Arial"/>
              </w:rPr>
              <w:t>Selective estrogen receptor modulator</w:t>
            </w:r>
          </w:p>
          <w:p w:rsidR="00E915C9" w:rsidRPr="007D49C9" w:rsidRDefault="00E915C9" w:rsidP="009143C3">
            <w:pPr>
              <w:spacing w:line="240" w:lineRule="auto"/>
              <w:jc w:val="both"/>
              <w:rPr>
                <w:rFonts w:ascii="Arial" w:hAnsi="Arial" w:cs="Arial"/>
              </w:rPr>
            </w:pPr>
            <w:r>
              <w:rPr>
                <w:rFonts w:ascii="Arial" w:hAnsi="Arial" w:cs="Arial"/>
              </w:rPr>
              <w:t>Secreted frizzled related protein</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SHBG</w:t>
            </w:r>
          </w:p>
          <w:p w:rsidR="0081427A" w:rsidRDefault="0081427A" w:rsidP="009143C3">
            <w:pPr>
              <w:spacing w:line="240" w:lineRule="auto"/>
              <w:jc w:val="both"/>
              <w:rPr>
                <w:rFonts w:ascii="Arial" w:hAnsi="Arial" w:cs="Arial"/>
              </w:rPr>
            </w:pPr>
            <w:r>
              <w:rPr>
                <w:rFonts w:ascii="Arial" w:hAnsi="Arial" w:cs="Arial"/>
              </w:rPr>
              <w:t>SNP</w:t>
            </w:r>
          </w:p>
          <w:p w:rsidR="00FB646F" w:rsidRPr="007D49C9" w:rsidRDefault="00FB646F" w:rsidP="009143C3">
            <w:pPr>
              <w:spacing w:line="240" w:lineRule="auto"/>
              <w:jc w:val="both"/>
              <w:rPr>
                <w:rFonts w:ascii="Arial" w:hAnsi="Arial" w:cs="Arial"/>
              </w:rPr>
            </w:pPr>
            <w:r>
              <w:rPr>
                <w:rFonts w:ascii="Arial" w:hAnsi="Arial" w:cs="Arial"/>
              </w:rPr>
              <w:t>TGF</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Sex hormone binding globulin</w:t>
            </w:r>
          </w:p>
          <w:p w:rsidR="0081427A" w:rsidRDefault="0081427A" w:rsidP="009143C3">
            <w:pPr>
              <w:spacing w:line="240" w:lineRule="auto"/>
              <w:jc w:val="both"/>
              <w:rPr>
                <w:rFonts w:ascii="Arial" w:hAnsi="Arial" w:cs="Arial"/>
              </w:rPr>
            </w:pPr>
            <w:r>
              <w:rPr>
                <w:rFonts w:ascii="Arial" w:hAnsi="Arial" w:cs="Arial"/>
              </w:rPr>
              <w:t xml:space="preserve">Single nucleotide polymorphisms </w:t>
            </w:r>
          </w:p>
          <w:p w:rsidR="00FB646F" w:rsidRPr="007D49C9" w:rsidRDefault="00FB646F" w:rsidP="009143C3">
            <w:pPr>
              <w:spacing w:line="240" w:lineRule="auto"/>
              <w:jc w:val="both"/>
              <w:rPr>
                <w:rFonts w:ascii="Arial" w:hAnsi="Arial" w:cs="Arial"/>
              </w:rPr>
            </w:pPr>
            <w:r>
              <w:rPr>
                <w:rFonts w:ascii="Arial" w:hAnsi="Arial" w:cs="Arial"/>
              </w:rPr>
              <w:t>Transforming growth factor</w:t>
            </w:r>
          </w:p>
        </w:tc>
      </w:tr>
      <w:tr w:rsidR="00E915C9" w:rsidRPr="007D49C9" w:rsidTr="007E1451">
        <w:tc>
          <w:tcPr>
            <w:tcW w:w="2093" w:type="dxa"/>
            <w:shd w:val="clear" w:color="auto" w:fill="auto"/>
          </w:tcPr>
          <w:p w:rsidR="002C4EB8" w:rsidRDefault="00E915C9" w:rsidP="009143C3">
            <w:pPr>
              <w:spacing w:line="240" w:lineRule="auto"/>
              <w:jc w:val="both"/>
              <w:rPr>
                <w:rFonts w:ascii="Arial" w:hAnsi="Arial" w:cs="Arial"/>
              </w:rPr>
            </w:pPr>
            <w:r w:rsidRPr="007D49C9">
              <w:rPr>
                <w:rFonts w:ascii="Arial" w:hAnsi="Arial" w:cs="Arial"/>
              </w:rPr>
              <w:t>TNF</w:t>
            </w:r>
          </w:p>
          <w:p w:rsidR="00E915C9" w:rsidRPr="007D49C9" w:rsidRDefault="002C4EB8" w:rsidP="009143C3">
            <w:pPr>
              <w:spacing w:line="240" w:lineRule="auto"/>
              <w:jc w:val="both"/>
              <w:rPr>
                <w:rFonts w:ascii="Arial" w:hAnsi="Arial" w:cs="Arial"/>
              </w:rPr>
            </w:pPr>
            <w:r>
              <w:rPr>
                <w:rFonts w:ascii="Arial" w:hAnsi="Arial" w:cs="Arial"/>
              </w:rPr>
              <w:t>TRACP</w:t>
            </w:r>
            <w:r w:rsidR="00E915C9" w:rsidRPr="007D49C9">
              <w:rPr>
                <w:rFonts w:ascii="Arial" w:hAnsi="Arial" w:cs="Arial"/>
              </w:rPr>
              <w:t xml:space="preserve"> </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Tumor necrosis factor</w:t>
            </w:r>
          </w:p>
          <w:p w:rsidR="002C4EB8" w:rsidRPr="007D49C9" w:rsidRDefault="002C4EB8" w:rsidP="009143C3">
            <w:pPr>
              <w:spacing w:line="240" w:lineRule="auto"/>
              <w:jc w:val="both"/>
              <w:rPr>
                <w:rFonts w:ascii="Arial" w:hAnsi="Arial" w:cs="Arial"/>
              </w:rPr>
            </w:pPr>
            <w:r>
              <w:rPr>
                <w:rFonts w:ascii="Arial" w:hAnsi="Arial" w:cs="Arial"/>
              </w:rPr>
              <w:t>Tartrate resistant acid phosphatase</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TSH</w:t>
            </w:r>
          </w:p>
        </w:tc>
        <w:tc>
          <w:tcPr>
            <w:tcW w:w="6627"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Thyroid stimulating hormone</w:t>
            </w:r>
          </w:p>
        </w:tc>
      </w:tr>
      <w:tr w:rsidR="00E915C9" w:rsidRPr="007D49C9" w:rsidTr="007E1451">
        <w:tc>
          <w:tcPr>
            <w:tcW w:w="2093"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uOC</w:t>
            </w:r>
          </w:p>
          <w:p w:rsidR="00E915C9" w:rsidRDefault="00E915C9" w:rsidP="009143C3">
            <w:pPr>
              <w:spacing w:line="240" w:lineRule="auto"/>
              <w:jc w:val="both"/>
              <w:rPr>
                <w:rFonts w:ascii="Arial" w:hAnsi="Arial" w:cs="Arial"/>
              </w:rPr>
            </w:pPr>
            <w:r>
              <w:rPr>
                <w:rFonts w:ascii="Arial" w:hAnsi="Arial" w:cs="Arial"/>
              </w:rPr>
              <w:t>VDR</w:t>
            </w:r>
          </w:p>
          <w:p w:rsidR="00E915C9" w:rsidRPr="007D49C9" w:rsidRDefault="00E915C9" w:rsidP="009143C3">
            <w:pPr>
              <w:spacing w:line="240" w:lineRule="auto"/>
              <w:jc w:val="both"/>
              <w:rPr>
                <w:rFonts w:ascii="Arial" w:hAnsi="Arial" w:cs="Arial"/>
              </w:rPr>
            </w:pPr>
            <w:r>
              <w:rPr>
                <w:rFonts w:ascii="Arial" w:hAnsi="Arial" w:cs="Arial"/>
              </w:rPr>
              <w:t>VERT-MN</w:t>
            </w:r>
          </w:p>
        </w:tc>
        <w:tc>
          <w:tcPr>
            <w:tcW w:w="6627" w:type="dxa"/>
            <w:shd w:val="clear" w:color="auto" w:fill="auto"/>
          </w:tcPr>
          <w:p w:rsidR="00E915C9" w:rsidRDefault="00E915C9" w:rsidP="009143C3">
            <w:pPr>
              <w:spacing w:line="240" w:lineRule="auto"/>
              <w:jc w:val="both"/>
              <w:rPr>
                <w:rFonts w:ascii="Arial" w:hAnsi="Arial" w:cs="Arial"/>
              </w:rPr>
            </w:pPr>
            <w:r w:rsidRPr="007D49C9">
              <w:rPr>
                <w:rFonts w:ascii="Arial" w:hAnsi="Arial" w:cs="Arial"/>
              </w:rPr>
              <w:t>Undercarboxylated osteocalcin</w:t>
            </w:r>
          </w:p>
          <w:p w:rsidR="00E915C9" w:rsidRDefault="00E915C9" w:rsidP="009143C3">
            <w:pPr>
              <w:spacing w:line="240" w:lineRule="auto"/>
              <w:jc w:val="both"/>
              <w:rPr>
                <w:rFonts w:ascii="Arial" w:hAnsi="Arial" w:cs="Arial"/>
              </w:rPr>
            </w:pPr>
            <w:r>
              <w:rPr>
                <w:rFonts w:ascii="Arial" w:hAnsi="Arial" w:cs="Arial"/>
              </w:rPr>
              <w:t>V</w:t>
            </w:r>
            <w:r w:rsidRPr="00A37043">
              <w:rPr>
                <w:rFonts w:ascii="Arial" w:hAnsi="Arial" w:cs="Arial"/>
              </w:rPr>
              <w:t xml:space="preserve">itamin D receptor </w:t>
            </w:r>
          </w:p>
          <w:p w:rsidR="00E915C9" w:rsidRPr="007D49C9" w:rsidRDefault="00E915C9" w:rsidP="009143C3">
            <w:pPr>
              <w:spacing w:line="240" w:lineRule="auto"/>
              <w:jc w:val="both"/>
              <w:rPr>
                <w:rFonts w:ascii="Arial" w:hAnsi="Arial" w:cs="Arial"/>
              </w:rPr>
            </w:pPr>
            <w:r>
              <w:rPr>
                <w:rFonts w:ascii="Arial" w:hAnsi="Arial" w:cs="Arial"/>
              </w:rPr>
              <w:t>Vertebral Efficacy with Risedronate Therapy Multinational</w:t>
            </w:r>
          </w:p>
        </w:tc>
      </w:tr>
      <w:tr w:rsidR="00E915C9" w:rsidRPr="007D49C9" w:rsidTr="007E1451">
        <w:tc>
          <w:tcPr>
            <w:tcW w:w="2093" w:type="dxa"/>
            <w:shd w:val="clear" w:color="auto" w:fill="auto"/>
          </w:tcPr>
          <w:p w:rsidR="00E915C9" w:rsidRPr="007D49C9" w:rsidRDefault="00E915C9" w:rsidP="009143C3">
            <w:pPr>
              <w:spacing w:line="240" w:lineRule="auto"/>
              <w:jc w:val="both"/>
              <w:rPr>
                <w:rFonts w:ascii="Arial" w:hAnsi="Arial" w:cs="Arial"/>
              </w:rPr>
            </w:pPr>
            <w:r w:rsidRPr="007D49C9">
              <w:rPr>
                <w:rFonts w:ascii="Arial" w:hAnsi="Arial" w:cs="Arial"/>
              </w:rPr>
              <w:t>WHO</w:t>
            </w:r>
          </w:p>
        </w:tc>
        <w:tc>
          <w:tcPr>
            <w:tcW w:w="6627" w:type="dxa"/>
            <w:shd w:val="clear" w:color="auto" w:fill="auto"/>
          </w:tcPr>
          <w:p w:rsidR="00790DAE" w:rsidRPr="007D49C9" w:rsidRDefault="00E915C9" w:rsidP="009143C3">
            <w:pPr>
              <w:spacing w:line="240" w:lineRule="auto"/>
              <w:jc w:val="both"/>
              <w:rPr>
                <w:rFonts w:ascii="Arial" w:hAnsi="Arial" w:cs="Arial"/>
              </w:rPr>
            </w:pPr>
            <w:r w:rsidRPr="007D49C9">
              <w:rPr>
                <w:rFonts w:ascii="Arial" w:hAnsi="Arial" w:cs="Arial"/>
              </w:rPr>
              <w:t>World Health organisation</w:t>
            </w:r>
          </w:p>
        </w:tc>
      </w:tr>
    </w:tbl>
    <w:p w:rsidR="00790DAE" w:rsidRDefault="00790DAE" w:rsidP="009143C3">
      <w:pPr>
        <w:pStyle w:val="Heading1"/>
        <w:spacing w:before="0"/>
        <w:jc w:val="both"/>
      </w:pPr>
      <w:bookmarkStart w:id="9" w:name="_Toc422736041"/>
    </w:p>
    <w:p w:rsidR="00D70E97" w:rsidRDefault="00D70E97" w:rsidP="009143C3">
      <w:pPr>
        <w:jc w:val="both"/>
      </w:pPr>
    </w:p>
    <w:p w:rsidR="002F425B" w:rsidRDefault="002F425B" w:rsidP="009143C3">
      <w:pPr>
        <w:jc w:val="both"/>
      </w:pPr>
    </w:p>
    <w:p w:rsidR="002F425B" w:rsidRDefault="002F425B" w:rsidP="009143C3">
      <w:pPr>
        <w:jc w:val="both"/>
      </w:pPr>
    </w:p>
    <w:p w:rsidR="002F425B" w:rsidRDefault="002F425B" w:rsidP="009143C3">
      <w:pPr>
        <w:jc w:val="both"/>
      </w:pPr>
    </w:p>
    <w:p w:rsidR="002F425B" w:rsidRDefault="002F425B" w:rsidP="00900F2C"/>
    <w:p w:rsidR="002F425B" w:rsidRDefault="002F425B" w:rsidP="00900F2C"/>
    <w:p w:rsidR="002F425B" w:rsidRDefault="002F425B" w:rsidP="00900F2C"/>
    <w:p w:rsidR="002F425B" w:rsidRDefault="002F425B" w:rsidP="00900F2C"/>
    <w:p w:rsidR="002F425B" w:rsidRDefault="002F425B" w:rsidP="00900F2C"/>
    <w:p w:rsidR="002F425B" w:rsidRDefault="002F425B" w:rsidP="00900F2C"/>
    <w:p w:rsidR="002F425B" w:rsidRPr="00D70E97" w:rsidRDefault="002F425B" w:rsidP="00900F2C"/>
    <w:p w:rsidR="007D49C9" w:rsidRPr="007D49C9" w:rsidRDefault="00102AFE" w:rsidP="009143C3">
      <w:pPr>
        <w:pStyle w:val="Heading1"/>
        <w:spacing w:before="0"/>
        <w:jc w:val="both"/>
      </w:pPr>
      <w:bookmarkStart w:id="10" w:name="_Toc425418888"/>
      <w:r w:rsidRPr="00102AFE">
        <w:lastRenderedPageBreak/>
        <w:t xml:space="preserve">Chapter one: Introduction to the </w:t>
      </w:r>
      <w:r w:rsidR="00A85832">
        <w:t>thesis</w:t>
      </w:r>
      <w:bookmarkEnd w:id="10"/>
    </w:p>
    <w:p w:rsidR="00102AFE" w:rsidRPr="006C509D" w:rsidRDefault="00102AFE" w:rsidP="009143C3">
      <w:pPr>
        <w:pStyle w:val="Heading2"/>
        <w:jc w:val="both"/>
      </w:pPr>
      <w:bookmarkStart w:id="11" w:name="_Toc425418889"/>
      <w:r w:rsidRPr="006C509D">
        <w:t>B</w:t>
      </w:r>
      <w:r w:rsidR="008516E3" w:rsidRPr="006C509D">
        <w:t>ackground</w:t>
      </w:r>
      <w:bookmarkEnd w:id="11"/>
    </w:p>
    <w:p w:rsidR="006C509D" w:rsidRPr="006C509D" w:rsidRDefault="005F338B" w:rsidP="009143C3">
      <w:pPr>
        <w:pStyle w:val="Heading3"/>
        <w:jc w:val="both"/>
      </w:pPr>
      <w:bookmarkStart w:id="12" w:name="_Toc425418890"/>
      <w:r>
        <w:t>Postmenopausal o</w:t>
      </w:r>
      <w:r w:rsidR="00C94C83">
        <w:t>steoporosis</w:t>
      </w:r>
      <w:bookmarkEnd w:id="12"/>
    </w:p>
    <w:p w:rsidR="000267DF" w:rsidRDefault="006C509D" w:rsidP="003B725E">
      <w:pPr>
        <w:spacing w:line="360" w:lineRule="auto"/>
        <w:jc w:val="both"/>
        <w:rPr>
          <w:rFonts w:ascii="Arial" w:hAnsi="Arial" w:cs="Arial"/>
        </w:rPr>
      </w:pPr>
      <w:r>
        <w:rPr>
          <w:rFonts w:ascii="Arial" w:hAnsi="Arial" w:cs="Arial"/>
        </w:rPr>
        <w:t>O</w:t>
      </w:r>
      <w:r w:rsidR="00102AFE">
        <w:rPr>
          <w:rFonts w:ascii="Arial" w:hAnsi="Arial" w:cs="Arial"/>
        </w:rPr>
        <w:t>steoporosis</w:t>
      </w:r>
      <w:r w:rsidR="00C3715A">
        <w:rPr>
          <w:rFonts w:ascii="Arial" w:hAnsi="Arial" w:cs="Arial"/>
        </w:rPr>
        <w:t xml:space="preserve"> is </w:t>
      </w:r>
      <w:r w:rsidR="006A44E3">
        <w:rPr>
          <w:rFonts w:ascii="Arial" w:hAnsi="Arial" w:cs="Arial"/>
        </w:rPr>
        <w:t xml:space="preserve">a </w:t>
      </w:r>
      <w:r w:rsidR="00973591">
        <w:rPr>
          <w:rFonts w:ascii="Arial" w:hAnsi="Arial" w:cs="Arial"/>
        </w:rPr>
        <w:t>progressive</w:t>
      </w:r>
      <w:r w:rsidR="006A44E3">
        <w:rPr>
          <w:rFonts w:ascii="Arial" w:hAnsi="Arial" w:cs="Arial"/>
        </w:rPr>
        <w:t>,</w:t>
      </w:r>
      <w:r w:rsidR="00C3715A">
        <w:rPr>
          <w:rFonts w:ascii="Arial" w:hAnsi="Arial" w:cs="Arial"/>
        </w:rPr>
        <w:t xml:space="preserve"> age-related </w:t>
      </w:r>
      <w:r w:rsidR="00EE5BF8">
        <w:rPr>
          <w:rFonts w:ascii="Arial" w:hAnsi="Arial" w:cs="Arial"/>
        </w:rPr>
        <w:t>skeletal disease</w:t>
      </w:r>
      <w:r w:rsidR="00C3715A">
        <w:rPr>
          <w:rFonts w:ascii="Arial" w:hAnsi="Arial" w:cs="Arial"/>
        </w:rPr>
        <w:t xml:space="preserve"> </w:t>
      </w:r>
      <w:r w:rsidR="00B535C2">
        <w:rPr>
          <w:rFonts w:ascii="Arial" w:hAnsi="Arial" w:cs="Arial"/>
        </w:rPr>
        <w:t>caused by</w:t>
      </w:r>
      <w:r w:rsidR="00C3715A">
        <w:rPr>
          <w:rFonts w:ascii="Arial" w:hAnsi="Arial" w:cs="Arial"/>
        </w:rPr>
        <w:t xml:space="preserve"> </w:t>
      </w:r>
      <w:r w:rsidR="00621E28">
        <w:rPr>
          <w:rFonts w:ascii="Arial" w:hAnsi="Arial" w:cs="Arial"/>
        </w:rPr>
        <w:t>the accumulation of micro-</w:t>
      </w:r>
      <w:r w:rsidR="00C3715A">
        <w:rPr>
          <w:rFonts w:ascii="Arial" w:hAnsi="Arial" w:cs="Arial"/>
        </w:rPr>
        <w:t>architectural damage</w:t>
      </w:r>
      <w:r w:rsidR="00F013B6">
        <w:rPr>
          <w:rFonts w:ascii="Arial" w:hAnsi="Arial" w:cs="Arial"/>
        </w:rPr>
        <w:t xml:space="preserve"> to the bone </w:t>
      </w:r>
      <w:r w:rsidR="00F013B6">
        <w:rPr>
          <w:rFonts w:ascii="Arial" w:hAnsi="Arial" w:cs="Arial"/>
        </w:rPr>
        <w:fldChar w:fldCharType="begin"/>
      </w:r>
      <w:r w:rsidR="00F013B6">
        <w:rPr>
          <w:rFonts w:ascii="Arial" w:hAnsi="Arial" w:cs="Arial"/>
        </w:rPr>
        <w:instrText xml:space="preserve"> ADDIN EN.CITE &lt;EndNote&gt;&lt;Cite&gt;&lt;Year&gt;2000&lt;/Year&gt;&lt;RecNum&gt;350&lt;/RecNum&gt;&lt;DisplayText&gt;(1)&lt;/DisplayText&gt;&lt;record&gt;&lt;rec-number&gt;350&lt;/rec-number&gt;&lt;foreign-keys&gt;&lt;key app="EN" db-id="p9a5ttsvyvde9me5aw2x05fp5p55axf0wr90" timestamp="1435249531"&gt;350&lt;/key&gt;&lt;/foreign-keys&gt;&lt;ref-type name="Journal Article"&gt;17&lt;/ref-type&gt;&lt;contributors&gt;&lt;/contributors&gt;&lt;titles&gt;&lt;title&gt;Osteoporosis prevention, diagnosis, and therapy&lt;/title&gt;&lt;secondary-title&gt;NIH Consens Statement&lt;/secondary-title&gt;&lt;/titles&gt;&lt;periodical&gt;&lt;full-title&gt;NIH Consens Statement&lt;/full-title&gt;&lt;/periodical&gt;&lt;pages&gt;1-45&lt;/pages&gt;&lt;volume&gt;17&lt;/volume&gt;&lt;number&gt;1&lt;/number&gt;&lt;edition&gt;2001/08/30&lt;/edition&gt;&lt;keywords&gt;&lt;keyword&gt;Adolescent&lt;/keyword&gt;&lt;keyword&gt;Adult&lt;/keyword&gt;&lt;keyword&gt;Aged&lt;/keyword&gt;&lt;keyword&gt;Bone Density&lt;/keyword&gt;&lt;keyword&gt;Calcium/therapeutic use&lt;/keyword&gt;&lt;keyword&gt;Child&lt;/keyword&gt;&lt;keyword&gt;Cost of Illness&lt;/keyword&gt;&lt;keyword&gt;Diphosphonates/therapeutic use&lt;/keyword&gt;&lt;keyword&gt;Estrogen Replacement Therapy&lt;/keyword&gt;&lt;keyword&gt;Evidence-Based Medicine&lt;/keyword&gt;&lt;keyword&gt;Female&lt;/keyword&gt;&lt;keyword&gt;Forecasting&lt;/keyword&gt;&lt;keyword&gt;Fractures, Bone/economics/epidemiology/etiology&lt;/keyword&gt;&lt;keyword&gt;Humans&lt;/keyword&gt;&lt;keyword&gt;Male&lt;/keyword&gt;&lt;keyword&gt;Middle Aged&lt;/keyword&gt;&lt;keyword&gt;Needs Assessment&lt;/keyword&gt;&lt;keyword&gt;Osteoporosis/ diagnosis/economics/epidemiology/etiology/ therapy&lt;/keyword&gt;&lt;keyword&gt;Primary Prevention/methods&lt;/keyword&gt;&lt;keyword&gt;Research/organization &amp;amp; administration&lt;/keyword&gt;&lt;keyword&gt;Risk Factors&lt;/keyword&gt;&lt;keyword&gt;Selective Estrogen Receptor Modulators/therapeutic use&lt;/keyword&gt;&lt;keyword&gt;Treatment Outcome&lt;/keyword&gt;&lt;/keywords&gt;&lt;dates&gt;&lt;year&gt;2000&lt;/year&gt;&lt;pub-dates&gt;&lt;date&gt;Mar 27-29&lt;/date&gt;&lt;/pub-dates&gt;&lt;/dates&gt;&lt;isbn&gt;1080-1707 (Print)&amp;#xD;1080-1707 (Linking)&lt;/isbn&gt;&lt;accession-num&gt;11525451&lt;/accession-num&gt;&lt;urls&gt;&lt;/urls&gt;&lt;remote-database-provider&gt;NLM&lt;/remote-database-provider&gt;&lt;language&gt;eng&lt;/language&gt;&lt;/record&gt;&lt;/Cite&gt;&lt;/EndNote&gt;</w:instrText>
      </w:r>
      <w:r w:rsidR="00F013B6">
        <w:rPr>
          <w:rFonts w:ascii="Arial" w:hAnsi="Arial" w:cs="Arial"/>
        </w:rPr>
        <w:fldChar w:fldCharType="separate"/>
      </w:r>
      <w:r w:rsidR="00F013B6">
        <w:rPr>
          <w:rFonts w:ascii="Arial" w:hAnsi="Arial" w:cs="Arial"/>
          <w:noProof/>
        </w:rPr>
        <w:t>(</w:t>
      </w:r>
      <w:hyperlink w:anchor="_ENREF_1" w:tooltip=", 2000 #350" w:history="1">
        <w:r w:rsidR="003B725E">
          <w:rPr>
            <w:rFonts w:ascii="Arial" w:hAnsi="Arial" w:cs="Arial"/>
            <w:noProof/>
          </w:rPr>
          <w:t>1</w:t>
        </w:r>
      </w:hyperlink>
      <w:r w:rsidR="00F013B6">
        <w:rPr>
          <w:rFonts w:ascii="Arial" w:hAnsi="Arial" w:cs="Arial"/>
          <w:noProof/>
        </w:rPr>
        <w:t>)</w:t>
      </w:r>
      <w:r w:rsidR="00F013B6">
        <w:rPr>
          <w:rFonts w:ascii="Arial" w:hAnsi="Arial" w:cs="Arial"/>
        </w:rPr>
        <w:fldChar w:fldCharType="end"/>
      </w:r>
      <w:r w:rsidR="00EA1625">
        <w:rPr>
          <w:rFonts w:ascii="Arial" w:hAnsi="Arial" w:cs="Arial"/>
        </w:rPr>
        <w:t xml:space="preserve">. </w:t>
      </w:r>
      <w:r w:rsidR="00C3715A">
        <w:rPr>
          <w:rFonts w:ascii="Arial" w:hAnsi="Arial" w:cs="Arial"/>
        </w:rPr>
        <w:t xml:space="preserve">It is </w:t>
      </w:r>
      <w:r w:rsidR="00063EAB">
        <w:rPr>
          <w:rFonts w:ascii="Arial" w:hAnsi="Arial" w:cs="Arial"/>
        </w:rPr>
        <w:t>characterised</w:t>
      </w:r>
      <w:r w:rsidR="00A0226B">
        <w:rPr>
          <w:rFonts w:ascii="Arial" w:hAnsi="Arial" w:cs="Arial"/>
        </w:rPr>
        <w:t xml:space="preserve"> by reduced </w:t>
      </w:r>
      <w:r w:rsidR="00C3715A">
        <w:rPr>
          <w:rFonts w:ascii="Arial" w:hAnsi="Arial" w:cs="Arial"/>
        </w:rPr>
        <w:t>bone mineral density</w:t>
      </w:r>
      <w:r w:rsidR="00B535C2">
        <w:rPr>
          <w:rFonts w:ascii="Arial" w:hAnsi="Arial" w:cs="Arial"/>
        </w:rPr>
        <w:t xml:space="preserve"> (BMD)</w:t>
      </w:r>
      <w:r w:rsidR="00A0226B">
        <w:rPr>
          <w:rFonts w:ascii="Arial" w:hAnsi="Arial" w:cs="Arial"/>
        </w:rPr>
        <w:t xml:space="preserve">, </w:t>
      </w:r>
      <w:r w:rsidR="00B535C2">
        <w:rPr>
          <w:rFonts w:ascii="Arial" w:hAnsi="Arial" w:cs="Arial"/>
        </w:rPr>
        <w:t>increased bone remodelling</w:t>
      </w:r>
      <w:r w:rsidR="00A0226B">
        <w:rPr>
          <w:rFonts w:ascii="Arial" w:hAnsi="Arial" w:cs="Arial"/>
        </w:rPr>
        <w:t xml:space="preserve"> and increased bone loss leading to increased fracture risk.</w:t>
      </w:r>
      <w:r w:rsidR="00EE5BF8">
        <w:rPr>
          <w:rFonts w:ascii="Arial" w:hAnsi="Arial" w:cs="Arial"/>
        </w:rPr>
        <w:t xml:space="preserve"> It is a highly prevalent disease</w:t>
      </w:r>
      <w:r w:rsidR="00A937B2">
        <w:rPr>
          <w:rFonts w:ascii="Arial" w:hAnsi="Arial" w:cs="Arial"/>
        </w:rPr>
        <w:t xml:space="preserve"> </w:t>
      </w:r>
      <w:r w:rsidR="009E4243">
        <w:rPr>
          <w:rFonts w:ascii="Arial" w:hAnsi="Arial" w:cs="Arial"/>
        </w:rPr>
        <w:fldChar w:fldCharType="begin"/>
      </w:r>
      <w:r w:rsidR="00F013B6">
        <w:rPr>
          <w:rFonts w:ascii="Arial" w:hAnsi="Arial" w:cs="Arial"/>
        </w:rPr>
        <w:instrText xml:space="preserve"> ADDIN EN.CITE &lt;EndNote&gt;&lt;Cite&gt;&lt;Year&gt;2003&lt;/Year&gt;&lt;RecNum&gt;329&lt;/RecNum&gt;&lt;DisplayText&gt;(2)&lt;/DisplayText&gt;&lt;record&gt;&lt;rec-number&gt;329&lt;/rec-number&gt;&lt;foreign-keys&gt;&lt;key app="EN" db-id="p9a5ttsvyvde9me5aw2x05fp5p55axf0wr90" timestamp="1434720183"&gt;329&lt;/key&gt;&lt;/foreign-keys&gt;&lt;ref-type name="Journal Article"&gt;17&lt;/ref-type&gt;&lt;contributors&gt;&lt;/contributors&gt;&lt;titles&gt;&lt;title&gt;Prevention and management of osteoporosis&lt;/title&gt;&lt;secondary-title&gt;World Health Organ Tech Rep Ser&lt;/secondary-title&gt;&lt;/titles&gt;&lt;periodical&gt;&lt;full-title&gt;World Health Organ Tech Rep Ser&lt;/full-title&gt;&lt;/periodical&gt;&lt;pages&gt;1-164, back cover&lt;/pages&gt;&lt;volume&gt;921&lt;/volume&gt;&lt;edition&gt;2004/08/06&lt;/edition&gt;&lt;keywords&gt;&lt;keyword&gt;Aged&lt;/keyword&gt;&lt;keyword&gt;Delivery of Health Care&lt;/keyword&gt;&lt;keyword&gt;Female&lt;/keyword&gt;&lt;keyword&gt;Fractures, Bone/classification/etiology&lt;/keyword&gt;&lt;keyword&gt;Humans&lt;/keyword&gt;&lt;keyword&gt;Male&lt;/keyword&gt;&lt;keyword&gt;Middle Aged&lt;/keyword&gt;&lt;keyword&gt;Osteoporosis/diagnosis/epidemiology/pathology/ prevention &amp;amp; control/ therapy&lt;/keyword&gt;&lt;keyword&gt;Patient Education as Topic&lt;/keyword&gt;&lt;keyword&gt;Socioeconomic Factors&lt;/keyword&gt;&lt;keyword&gt;World Health Organization&lt;/keyword&gt;&lt;/keywords&gt;&lt;dates&gt;&lt;year&gt;2003&lt;/year&gt;&lt;/dates&gt;&lt;isbn&gt;0512-3054 (Print)&amp;#xD;0512-3054 (Linking)&lt;/isbn&gt;&lt;accession-num&gt;15293701&lt;/accession-num&gt;&lt;urls&gt;&lt;/urls&gt;&lt;remote-database-provider&gt;NLM&lt;/remote-database-provider&gt;&lt;language&gt;eng&lt;/language&gt;&lt;/record&gt;&lt;/Cite&gt;&lt;/EndNote&gt;</w:instrText>
      </w:r>
      <w:r w:rsidR="009E4243">
        <w:rPr>
          <w:rFonts w:ascii="Arial" w:hAnsi="Arial" w:cs="Arial"/>
        </w:rPr>
        <w:fldChar w:fldCharType="separate"/>
      </w:r>
      <w:r w:rsidR="00F013B6">
        <w:rPr>
          <w:rFonts w:ascii="Arial" w:hAnsi="Arial" w:cs="Arial"/>
          <w:noProof/>
        </w:rPr>
        <w:t>(</w:t>
      </w:r>
      <w:hyperlink w:anchor="_ENREF_2" w:tooltip=", 2003 #329" w:history="1">
        <w:r w:rsidR="003B725E">
          <w:rPr>
            <w:rFonts w:ascii="Arial" w:hAnsi="Arial" w:cs="Arial"/>
            <w:noProof/>
          </w:rPr>
          <w:t>2</w:t>
        </w:r>
      </w:hyperlink>
      <w:r w:rsidR="00F013B6">
        <w:rPr>
          <w:rFonts w:ascii="Arial" w:hAnsi="Arial" w:cs="Arial"/>
          <w:noProof/>
        </w:rPr>
        <w:t>)</w:t>
      </w:r>
      <w:r w:rsidR="009E4243">
        <w:rPr>
          <w:rFonts w:ascii="Arial" w:hAnsi="Arial" w:cs="Arial"/>
        </w:rPr>
        <w:fldChar w:fldCharType="end"/>
      </w:r>
      <w:r w:rsidR="00A937B2">
        <w:rPr>
          <w:rFonts w:ascii="Arial" w:hAnsi="Arial" w:cs="Arial"/>
        </w:rPr>
        <w:t xml:space="preserve">. </w:t>
      </w:r>
      <w:r w:rsidR="0080566D">
        <w:rPr>
          <w:rFonts w:ascii="Arial" w:hAnsi="Arial" w:cs="Arial"/>
        </w:rPr>
        <w:t>In the United Kingdom</w:t>
      </w:r>
      <w:r w:rsidR="00BD0E09">
        <w:rPr>
          <w:rFonts w:ascii="Arial" w:hAnsi="Arial" w:cs="Arial"/>
        </w:rPr>
        <w:t xml:space="preserve"> it affects about 3 million people</w:t>
      </w:r>
      <w:r w:rsidR="000267DF">
        <w:rPr>
          <w:rFonts w:ascii="Arial" w:hAnsi="Arial" w:cs="Arial"/>
        </w:rPr>
        <w:t xml:space="preserve"> with</w:t>
      </w:r>
      <w:r w:rsidR="00BD0E09">
        <w:rPr>
          <w:rFonts w:ascii="Arial" w:hAnsi="Arial" w:cs="Arial"/>
        </w:rPr>
        <w:t xml:space="preserve"> 53% of women over the age of 50 years </w:t>
      </w:r>
      <w:r w:rsidR="00C3715A">
        <w:rPr>
          <w:rFonts w:ascii="Arial" w:hAnsi="Arial" w:cs="Arial"/>
        </w:rPr>
        <w:t xml:space="preserve">being </w:t>
      </w:r>
      <w:r w:rsidR="00BD0E09">
        <w:rPr>
          <w:rFonts w:ascii="Arial" w:hAnsi="Arial" w:cs="Arial"/>
        </w:rPr>
        <w:t>at risk from an</w:t>
      </w:r>
      <w:r w:rsidR="00DE64A1">
        <w:rPr>
          <w:rFonts w:ascii="Arial" w:hAnsi="Arial" w:cs="Arial"/>
        </w:rPr>
        <w:t xml:space="preserve"> osteoporotic fracture </w:t>
      </w:r>
      <w:r w:rsidR="000267DF">
        <w:rPr>
          <w:rFonts w:ascii="Arial" w:hAnsi="Arial" w:cs="Arial"/>
        </w:rPr>
        <w:fldChar w:fldCharType="begin">
          <w:fldData xml:space="preserve">PEVuZE5vdGU+PENpdGU+PEF1dGhvcj5EZW5uaXNvbjwvQXV0aG9yPjxZZWFyPjIwMDU8L1llYXI+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</w:fldData>
        </w:fldChar>
      </w:r>
      <w:r w:rsidR="00F013B6">
        <w:rPr>
          <w:rFonts w:ascii="Arial" w:hAnsi="Arial" w:cs="Arial"/>
        </w:rPr>
        <w:instrText xml:space="preserve"> ADDIN EN.CITE </w:instrText>
      </w:r>
      <w:r w:rsidR="00F013B6">
        <w:rPr>
          <w:rFonts w:ascii="Arial" w:hAnsi="Arial" w:cs="Arial"/>
        </w:rPr>
        <w:fldChar w:fldCharType="begin">
          <w:fldData xml:space="preserve">PEVuZE5vdGU+PENpdGU+PEF1dGhvcj5EZW5uaXNvbjwvQXV0aG9yPjxZZWFyPjIwMDU8L1llYXI+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</w:fldData>
        </w:fldChar>
      </w:r>
      <w:r w:rsidR="00F013B6">
        <w:rPr>
          <w:rFonts w:ascii="Arial" w:hAnsi="Arial" w:cs="Arial"/>
        </w:rPr>
        <w:instrText xml:space="preserve"> ADDIN EN.CITE.DATA </w:instrText>
      </w:r>
      <w:r w:rsidR="00F013B6">
        <w:rPr>
          <w:rFonts w:ascii="Arial" w:hAnsi="Arial" w:cs="Arial"/>
        </w:rPr>
      </w:r>
      <w:r w:rsidR="00F013B6">
        <w:rPr>
          <w:rFonts w:ascii="Arial" w:hAnsi="Arial" w:cs="Arial"/>
        </w:rPr>
        <w:fldChar w:fldCharType="end"/>
      </w:r>
      <w:r w:rsidR="000267DF">
        <w:rPr>
          <w:rFonts w:ascii="Arial" w:hAnsi="Arial" w:cs="Arial"/>
        </w:rPr>
      </w:r>
      <w:r w:rsidR="000267DF">
        <w:rPr>
          <w:rFonts w:ascii="Arial" w:hAnsi="Arial" w:cs="Arial"/>
        </w:rPr>
        <w:fldChar w:fldCharType="separate"/>
      </w:r>
      <w:r w:rsidR="00F013B6">
        <w:rPr>
          <w:rFonts w:ascii="Arial" w:hAnsi="Arial" w:cs="Arial"/>
          <w:noProof/>
        </w:rPr>
        <w:t>(</w:t>
      </w:r>
      <w:hyperlink w:anchor="_ENREF_3" w:tooltip="Dennison, 2005 #1" w:history="1">
        <w:r w:rsidR="003B725E">
          <w:rPr>
            <w:rFonts w:ascii="Arial" w:hAnsi="Arial" w:cs="Arial"/>
            <w:noProof/>
          </w:rPr>
          <w:t>3</w:t>
        </w:r>
      </w:hyperlink>
      <w:r w:rsidR="00F013B6">
        <w:rPr>
          <w:rFonts w:ascii="Arial" w:hAnsi="Arial" w:cs="Arial"/>
          <w:noProof/>
        </w:rPr>
        <w:t xml:space="preserve">, </w:t>
      </w:r>
      <w:hyperlink w:anchor="_ENREF_4" w:tooltip="Kanis, 2000 #327" w:history="1">
        <w:r w:rsidR="003B725E">
          <w:rPr>
            <w:rFonts w:ascii="Arial" w:hAnsi="Arial" w:cs="Arial"/>
            <w:noProof/>
          </w:rPr>
          <w:t>4</w:t>
        </w:r>
      </w:hyperlink>
      <w:r w:rsidR="00F013B6">
        <w:rPr>
          <w:rFonts w:ascii="Arial" w:hAnsi="Arial" w:cs="Arial"/>
          <w:noProof/>
        </w:rPr>
        <w:t>)</w:t>
      </w:r>
      <w:r w:rsidR="000267DF">
        <w:rPr>
          <w:rFonts w:ascii="Arial" w:hAnsi="Arial" w:cs="Arial"/>
        </w:rPr>
        <w:fldChar w:fldCharType="end"/>
      </w:r>
      <w:r w:rsidR="00AF2C39">
        <w:rPr>
          <w:rFonts w:ascii="Arial" w:hAnsi="Arial" w:cs="Arial"/>
        </w:rPr>
        <w:t>.</w:t>
      </w:r>
      <w:r w:rsidR="00E365FF">
        <w:rPr>
          <w:rFonts w:ascii="Arial" w:hAnsi="Arial" w:cs="Arial"/>
        </w:rPr>
        <w:t xml:space="preserve"> </w:t>
      </w:r>
      <w:r w:rsidR="00A8554A">
        <w:rPr>
          <w:rFonts w:ascii="Arial" w:hAnsi="Arial" w:cs="Arial"/>
        </w:rPr>
        <w:t>In particular it is the vertebral</w:t>
      </w:r>
      <w:r w:rsidR="0059686F">
        <w:rPr>
          <w:rFonts w:ascii="Arial" w:hAnsi="Arial" w:cs="Arial"/>
        </w:rPr>
        <w:t xml:space="preserve"> and hip</w:t>
      </w:r>
      <w:r w:rsidR="00A8554A">
        <w:rPr>
          <w:rFonts w:ascii="Arial" w:hAnsi="Arial" w:cs="Arial"/>
        </w:rPr>
        <w:t xml:space="preserve"> fractures that </w:t>
      </w:r>
      <w:r w:rsidR="00CB71F4">
        <w:rPr>
          <w:rFonts w:ascii="Arial" w:hAnsi="Arial" w:cs="Arial"/>
        </w:rPr>
        <w:t xml:space="preserve">are associated with an increase in morbidity (pain, fatigue, height loss, loss of function, disability and physical impairment </w:t>
      </w:r>
      <w:r w:rsidR="00CB71F4">
        <w:rPr>
          <w:rFonts w:ascii="Arial" w:hAnsi="Arial" w:cs="Arial"/>
        </w:rPr>
        <w:fldChar w:fldCharType="begin">
          <w:fldData xml:space="preserve">PEVuZE5vdGU+PENpdGU+PEF1dGhvcj5TaWx2ZXJtYW48L0F1dGhvcj48WWVhcj4yMDA1PC9ZZWFy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</w:fldData>
        </w:fldChar>
      </w:r>
      <w:r w:rsidR="00F013B6">
        <w:rPr>
          <w:rFonts w:ascii="Arial" w:hAnsi="Arial" w:cs="Arial"/>
        </w:rPr>
        <w:instrText xml:space="preserve"> ADDIN EN.CITE </w:instrText>
      </w:r>
      <w:r w:rsidR="00F013B6">
        <w:rPr>
          <w:rFonts w:ascii="Arial" w:hAnsi="Arial" w:cs="Arial"/>
        </w:rPr>
        <w:fldChar w:fldCharType="begin">
          <w:fldData xml:space="preserve">PEVuZE5vdGU+PENpdGU+PEF1dGhvcj5TaWx2ZXJtYW48L0F1dGhvcj48WWVhcj4yMDA1PC9ZZWFy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</w:fldData>
        </w:fldChar>
      </w:r>
      <w:r w:rsidR="00F013B6">
        <w:rPr>
          <w:rFonts w:ascii="Arial" w:hAnsi="Arial" w:cs="Arial"/>
        </w:rPr>
        <w:instrText xml:space="preserve"> ADDIN EN.CITE.DATA </w:instrText>
      </w:r>
      <w:r w:rsidR="00F013B6">
        <w:rPr>
          <w:rFonts w:ascii="Arial" w:hAnsi="Arial" w:cs="Arial"/>
        </w:rPr>
      </w:r>
      <w:r w:rsidR="00F013B6">
        <w:rPr>
          <w:rFonts w:ascii="Arial" w:hAnsi="Arial" w:cs="Arial"/>
        </w:rPr>
        <w:fldChar w:fldCharType="end"/>
      </w:r>
      <w:r w:rsidR="00CB71F4">
        <w:rPr>
          <w:rFonts w:ascii="Arial" w:hAnsi="Arial" w:cs="Arial"/>
        </w:rPr>
      </w:r>
      <w:r w:rsidR="00CB71F4">
        <w:rPr>
          <w:rFonts w:ascii="Arial" w:hAnsi="Arial" w:cs="Arial"/>
        </w:rPr>
        <w:fldChar w:fldCharType="separate"/>
      </w:r>
      <w:r w:rsidR="00F013B6">
        <w:rPr>
          <w:rFonts w:ascii="Arial" w:hAnsi="Arial" w:cs="Arial"/>
          <w:noProof/>
        </w:rPr>
        <w:t>(</w:t>
      </w:r>
      <w:hyperlink w:anchor="_ENREF_5" w:tooltip="Silverman, 2005 #2" w:history="1">
        <w:r w:rsidR="003B725E">
          <w:rPr>
            <w:rFonts w:ascii="Arial" w:hAnsi="Arial" w:cs="Arial"/>
            <w:noProof/>
          </w:rPr>
          <w:t>5</w:t>
        </w:r>
      </w:hyperlink>
      <w:r w:rsidR="00F013B6">
        <w:rPr>
          <w:rFonts w:ascii="Arial" w:hAnsi="Arial" w:cs="Arial"/>
          <w:noProof/>
        </w:rPr>
        <w:t xml:space="preserve">, </w:t>
      </w:r>
      <w:hyperlink w:anchor="_ENREF_6" w:tooltip="Geusens, 2008 #3" w:history="1">
        <w:r w:rsidR="003B725E">
          <w:rPr>
            <w:rFonts w:ascii="Arial" w:hAnsi="Arial" w:cs="Arial"/>
            <w:noProof/>
          </w:rPr>
          <w:t>6</w:t>
        </w:r>
      </w:hyperlink>
      <w:r w:rsidR="00F013B6">
        <w:rPr>
          <w:rFonts w:ascii="Arial" w:hAnsi="Arial" w:cs="Arial"/>
          <w:noProof/>
        </w:rPr>
        <w:t>)</w:t>
      </w:r>
      <w:r w:rsidR="00CB71F4">
        <w:rPr>
          <w:rFonts w:ascii="Arial" w:hAnsi="Arial" w:cs="Arial"/>
        </w:rPr>
        <w:fldChar w:fldCharType="end"/>
      </w:r>
      <w:r w:rsidR="00C025BC">
        <w:rPr>
          <w:rFonts w:ascii="Arial" w:hAnsi="Arial" w:cs="Arial"/>
        </w:rPr>
        <w:t xml:space="preserve"> and mortality rates</w:t>
      </w:r>
      <w:r w:rsidR="00C3715A">
        <w:rPr>
          <w:rFonts w:ascii="Arial" w:hAnsi="Arial" w:cs="Arial"/>
        </w:rPr>
        <w:t xml:space="preserve"> and a reduced quality of life</w:t>
      </w:r>
      <w:r w:rsidR="004D047F">
        <w:rPr>
          <w:rFonts w:ascii="Arial" w:hAnsi="Arial" w:cs="Arial"/>
        </w:rPr>
        <w:t xml:space="preserve"> </w:t>
      </w:r>
      <w:r w:rsidR="004D047F">
        <w:rPr>
          <w:rFonts w:ascii="Arial" w:hAnsi="Arial" w:cs="Arial"/>
        </w:rPr>
        <w:fldChar w:fldCharType="begin">
          <w:fldData xml:space="preserve">PEVuZE5vdGU+PENpdGU+PEF1dGhvcj5Cb3Jnc3Ryb208L0F1dGhvcj48WWVhcj4yMDEzPC9ZZWFy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IFVTQTwvYWJici0xPjwvcGVyaW9kaWNhbD48YWx0LXBlcmlvZGljYWw+PGZ1bGwtdGl0bGU+T3N0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</w:fldData>
        </w:fldChar>
      </w:r>
      <w:r w:rsidR="00F013B6">
        <w:rPr>
          <w:rFonts w:ascii="Arial" w:hAnsi="Arial" w:cs="Arial"/>
        </w:rPr>
        <w:instrText xml:space="preserve"> ADDIN EN.CITE </w:instrText>
      </w:r>
      <w:r w:rsidR="00F013B6">
        <w:rPr>
          <w:rFonts w:ascii="Arial" w:hAnsi="Arial" w:cs="Arial"/>
        </w:rPr>
        <w:fldChar w:fldCharType="begin">
          <w:fldData xml:space="preserve">PEVuZE5vdGU+PENpdGU+PEF1dGhvcj5Cb3Jnc3Ryb208L0F1dGhvcj48WWVhcj4yMDEzPC9ZZWFy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IFVTQTwvYWJici0xPjwvcGVyaW9kaWNhbD48YWx0LXBlcmlvZGljYWw+PGZ1bGwtdGl0bGU+T3N0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</w:fldData>
        </w:fldChar>
      </w:r>
      <w:r w:rsidR="00F013B6">
        <w:rPr>
          <w:rFonts w:ascii="Arial" w:hAnsi="Arial" w:cs="Arial"/>
        </w:rPr>
        <w:instrText xml:space="preserve"> ADDIN EN.CITE.DATA </w:instrText>
      </w:r>
      <w:r w:rsidR="00F013B6">
        <w:rPr>
          <w:rFonts w:ascii="Arial" w:hAnsi="Arial" w:cs="Arial"/>
        </w:rPr>
      </w:r>
      <w:r w:rsidR="00F013B6">
        <w:rPr>
          <w:rFonts w:ascii="Arial" w:hAnsi="Arial" w:cs="Arial"/>
        </w:rPr>
        <w:fldChar w:fldCharType="end"/>
      </w:r>
      <w:r w:rsidR="004D047F">
        <w:rPr>
          <w:rFonts w:ascii="Arial" w:hAnsi="Arial" w:cs="Arial"/>
        </w:rPr>
      </w:r>
      <w:r w:rsidR="004D047F">
        <w:rPr>
          <w:rFonts w:ascii="Arial" w:hAnsi="Arial" w:cs="Arial"/>
        </w:rPr>
        <w:fldChar w:fldCharType="separate"/>
      </w:r>
      <w:r w:rsidR="00F013B6">
        <w:rPr>
          <w:rFonts w:ascii="Arial" w:hAnsi="Arial" w:cs="Arial"/>
          <w:noProof/>
        </w:rPr>
        <w:t>(</w:t>
      </w:r>
      <w:hyperlink w:anchor="_ENREF_7" w:tooltip="Borgstrom, 2013 #4" w:history="1">
        <w:r w:rsidR="003B725E">
          <w:rPr>
            <w:rFonts w:ascii="Arial" w:hAnsi="Arial" w:cs="Arial"/>
            <w:noProof/>
          </w:rPr>
          <w:t>7</w:t>
        </w:r>
      </w:hyperlink>
      <w:r w:rsidR="00F013B6">
        <w:rPr>
          <w:rFonts w:ascii="Arial" w:hAnsi="Arial" w:cs="Arial"/>
          <w:noProof/>
        </w:rPr>
        <w:t>)</w:t>
      </w:r>
      <w:r w:rsidR="004D047F">
        <w:rPr>
          <w:rFonts w:ascii="Arial" w:hAnsi="Arial" w:cs="Arial"/>
        </w:rPr>
        <w:fldChar w:fldCharType="end"/>
      </w:r>
      <w:r w:rsidR="00C3715A">
        <w:rPr>
          <w:rFonts w:ascii="Arial" w:hAnsi="Arial" w:cs="Arial"/>
        </w:rPr>
        <w:t xml:space="preserve">. </w:t>
      </w:r>
      <w:r w:rsidR="00E365FF">
        <w:rPr>
          <w:rFonts w:ascii="Arial" w:hAnsi="Arial" w:cs="Arial"/>
        </w:rPr>
        <w:t>There is also a fin</w:t>
      </w:r>
      <w:r w:rsidR="005519BE">
        <w:rPr>
          <w:rFonts w:ascii="Arial" w:hAnsi="Arial" w:cs="Arial"/>
        </w:rPr>
        <w:t>ancial burden imposed on the health care systems</w:t>
      </w:r>
      <w:r w:rsidR="00A8554A">
        <w:rPr>
          <w:rFonts w:ascii="Arial" w:hAnsi="Arial" w:cs="Arial"/>
        </w:rPr>
        <w:t xml:space="preserve"> </w:t>
      </w:r>
      <w:r w:rsidR="00DC2A00">
        <w:rPr>
          <w:rFonts w:ascii="Arial" w:hAnsi="Arial" w:cs="Arial"/>
        </w:rPr>
        <w:t>worldwide</w:t>
      </w:r>
      <w:r w:rsidR="005519BE">
        <w:rPr>
          <w:rFonts w:ascii="Arial" w:hAnsi="Arial" w:cs="Arial"/>
        </w:rPr>
        <w:t>. In recent years o</w:t>
      </w:r>
      <w:r w:rsidR="00E365FF">
        <w:rPr>
          <w:rFonts w:ascii="Arial" w:hAnsi="Arial" w:cs="Arial"/>
        </w:rPr>
        <w:t xml:space="preserve">steoporotic fractures at the wrist, spine and hip </w:t>
      </w:r>
      <w:r w:rsidR="00697F8E">
        <w:rPr>
          <w:rFonts w:ascii="Arial" w:hAnsi="Arial" w:cs="Arial"/>
        </w:rPr>
        <w:t>cost</w:t>
      </w:r>
      <w:r w:rsidR="00E365FF">
        <w:rPr>
          <w:rFonts w:ascii="Arial" w:hAnsi="Arial" w:cs="Arial"/>
        </w:rPr>
        <w:t xml:space="preserve"> the National Health Service £1.7 billion per year</w:t>
      </w:r>
      <w:r w:rsidR="00697F8E">
        <w:rPr>
          <w:rFonts w:ascii="Arial" w:hAnsi="Arial" w:cs="Arial"/>
        </w:rPr>
        <w:t xml:space="preserve"> to treat and manage</w:t>
      </w:r>
      <w:r w:rsidR="00E365FF">
        <w:rPr>
          <w:rFonts w:ascii="Arial" w:hAnsi="Arial" w:cs="Arial"/>
        </w:rPr>
        <w:t xml:space="preserve"> </w:t>
      </w:r>
      <w:r w:rsidR="00E365FF">
        <w:rPr>
          <w:rFonts w:ascii="Arial" w:hAnsi="Arial" w:cs="Arial"/>
        </w:rPr>
        <w:fldChar w:fldCharType="begin"/>
      </w:r>
      <w:r w:rsidR="00F013B6">
        <w:rPr>
          <w:rFonts w:ascii="Arial" w:hAnsi="Arial" w:cs="Arial"/>
        </w:rPr>
        <w:instrText xml:space="preserve"> ADDIN EN.CITE &lt;EndNote&gt;&lt;Cite&gt;&lt;Author&gt;Harvey&lt;/Author&gt;&lt;Year&gt;2010&lt;/Year&gt;&lt;RecNum&gt;5&lt;/RecNum&gt;&lt;DisplayText&gt;(8)&lt;/DisplayText&gt;&lt;record&gt;&lt;rec-number&gt;5&lt;/rec-number&gt;&lt;foreign-keys&gt;&lt;key app="EN" db-id="p9a5ttsvyvde9me5aw2x05fp5p55axf0wr90" timestamp="1417714991"&gt;5&lt;/key&gt;&lt;/foreign-keys&gt;&lt;ref-type name="Journal Article"&gt;17&lt;/ref-type&gt;&lt;contributors&gt;&lt;authors&gt;&lt;author&gt;Harvey, Nicholas&lt;/author&gt;&lt;author&gt;Dennison, Elaine&lt;/author&gt;&lt;author&gt;Cooper, Cyrus&lt;/author&gt;&lt;/authors&gt;&lt;/contributors&gt;&lt;titles&gt;&lt;title&gt;Osteoporosis: impact on health and economics&lt;/title&gt;&lt;secondary-title&gt;Nat Rev Rheumatol&lt;/secondary-title&gt;&lt;/titles&gt;&lt;periodical&gt;&lt;full-title&gt;Nat Rev Rheumatol&lt;/full-title&gt;&lt;/periodical&gt;&lt;pages&gt;99-105&lt;/pages&gt;&lt;volume&gt;6&lt;/volume&gt;&lt;number&gt;2&lt;/number&gt;&lt;dates&gt;&lt;year&gt;2010&lt;/year&gt;&lt;pub-dates&gt;&lt;date&gt;02//print&lt;/date&gt;&lt;/pub-dates&gt;&lt;/dates&gt;&lt;publisher&gt;Nature Publishing Group&lt;/publisher&gt;&lt;isbn&gt;1759-4790&lt;/isbn&gt;&lt;work-type&gt;10.1038/nrrheum.2009.260&lt;/work-type&gt;&lt;urls&gt;&lt;related-urls&gt;&lt;url&gt;http://dx.doi.org/10.1038/nrrheum.2009.260&lt;/url&gt;&lt;/related-urls&gt;&lt;/urls&gt;&lt;/record&gt;&lt;/Cite&gt;&lt;/EndNote&gt;</w:instrText>
      </w:r>
      <w:r w:rsidR="00E365FF">
        <w:rPr>
          <w:rFonts w:ascii="Arial" w:hAnsi="Arial" w:cs="Arial"/>
        </w:rPr>
        <w:fldChar w:fldCharType="separate"/>
      </w:r>
      <w:r w:rsidR="00F013B6">
        <w:rPr>
          <w:rFonts w:ascii="Arial" w:hAnsi="Arial" w:cs="Arial"/>
          <w:noProof/>
        </w:rPr>
        <w:t>(</w:t>
      </w:r>
      <w:hyperlink w:anchor="_ENREF_8" w:tooltip="Harvey, 2010 #5" w:history="1">
        <w:r w:rsidR="003B725E">
          <w:rPr>
            <w:rFonts w:ascii="Arial" w:hAnsi="Arial" w:cs="Arial"/>
            <w:noProof/>
          </w:rPr>
          <w:t>8</w:t>
        </w:r>
      </w:hyperlink>
      <w:r w:rsidR="00F013B6">
        <w:rPr>
          <w:rFonts w:ascii="Arial" w:hAnsi="Arial" w:cs="Arial"/>
          <w:noProof/>
        </w:rPr>
        <w:t>)</w:t>
      </w:r>
      <w:r w:rsidR="00E365FF">
        <w:rPr>
          <w:rFonts w:ascii="Arial" w:hAnsi="Arial" w:cs="Arial"/>
        </w:rPr>
        <w:fldChar w:fldCharType="end"/>
      </w:r>
      <w:r w:rsidR="00DE574C">
        <w:rPr>
          <w:rFonts w:ascii="Arial" w:hAnsi="Arial" w:cs="Arial"/>
        </w:rPr>
        <w:t>.</w:t>
      </w:r>
    </w:p>
    <w:p w:rsidR="0050501D" w:rsidRDefault="008A000D" w:rsidP="003B725E">
      <w:pPr>
        <w:spacing w:after="0" w:line="360" w:lineRule="auto"/>
        <w:jc w:val="both"/>
        <w:rPr>
          <w:rFonts w:ascii="Arial" w:hAnsi="Arial" w:cs="Arial"/>
        </w:rPr>
      </w:pPr>
      <w:r>
        <w:rPr>
          <w:rFonts w:ascii="Arial" w:hAnsi="Arial" w:cs="Arial"/>
        </w:rPr>
        <w:t>T</w:t>
      </w:r>
      <w:r w:rsidR="0050501D">
        <w:rPr>
          <w:rFonts w:ascii="Arial" w:hAnsi="Arial" w:cs="Arial"/>
        </w:rPr>
        <w:t xml:space="preserve">he World Health Organisation (WHO) have established some guidelines for the </w:t>
      </w:r>
      <w:r>
        <w:rPr>
          <w:rFonts w:ascii="Arial" w:hAnsi="Arial" w:cs="Arial"/>
        </w:rPr>
        <w:t>clinical diagnosis of pos</w:t>
      </w:r>
      <w:r w:rsidR="0050501D">
        <w:rPr>
          <w:rFonts w:ascii="Arial" w:hAnsi="Arial" w:cs="Arial"/>
        </w:rPr>
        <w:t>tmenopausal osteoporosis</w:t>
      </w:r>
      <w:r w:rsidR="00762067">
        <w:rPr>
          <w:rFonts w:ascii="Arial" w:hAnsi="Arial" w:cs="Arial"/>
        </w:rPr>
        <w:t xml:space="preserve"> relative to younger </w:t>
      </w:r>
      <w:r w:rsidR="00A8554A">
        <w:rPr>
          <w:rFonts w:ascii="Arial" w:hAnsi="Arial" w:cs="Arial"/>
        </w:rPr>
        <w:t xml:space="preserve">healthy </w:t>
      </w:r>
      <w:r w:rsidR="00762067">
        <w:rPr>
          <w:rFonts w:ascii="Arial" w:hAnsi="Arial" w:cs="Arial"/>
        </w:rPr>
        <w:t>premenopausal women</w:t>
      </w:r>
      <w:r w:rsidR="007B186D">
        <w:rPr>
          <w:rFonts w:ascii="Arial" w:hAnsi="Arial" w:cs="Arial"/>
        </w:rPr>
        <w:t>: i) n</w:t>
      </w:r>
      <w:r w:rsidR="0050501D">
        <w:rPr>
          <w:rFonts w:ascii="Arial" w:hAnsi="Arial" w:cs="Arial"/>
        </w:rPr>
        <w:t>ormal is a</w:t>
      </w:r>
      <w:r w:rsidR="007B186D">
        <w:rPr>
          <w:rFonts w:ascii="Arial" w:hAnsi="Arial" w:cs="Arial"/>
        </w:rPr>
        <w:t xml:space="preserve"> BMD T-score of +2.5 to -1</w:t>
      </w:r>
      <w:r w:rsidR="00762067">
        <w:rPr>
          <w:rFonts w:ascii="Arial" w:hAnsi="Arial" w:cs="Arial"/>
        </w:rPr>
        <w:t>,</w:t>
      </w:r>
      <w:r w:rsidR="007B186D">
        <w:rPr>
          <w:rFonts w:ascii="Arial" w:hAnsi="Arial" w:cs="Arial"/>
        </w:rPr>
        <w:t xml:space="preserve"> ii) o</w:t>
      </w:r>
      <w:r w:rsidR="0050501D">
        <w:rPr>
          <w:rFonts w:ascii="Arial" w:hAnsi="Arial" w:cs="Arial"/>
        </w:rPr>
        <w:t>steopenia is a BMD T</w:t>
      </w:r>
      <w:r w:rsidR="007B186D">
        <w:rPr>
          <w:rFonts w:ascii="Arial" w:hAnsi="Arial" w:cs="Arial"/>
        </w:rPr>
        <w:t xml:space="preserve">-score between -1 and </w:t>
      </w:r>
      <w:r w:rsidR="00A8554A">
        <w:rPr>
          <w:rFonts w:ascii="Arial" w:hAnsi="Arial" w:cs="Arial"/>
        </w:rPr>
        <w:t>-</w:t>
      </w:r>
      <w:r w:rsidR="007B186D">
        <w:rPr>
          <w:rFonts w:ascii="Arial" w:hAnsi="Arial" w:cs="Arial"/>
        </w:rPr>
        <w:t>2.5 iii) o</w:t>
      </w:r>
      <w:r w:rsidR="0050501D">
        <w:rPr>
          <w:rFonts w:ascii="Arial" w:hAnsi="Arial" w:cs="Arial"/>
        </w:rPr>
        <w:t>steoporosis is a BMD T-score of ≤ -2.5 iv) the presence of a fragility fracture independent of a BMD T-score</w:t>
      </w:r>
      <w:r w:rsidR="00A937B2">
        <w:rPr>
          <w:rFonts w:ascii="Arial" w:hAnsi="Arial" w:cs="Arial"/>
        </w:rPr>
        <w:t xml:space="preserve"> </w:t>
      </w:r>
      <w:r w:rsidR="00A937B2">
        <w:rPr>
          <w:rFonts w:ascii="Arial" w:hAnsi="Arial" w:cs="Arial"/>
        </w:rPr>
        <w:fldChar w:fldCharType="begin"/>
      </w:r>
      <w:r w:rsidR="00F013B6">
        <w:rPr>
          <w:rFonts w:ascii="Arial" w:hAnsi="Arial" w:cs="Arial"/>
        </w:rPr>
        <w:instrText xml:space="preserve"> ADDIN EN.CITE &lt;EndNote&gt;&lt;Cite&gt;&lt;Year&gt;1994&lt;/Year&gt;&lt;RecNum&gt;328&lt;/RecNum&gt;&lt;DisplayText&gt;(9)&lt;/DisplayText&gt;&lt;record&gt;&lt;rec-number&gt;328&lt;/rec-number&gt;&lt;foreign-keys&gt;&lt;key app="EN" db-id="p9a5ttsvyvde9me5aw2x05fp5p55axf0wr90" timestamp="1434720022"&gt;328&lt;/key&gt;&lt;/foreign-keys&gt;&lt;ref-type name="Journal Article"&gt;17&lt;/ref-type&gt;&lt;contributors&gt;&lt;/contributors&gt;&lt;titles&gt;&lt;title&gt;Assessment of fracture risk and its application to screening for postmenopausal osteoporosis. Report of a WHO Study Group&lt;/title&gt;&lt;secondary-title&gt;World Health Organ Tech Rep Ser&lt;/secondary-title&gt;&lt;/titles&gt;&lt;periodical&gt;&lt;full-title&gt;World Health Organ Tech Rep Ser&lt;/full-title&gt;&lt;/periodical&gt;&lt;pages&gt;1-129&lt;/pages&gt;&lt;volume&gt;843&lt;/volume&gt;&lt;edition&gt;1994/01/01&lt;/edition&gt;&lt;keywords&gt;&lt;keyword&gt;Aged&lt;/keyword&gt;&lt;keyword&gt;Bone Density&lt;/keyword&gt;&lt;keyword&gt;Female&lt;/keyword&gt;&lt;keyword&gt;Fractures, Bone/ epidemiology/etiology/prevention &amp;amp; control&lt;/keyword&gt;&lt;keyword&gt;Humans&lt;/keyword&gt;&lt;keyword&gt;Mass Screening/ methods&lt;/keyword&gt;&lt;keyword&gt;Middle Aged&lt;/keyword&gt;&lt;keyword&gt;Osteoporosis, Postmenopausal/ complications/diagnosis/prevention &amp;amp;&lt;/keyword&gt;&lt;keyword&gt;control/therapy&lt;/keyword&gt;&lt;keyword&gt;Risk Factors&lt;/keyword&gt;&lt;keyword&gt;World Health Organization&lt;/keyword&gt;&lt;/keywords&gt;&lt;dates&gt;&lt;year&gt;1994&lt;/year&gt;&lt;/dates&gt;&lt;isbn&gt;0512-3054 (Print)&amp;#xD;0512-3054 (Linking)&lt;/isbn&gt;&lt;accession-num&gt;7941614&lt;/accession-num&gt;&lt;urls&gt;&lt;/urls&gt;&lt;remote-database-provider&gt;NLM&lt;/remote-database-provider&gt;&lt;language&gt;eng&lt;/language&gt;&lt;/record&gt;&lt;/Cite&gt;&lt;/EndNote&gt;</w:instrText>
      </w:r>
      <w:r w:rsidR="00A937B2">
        <w:rPr>
          <w:rFonts w:ascii="Arial" w:hAnsi="Arial" w:cs="Arial"/>
        </w:rPr>
        <w:fldChar w:fldCharType="separate"/>
      </w:r>
      <w:r w:rsidR="00F013B6">
        <w:rPr>
          <w:rFonts w:ascii="Arial" w:hAnsi="Arial" w:cs="Arial"/>
          <w:noProof/>
        </w:rPr>
        <w:t>(</w:t>
      </w:r>
      <w:hyperlink w:anchor="_ENREF_9" w:tooltip=", 1994 #328" w:history="1">
        <w:r w:rsidR="003B725E">
          <w:rPr>
            <w:rFonts w:ascii="Arial" w:hAnsi="Arial" w:cs="Arial"/>
            <w:noProof/>
          </w:rPr>
          <w:t>9</w:t>
        </w:r>
      </w:hyperlink>
      <w:r w:rsidR="00F013B6">
        <w:rPr>
          <w:rFonts w:ascii="Arial" w:hAnsi="Arial" w:cs="Arial"/>
          <w:noProof/>
        </w:rPr>
        <w:t>)</w:t>
      </w:r>
      <w:r w:rsidR="00A937B2">
        <w:rPr>
          <w:rFonts w:ascii="Arial" w:hAnsi="Arial" w:cs="Arial"/>
        </w:rPr>
        <w:fldChar w:fldCharType="end"/>
      </w:r>
      <w:r w:rsidR="008972D0">
        <w:rPr>
          <w:rFonts w:ascii="Arial" w:hAnsi="Arial" w:cs="Arial"/>
        </w:rPr>
        <w:t>, (Figure 1)</w:t>
      </w:r>
      <w:r w:rsidR="0050501D">
        <w:rPr>
          <w:rFonts w:ascii="Arial" w:hAnsi="Arial" w:cs="Arial"/>
        </w:rPr>
        <w:t>.</w:t>
      </w:r>
    </w:p>
    <w:p w:rsidR="00D70E97" w:rsidRDefault="005C68D3" w:rsidP="009143C3">
      <w:pPr>
        <w:spacing w:after="0" w:line="360" w:lineRule="auto"/>
        <w:jc w:val="both"/>
        <w:rPr>
          <w:rFonts w:ascii="Arial" w:hAnsi="Arial" w:cs="Arial"/>
        </w:rPr>
      </w:pPr>
      <w:r>
        <w:rPr>
          <w:rFonts w:ascii="Arial" w:hAnsi="Arial" w:cs="Arial"/>
          <w:noProof/>
          <w:color w:val="C00000"/>
          <w:lang w:eastAsia="zh-CN"/>
        </w:rPr>
        <mc:AlternateContent>
          <mc:Choice Requires="wps">
            <w:drawing>
              <wp:anchor distT="0" distB="0" distL="114300" distR="114300" simplePos="0" relativeHeight="252614144" behindDoc="0" locked="0" layoutInCell="1" allowOverlap="1" wp14:anchorId="1F089491" wp14:editId="27382E7B">
                <wp:simplePos x="0" y="0"/>
                <wp:positionH relativeFrom="column">
                  <wp:posOffset>-230505</wp:posOffset>
                </wp:positionH>
                <wp:positionV relativeFrom="paragraph">
                  <wp:posOffset>165100</wp:posOffset>
                </wp:positionV>
                <wp:extent cx="5857875" cy="2838450"/>
                <wp:effectExtent l="0" t="0" r="28575" b="19050"/>
                <wp:wrapNone/>
                <wp:docPr id="74" name="Rectangle 74"/>
                <wp:cNvGraphicFramePr/>
                <a:graphic xmlns:a="http://schemas.openxmlformats.org/drawingml/2006/main">
                  <a:graphicData uri="http://schemas.microsoft.com/office/word/2010/wordprocessingShape">
                    <wps:wsp>
                      <wps:cNvSpPr/>
                      <wps:spPr>
                        <a:xfrm>
                          <a:off x="0" y="0"/>
                          <a:ext cx="5857875" cy="28384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0F74D" id="Rectangle 74" o:spid="_x0000_s1026" style="position:absolute;margin-left:-18.15pt;margin-top:13pt;width:461.25pt;height:223.5pt;z-index:2526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" filled="f" strokecolor="black [3213]" strokeweight=".5pt"/>
            </w:pict>
          </mc:Fallback>
        </mc:AlternateContent>
      </w:r>
    </w:p>
    <w:p w:rsidR="00E75604" w:rsidRDefault="005C68D3" w:rsidP="00E943C0">
      <w:pPr>
        <w:spacing w:line="360" w:lineRule="auto"/>
        <w:ind w:left="-426"/>
        <w:jc w:val="center"/>
        <w:rPr>
          <w:rFonts w:ascii="Arial" w:hAnsi="Arial" w:cs="Arial"/>
        </w:rPr>
      </w:pPr>
      <w:r>
        <w:rPr>
          <w:noProof/>
          <w:lang w:eastAsia="zh-CN"/>
        </w:rPr>
        <mc:AlternateContent>
          <mc:Choice Requires="wps">
            <w:drawing>
              <wp:anchor distT="0" distB="0" distL="114300" distR="114300" simplePos="0" relativeHeight="252631552" behindDoc="0" locked="0" layoutInCell="1" allowOverlap="1" wp14:anchorId="315BFA2E" wp14:editId="309973DB">
                <wp:simplePos x="0" y="0"/>
                <wp:positionH relativeFrom="column">
                  <wp:posOffset>-57150</wp:posOffset>
                </wp:positionH>
                <wp:positionV relativeFrom="paragraph">
                  <wp:posOffset>2873375</wp:posOffset>
                </wp:positionV>
                <wp:extent cx="5581650" cy="635"/>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a:effectLst/>
                      </wps:spPr>
                      <wps:txbx>
                        <w:txbxContent>
                          <w:p w:rsidR="004166BC" w:rsidRPr="00880155" w:rsidRDefault="004166BC" w:rsidP="00880155">
                            <w:pPr>
                              <w:pStyle w:val="Caption"/>
                              <w:rPr>
                                <w:rFonts w:ascii="Arial" w:hAnsi="Arial" w:cs="Arial"/>
                                <w:b w:val="0"/>
                                <w:noProof/>
                                <w:color w:val="auto"/>
                              </w:rPr>
                            </w:pPr>
                            <w:bookmarkStart w:id="13" w:name="_Toc422736149"/>
                            <w:bookmarkStart w:id="14" w:name="_Toc425167902"/>
                            <w:bookmarkStart w:id="15" w:name="_Toc425419484"/>
                            <w:r w:rsidRPr="00880155">
                              <w:rPr>
                                <w:rFonts w:ascii="Arial" w:hAnsi="Arial" w:cs="Arial"/>
                                <w:b w:val="0"/>
                                <w:color w:val="auto"/>
                              </w:rPr>
                              <w:t xml:space="preserve">Figure </w:t>
                            </w:r>
                            <w:r w:rsidRPr="00880155">
                              <w:rPr>
                                <w:rFonts w:ascii="Arial" w:hAnsi="Arial" w:cs="Arial"/>
                                <w:b w:val="0"/>
                                <w:color w:val="auto"/>
                              </w:rPr>
                              <w:fldChar w:fldCharType="begin"/>
                            </w:r>
                            <w:r w:rsidRPr="00880155">
                              <w:rPr>
                                <w:rFonts w:ascii="Arial" w:hAnsi="Arial" w:cs="Arial"/>
                                <w:b w:val="0"/>
                                <w:color w:val="auto"/>
                              </w:rPr>
                              <w:instrText xml:space="preserve"> SEQ Figure \* ARABIC </w:instrText>
                            </w:r>
                            <w:r w:rsidRPr="00880155">
                              <w:rPr>
                                <w:rFonts w:ascii="Arial" w:hAnsi="Arial" w:cs="Arial"/>
                                <w:b w:val="0"/>
                                <w:color w:val="auto"/>
                              </w:rPr>
                              <w:fldChar w:fldCharType="separate"/>
                            </w:r>
                            <w:r>
                              <w:rPr>
                                <w:rFonts w:ascii="Arial" w:hAnsi="Arial" w:cs="Arial"/>
                                <w:b w:val="0"/>
                                <w:noProof/>
                                <w:color w:val="auto"/>
                              </w:rPr>
                              <w:t>1</w:t>
                            </w:r>
                            <w:r w:rsidRPr="00880155">
                              <w:rPr>
                                <w:rFonts w:ascii="Arial" w:hAnsi="Arial" w:cs="Arial"/>
                                <w:b w:val="0"/>
                                <w:color w:val="auto"/>
                              </w:rPr>
                              <w:fldChar w:fldCharType="end"/>
                            </w:r>
                            <w:r w:rsidRPr="00880155">
                              <w:rPr>
                                <w:rFonts w:ascii="Arial" w:hAnsi="Arial" w:cs="Arial"/>
                                <w:b w:val="0"/>
                                <w:color w:val="auto"/>
                              </w:rPr>
                              <w:t xml:space="preserve">: </w:t>
                            </w:r>
                            <w:r w:rsidRPr="00790DAE">
                              <w:rPr>
                                <w:rFonts w:ascii="Arial" w:hAnsi="Arial" w:cs="Arial"/>
                                <w:b w:val="0"/>
                                <w:color w:val="000000" w:themeColor="text1"/>
                              </w:rPr>
                              <w:t>Dual energy x-ray absorptiometry (DXA</w:t>
                            </w:r>
                            <w:r>
                              <w:rPr>
                                <w:rFonts w:ascii="Arial" w:hAnsi="Arial" w:cs="Arial"/>
                                <w:b w:val="0"/>
                                <w:color w:val="auto"/>
                              </w:rPr>
                              <w:t>)</w:t>
                            </w:r>
                            <w:r w:rsidRPr="00880155">
                              <w:rPr>
                                <w:rFonts w:ascii="Arial" w:hAnsi="Arial" w:cs="Arial"/>
                                <w:b w:val="0"/>
                                <w:color w:val="auto"/>
                              </w:rPr>
                              <w:t xml:space="preserve"> results fo</w:t>
                            </w:r>
                            <w:r>
                              <w:rPr>
                                <w:rFonts w:ascii="Arial" w:hAnsi="Arial" w:cs="Arial"/>
                                <w:b w:val="0"/>
                                <w:color w:val="auto"/>
                              </w:rPr>
                              <w:t>r: (left) normal BMD at the total hip</w:t>
                            </w:r>
                            <w:r w:rsidRPr="00880155">
                              <w:rPr>
                                <w:rFonts w:ascii="Arial" w:hAnsi="Arial" w:cs="Arial"/>
                                <w:b w:val="0"/>
                                <w:color w:val="auto"/>
                              </w:rPr>
                              <w:t xml:space="preserve"> and b)</w:t>
                            </w:r>
                            <w:r>
                              <w:rPr>
                                <w:rFonts w:ascii="Arial" w:hAnsi="Arial" w:cs="Arial"/>
                                <w:b w:val="0"/>
                                <w:color w:val="auto"/>
                              </w:rPr>
                              <w:t xml:space="preserve"> (right)</w:t>
                            </w:r>
                            <w:r w:rsidRPr="00880155">
                              <w:rPr>
                                <w:rFonts w:ascii="Arial" w:hAnsi="Arial" w:cs="Arial"/>
                                <w:b w:val="0"/>
                                <w:color w:val="auto"/>
                              </w:rPr>
                              <w:t xml:space="preserve"> o</w:t>
                            </w:r>
                            <w:r>
                              <w:rPr>
                                <w:rFonts w:ascii="Arial" w:hAnsi="Arial" w:cs="Arial"/>
                                <w:b w:val="0"/>
                                <w:color w:val="auto"/>
                              </w:rPr>
                              <w:t>steoporotic BMD at the total hip</w:t>
                            </w:r>
                            <w:bookmarkEnd w:id="13"/>
                            <w:r>
                              <w:rPr>
                                <w:rFonts w:ascii="Arial" w:hAnsi="Arial" w:cs="Arial"/>
                                <w:b w:val="0"/>
                                <w:color w:val="auto"/>
                              </w:rPr>
                              <w:t>. Images obtained from the Metabolic Bone Centre, Sheffield, UK.</w:t>
                            </w:r>
                            <w:bookmarkEnd w:id="14"/>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15BFA2E" id="_x0000_t202" coordsize="21600,21600" o:spt="202" path="m,l,21600r21600,l21600,xe">
                <v:stroke joinstyle="miter"/>
                <v:path gradientshapeok="t" o:connecttype="rect"/>
              </v:shapetype>
              <v:shape id="Text Box 223" o:spid="_x0000_s1026" type="#_x0000_t202" style="position:absolute;left:0;text-align:left;margin-left:-4.5pt;margin-top:226.25pt;width:439.5pt;height:.05pt;z-index:25263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" stroked="f">
                <v:textbox style="mso-fit-shape-to-text:t" inset="0,0,0,0">
                  <w:txbxContent>
                    <w:p w:rsidR="004166BC" w:rsidRPr="00880155" w:rsidRDefault="004166BC" w:rsidP="00880155">
                      <w:pPr>
                        <w:pStyle w:val="Caption"/>
                        <w:rPr>
                          <w:rFonts w:ascii="Arial" w:hAnsi="Arial" w:cs="Arial"/>
                          <w:b w:val="0"/>
                          <w:noProof/>
                          <w:color w:val="auto"/>
                        </w:rPr>
                      </w:pPr>
                      <w:bookmarkStart w:id="16" w:name="_Toc422736149"/>
                      <w:bookmarkStart w:id="17" w:name="_Toc425167902"/>
                      <w:bookmarkStart w:id="18" w:name="_Toc425419484"/>
                      <w:r w:rsidRPr="00880155">
                        <w:rPr>
                          <w:rFonts w:ascii="Arial" w:hAnsi="Arial" w:cs="Arial"/>
                          <w:b w:val="0"/>
                          <w:color w:val="auto"/>
                        </w:rPr>
                        <w:t xml:space="preserve">Figure </w:t>
                      </w:r>
                      <w:r w:rsidRPr="00880155">
                        <w:rPr>
                          <w:rFonts w:ascii="Arial" w:hAnsi="Arial" w:cs="Arial"/>
                          <w:b w:val="0"/>
                          <w:color w:val="auto"/>
                        </w:rPr>
                        <w:fldChar w:fldCharType="begin"/>
                      </w:r>
                      <w:r w:rsidRPr="00880155">
                        <w:rPr>
                          <w:rFonts w:ascii="Arial" w:hAnsi="Arial" w:cs="Arial"/>
                          <w:b w:val="0"/>
                          <w:color w:val="auto"/>
                        </w:rPr>
                        <w:instrText xml:space="preserve"> SEQ Figure \* ARABIC </w:instrText>
                      </w:r>
                      <w:r w:rsidRPr="00880155">
                        <w:rPr>
                          <w:rFonts w:ascii="Arial" w:hAnsi="Arial" w:cs="Arial"/>
                          <w:b w:val="0"/>
                          <w:color w:val="auto"/>
                        </w:rPr>
                        <w:fldChar w:fldCharType="separate"/>
                      </w:r>
                      <w:r>
                        <w:rPr>
                          <w:rFonts w:ascii="Arial" w:hAnsi="Arial" w:cs="Arial"/>
                          <w:b w:val="0"/>
                          <w:noProof/>
                          <w:color w:val="auto"/>
                        </w:rPr>
                        <w:t>1</w:t>
                      </w:r>
                      <w:r w:rsidRPr="00880155">
                        <w:rPr>
                          <w:rFonts w:ascii="Arial" w:hAnsi="Arial" w:cs="Arial"/>
                          <w:b w:val="0"/>
                          <w:color w:val="auto"/>
                        </w:rPr>
                        <w:fldChar w:fldCharType="end"/>
                      </w:r>
                      <w:r w:rsidRPr="00880155">
                        <w:rPr>
                          <w:rFonts w:ascii="Arial" w:hAnsi="Arial" w:cs="Arial"/>
                          <w:b w:val="0"/>
                          <w:color w:val="auto"/>
                        </w:rPr>
                        <w:t xml:space="preserve">: </w:t>
                      </w:r>
                      <w:r w:rsidRPr="00790DAE">
                        <w:rPr>
                          <w:rFonts w:ascii="Arial" w:hAnsi="Arial" w:cs="Arial"/>
                          <w:b w:val="0"/>
                          <w:color w:val="000000" w:themeColor="text1"/>
                        </w:rPr>
                        <w:t>Dual energy x-ray absorptiometry (DXA</w:t>
                      </w:r>
                      <w:r>
                        <w:rPr>
                          <w:rFonts w:ascii="Arial" w:hAnsi="Arial" w:cs="Arial"/>
                          <w:b w:val="0"/>
                          <w:color w:val="auto"/>
                        </w:rPr>
                        <w:t>)</w:t>
                      </w:r>
                      <w:r w:rsidRPr="00880155">
                        <w:rPr>
                          <w:rFonts w:ascii="Arial" w:hAnsi="Arial" w:cs="Arial"/>
                          <w:b w:val="0"/>
                          <w:color w:val="auto"/>
                        </w:rPr>
                        <w:t xml:space="preserve"> results fo</w:t>
                      </w:r>
                      <w:r>
                        <w:rPr>
                          <w:rFonts w:ascii="Arial" w:hAnsi="Arial" w:cs="Arial"/>
                          <w:b w:val="0"/>
                          <w:color w:val="auto"/>
                        </w:rPr>
                        <w:t>r: (left) normal BMD at the total hip</w:t>
                      </w:r>
                      <w:r w:rsidRPr="00880155">
                        <w:rPr>
                          <w:rFonts w:ascii="Arial" w:hAnsi="Arial" w:cs="Arial"/>
                          <w:b w:val="0"/>
                          <w:color w:val="auto"/>
                        </w:rPr>
                        <w:t xml:space="preserve"> and b)</w:t>
                      </w:r>
                      <w:r>
                        <w:rPr>
                          <w:rFonts w:ascii="Arial" w:hAnsi="Arial" w:cs="Arial"/>
                          <w:b w:val="0"/>
                          <w:color w:val="auto"/>
                        </w:rPr>
                        <w:t xml:space="preserve"> (right)</w:t>
                      </w:r>
                      <w:r w:rsidRPr="00880155">
                        <w:rPr>
                          <w:rFonts w:ascii="Arial" w:hAnsi="Arial" w:cs="Arial"/>
                          <w:b w:val="0"/>
                          <w:color w:val="auto"/>
                        </w:rPr>
                        <w:t xml:space="preserve"> o</w:t>
                      </w:r>
                      <w:r>
                        <w:rPr>
                          <w:rFonts w:ascii="Arial" w:hAnsi="Arial" w:cs="Arial"/>
                          <w:b w:val="0"/>
                          <w:color w:val="auto"/>
                        </w:rPr>
                        <w:t>steoporotic BMD at the total hip</w:t>
                      </w:r>
                      <w:bookmarkEnd w:id="16"/>
                      <w:r>
                        <w:rPr>
                          <w:rFonts w:ascii="Arial" w:hAnsi="Arial" w:cs="Arial"/>
                          <w:b w:val="0"/>
                          <w:color w:val="auto"/>
                        </w:rPr>
                        <w:t>. Images obtained from the Metabolic Bone Centre, Sheffield, UK.</w:t>
                      </w:r>
                      <w:bookmarkEnd w:id="17"/>
                      <w:bookmarkEnd w:id="18"/>
                    </w:p>
                  </w:txbxContent>
                </v:textbox>
              </v:shape>
            </w:pict>
          </mc:Fallback>
        </mc:AlternateContent>
      </w:r>
      <w:r>
        <w:rPr>
          <w:rFonts w:ascii="Arial" w:hAnsi="Arial" w:cs="Arial"/>
          <w:noProof/>
          <w:lang w:eastAsia="zh-CN"/>
        </w:rPr>
        <w:drawing>
          <wp:inline distT="0" distB="0" distL="0" distR="0" wp14:anchorId="09FE546E" wp14:editId="7CF9B874">
            <wp:extent cx="5734050" cy="2728201"/>
            <wp:effectExtent l="0" t="0" r="0" b="0"/>
            <wp:docPr id="18779" name="Picture 18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4050" cy="2728201"/>
                    </a:xfrm>
                    <a:prstGeom prst="rect">
                      <a:avLst/>
                    </a:prstGeom>
                    <a:noFill/>
                  </pic:spPr>
                </pic:pic>
              </a:graphicData>
            </a:graphic>
          </wp:inline>
        </w:drawing>
      </w:r>
    </w:p>
    <w:p w:rsidR="00790DAE" w:rsidRDefault="00790DAE" w:rsidP="009143C3">
      <w:pPr>
        <w:spacing w:line="360" w:lineRule="auto"/>
        <w:jc w:val="both"/>
        <w:rPr>
          <w:rFonts w:ascii="Arial" w:hAnsi="Arial" w:cs="Arial"/>
        </w:rPr>
      </w:pPr>
    </w:p>
    <w:p w:rsidR="001423C2" w:rsidRDefault="00015B24" w:rsidP="009143C3">
      <w:pPr>
        <w:spacing w:line="360" w:lineRule="auto"/>
        <w:jc w:val="both"/>
        <w:rPr>
          <w:rFonts w:ascii="Arial" w:hAnsi="Arial" w:cs="Arial"/>
        </w:rPr>
      </w:pPr>
      <w:r>
        <w:rPr>
          <w:rFonts w:ascii="Arial" w:hAnsi="Arial" w:cs="Arial"/>
        </w:rPr>
        <w:t>In order to understand</w:t>
      </w:r>
      <w:r w:rsidR="001423C2">
        <w:rPr>
          <w:rFonts w:ascii="Arial" w:hAnsi="Arial" w:cs="Arial"/>
        </w:rPr>
        <w:t xml:space="preserve"> the pathophysiology</w:t>
      </w:r>
      <w:r w:rsidR="00E26CE0">
        <w:rPr>
          <w:rFonts w:ascii="Arial" w:hAnsi="Arial" w:cs="Arial"/>
        </w:rPr>
        <w:t xml:space="preserve"> of postmenopausal </w:t>
      </w:r>
      <w:r w:rsidR="00711309">
        <w:rPr>
          <w:rFonts w:ascii="Arial" w:hAnsi="Arial" w:cs="Arial"/>
        </w:rPr>
        <w:t xml:space="preserve">osteoporosis </w:t>
      </w:r>
      <w:r w:rsidR="00E26CE0">
        <w:rPr>
          <w:rFonts w:ascii="Arial" w:hAnsi="Arial" w:cs="Arial"/>
        </w:rPr>
        <w:t xml:space="preserve">and </w:t>
      </w:r>
      <w:r>
        <w:rPr>
          <w:rFonts w:ascii="Arial" w:hAnsi="Arial" w:cs="Arial"/>
        </w:rPr>
        <w:t xml:space="preserve">investigate </w:t>
      </w:r>
      <w:r w:rsidR="00E26CE0">
        <w:rPr>
          <w:rFonts w:ascii="Arial" w:hAnsi="Arial" w:cs="Arial"/>
        </w:rPr>
        <w:t>the effect</w:t>
      </w:r>
      <w:r w:rsidR="00B53F8A">
        <w:rPr>
          <w:rFonts w:ascii="Arial" w:hAnsi="Arial" w:cs="Arial"/>
        </w:rPr>
        <w:t>s of</w:t>
      </w:r>
      <w:r w:rsidR="00E26CE0">
        <w:rPr>
          <w:rFonts w:ascii="Arial" w:hAnsi="Arial" w:cs="Arial"/>
        </w:rPr>
        <w:t xml:space="preserve"> its treatments on bone</w:t>
      </w:r>
      <w:r w:rsidR="00B53F8A">
        <w:rPr>
          <w:rFonts w:ascii="Arial" w:hAnsi="Arial" w:cs="Arial"/>
        </w:rPr>
        <w:t>, it is important to understand</w:t>
      </w:r>
      <w:r w:rsidR="001423C2">
        <w:rPr>
          <w:rFonts w:ascii="Arial" w:hAnsi="Arial" w:cs="Arial"/>
        </w:rPr>
        <w:t xml:space="preserve"> normal bone physiology, cellular activity and bone remodelling</w:t>
      </w:r>
    </w:p>
    <w:p w:rsidR="00B535C2" w:rsidRDefault="00B535C2" w:rsidP="009143C3">
      <w:pPr>
        <w:pStyle w:val="Heading3"/>
        <w:jc w:val="both"/>
      </w:pPr>
      <w:bookmarkStart w:id="16" w:name="_Toc425418891"/>
      <w:r>
        <w:lastRenderedPageBreak/>
        <w:t>Normal bone physiology</w:t>
      </w:r>
      <w:bookmarkEnd w:id="16"/>
    </w:p>
    <w:p w:rsidR="00B26779" w:rsidRPr="001423C2" w:rsidRDefault="00B26779" w:rsidP="003B725E">
      <w:pPr>
        <w:spacing w:line="360" w:lineRule="auto"/>
        <w:jc w:val="both"/>
        <w:rPr>
          <w:rFonts w:ascii="Arial" w:hAnsi="Arial" w:cs="Arial"/>
        </w:rPr>
      </w:pPr>
      <w:r w:rsidRPr="001423C2">
        <w:rPr>
          <w:rFonts w:ascii="Arial" w:hAnsi="Arial" w:cs="Arial"/>
        </w:rPr>
        <w:t>The</w:t>
      </w:r>
      <w:r w:rsidR="00FB0C0E">
        <w:rPr>
          <w:rFonts w:ascii="Arial" w:hAnsi="Arial" w:cs="Arial"/>
        </w:rPr>
        <w:t xml:space="preserve"> average</w:t>
      </w:r>
      <w:r w:rsidRPr="001423C2">
        <w:rPr>
          <w:rFonts w:ascii="Arial" w:hAnsi="Arial" w:cs="Arial"/>
        </w:rPr>
        <w:t xml:space="preserve"> adult human skeleton is compris</w:t>
      </w:r>
      <w:r w:rsidR="00FB0C0E">
        <w:rPr>
          <w:rFonts w:ascii="Arial" w:hAnsi="Arial" w:cs="Arial"/>
        </w:rPr>
        <w:t>ed of about 206</w:t>
      </w:r>
      <w:r w:rsidRPr="001423C2">
        <w:rPr>
          <w:rFonts w:ascii="Arial" w:hAnsi="Arial" w:cs="Arial"/>
        </w:rPr>
        <w:t xml:space="preserve"> bones and </w:t>
      </w:r>
      <w:r w:rsidR="00BB4E2C">
        <w:rPr>
          <w:rFonts w:ascii="Arial" w:hAnsi="Arial" w:cs="Arial"/>
        </w:rPr>
        <w:t xml:space="preserve">it </w:t>
      </w:r>
      <w:r w:rsidRPr="001423C2">
        <w:rPr>
          <w:rFonts w:ascii="Arial" w:hAnsi="Arial" w:cs="Arial"/>
        </w:rPr>
        <w:t>has a variety of vital roles to the body. It i) provides structural support ii) allows movement iii) protects organs and structures iv) maintai</w:t>
      </w:r>
      <w:r w:rsidR="00BB4E2C">
        <w:rPr>
          <w:rFonts w:ascii="Arial" w:hAnsi="Arial" w:cs="Arial"/>
        </w:rPr>
        <w:t>ns mineral homeostasis v) produces and stores</w:t>
      </w:r>
      <w:r w:rsidRPr="001423C2">
        <w:rPr>
          <w:rFonts w:ascii="Arial" w:hAnsi="Arial" w:cs="Arial"/>
        </w:rPr>
        <w:t xml:space="preserve"> blood cells, cytokines, hormones and growth factors and vi) creates a hematopoietic stem cell niche within the bone marrow </w:t>
      </w:r>
      <w:r w:rsidRPr="001423C2">
        <w:rPr>
          <w:rFonts w:ascii="Arial" w:hAnsi="Arial" w:cs="Arial"/>
        </w:rPr>
        <w:fldChar w:fldCharType="begin">
          <w:fldData xml:space="preserve">PEVuZE5vdGU+PENpdGU+PEF1dGhvcj5DbGFya2U8L0F1dGhvcj48WWVhcj4yMDA4PC9ZZWFyPjxS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</w:fldData>
        </w:fldChar>
      </w:r>
      <w:r w:rsidR="00F013B6">
        <w:rPr>
          <w:rFonts w:ascii="Arial" w:hAnsi="Arial" w:cs="Arial"/>
        </w:rPr>
        <w:instrText xml:space="preserve"> ADDIN EN.CITE </w:instrText>
      </w:r>
      <w:r w:rsidR="00F013B6">
        <w:rPr>
          <w:rFonts w:ascii="Arial" w:hAnsi="Arial" w:cs="Arial"/>
        </w:rPr>
        <w:fldChar w:fldCharType="begin">
          <w:fldData xml:space="preserve">PEVuZE5vdGU+PENpdGU+PEF1dGhvcj5DbGFya2U8L0F1dGhvcj48WWVhcj4yMDA4PC9ZZWFyPjxS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</w:fldData>
        </w:fldChar>
      </w:r>
      <w:r w:rsidR="00F013B6">
        <w:rPr>
          <w:rFonts w:ascii="Arial" w:hAnsi="Arial" w:cs="Arial"/>
        </w:rPr>
        <w:instrText xml:space="preserve"> ADDIN EN.CITE.DATA </w:instrText>
      </w:r>
      <w:r w:rsidR="00F013B6">
        <w:rPr>
          <w:rFonts w:ascii="Arial" w:hAnsi="Arial" w:cs="Arial"/>
        </w:rPr>
      </w:r>
      <w:r w:rsidR="00F013B6">
        <w:rPr>
          <w:rFonts w:ascii="Arial" w:hAnsi="Arial" w:cs="Arial"/>
        </w:rPr>
        <w:fldChar w:fldCharType="end"/>
      </w:r>
      <w:r w:rsidRPr="001423C2">
        <w:rPr>
          <w:rFonts w:ascii="Arial" w:hAnsi="Arial" w:cs="Arial"/>
        </w:rPr>
      </w:r>
      <w:r w:rsidRPr="001423C2">
        <w:rPr>
          <w:rFonts w:ascii="Arial" w:hAnsi="Arial" w:cs="Arial"/>
        </w:rPr>
        <w:fldChar w:fldCharType="separate"/>
      </w:r>
      <w:r w:rsidR="00F013B6">
        <w:rPr>
          <w:rFonts w:ascii="Arial" w:hAnsi="Arial" w:cs="Arial"/>
          <w:noProof/>
        </w:rPr>
        <w:t>(</w:t>
      </w:r>
      <w:hyperlink w:anchor="_ENREF_10" w:tooltip="Clarke, 2008 #6" w:history="1">
        <w:r w:rsidR="003B725E">
          <w:rPr>
            <w:rFonts w:ascii="Arial" w:hAnsi="Arial" w:cs="Arial"/>
            <w:noProof/>
          </w:rPr>
          <w:t>10</w:t>
        </w:r>
      </w:hyperlink>
      <w:r w:rsidR="00F013B6">
        <w:rPr>
          <w:rFonts w:ascii="Arial" w:hAnsi="Arial" w:cs="Arial"/>
          <w:noProof/>
        </w:rPr>
        <w:t xml:space="preserve">, </w:t>
      </w:r>
      <w:hyperlink w:anchor="_ENREF_11" w:tooltip="Taichman, 2005 #7" w:history="1">
        <w:r w:rsidR="003B725E">
          <w:rPr>
            <w:rFonts w:ascii="Arial" w:hAnsi="Arial" w:cs="Arial"/>
            <w:noProof/>
          </w:rPr>
          <w:t>11</w:t>
        </w:r>
      </w:hyperlink>
      <w:r w:rsidR="00F013B6">
        <w:rPr>
          <w:rFonts w:ascii="Arial" w:hAnsi="Arial" w:cs="Arial"/>
          <w:noProof/>
        </w:rPr>
        <w:t>)</w:t>
      </w:r>
      <w:r w:rsidRPr="001423C2">
        <w:rPr>
          <w:rFonts w:ascii="Arial" w:hAnsi="Arial" w:cs="Arial"/>
        </w:rPr>
        <w:fldChar w:fldCharType="end"/>
      </w:r>
      <w:r w:rsidR="00BB4E2C">
        <w:rPr>
          <w:rFonts w:ascii="Arial" w:hAnsi="Arial" w:cs="Arial"/>
        </w:rPr>
        <w:t>. The total skeleton</w:t>
      </w:r>
      <w:r w:rsidRPr="001423C2">
        <w:rPr>
          <w:rFonts w:ascii="Arial" w:hAnsi="Arial" w:cs="Arial"/>
        </w:rPr>
        <w:t xml:space="preserve"> </w:t>
      </w:r>
      <w:r w:rsidR="00BB4E2C">
        <w:rPr>
          <w:rFonts w:ascii="Arial" w:hAnsi="Arial" w:cs="Arial"/>
        </w:rPr>
        <w:t xml:space="preserve">is composed from the </w:t>
      </w:r>
      <w:r w:rsidRPr="001423C2">
        <w:rPr>
          <w:rFonts w:ascii="Arial" w:hAnsi="Arial" w:cs="Arial"/>
        </w:rPr>
        <w:t xml:space="preserve">appendicular (limbs, pelvic and pectoral girdles) and </w:t>
      </w:r>
      <w:r w:rsidR="00BB4E2C">
        <w:rPr>
          <w:rFonts w:ascii="Arial" w:hAnsi="Arial" w:cs="Arial"/>
        </w:rPr>
        <w:t xml:space="preserve">the </w:t>
      </w:r>
      <w:r w:rsidRPr="001423C2">
        <w:rPr>
          <w:rFonts w:ascii="Arial" w:hAnsi="Arial" w:cs="Arial"/>
        </w:rPr>
        <w:t>axial (skull, spinal column, sacrum, ribs and sternum) sub-skeletons. It is highly metabolically active and continually undergoes dynamic modelling and remodelling processes in order to adapt to biomechanical forces and to remove old micro-damaged bone and replace it wit</w:t>
      </w:r>
      <w:r w:rsidR="00EF6236">
        <w:rPr>
          <w:rFonts w:ascii="Arial" w:hAnsi="Arial" w:cs="Arial"/>
        </w:rPr>
        <w:t xml:space="preserve">h new bone to restore strength </w:t>
      </w:r>
      <w:r w:rsidR="00EF6236">
        <w:rPr>
          <w:rFonts w:ascii="Arial" w:hAnsi="Arial" w:cs="Arial"/>
        </w:rPr>
        <w:fldChar w:fldCharType="begin"/>
      </w:r>
      <w:r w:rsidR="00EF6236">
        <w:rPr>
          <w:rFonts w:ascii="Arial" w:hAnsi="Arial" w:cs="Arial"/>
        </w:rPr>
        <w:instrText xml:space="preserve"> ADDIN EN.CITE &lt;EndNote&gt;&lt;Cite&gt;&lt;Author&gt;Datta&lt;/Author&gt;&lt;Year&gt;2008&lt;/Year&gt;&lt;RecNum&gt;517&lt;/RecNum&gt;&lt;DisplayText&gt;(12)&lt;/DisplayText&gt;&lt;record&gt;&lt;rec-number&gt;517&lt;/rec-number&gt;&lt;foreign-keys&gt;&lt;key app="EN" db-id="p9a5ttsvyvde9me5aw2x05fp5p55axf0wr90" timestamp="1437386321"&gt;517&lt;/key&gt;&lt;/foreign-keys&gt;&lt;ref-type name="Journal Article"&gt;17&lt;/ref-type&gt;&lt;contributors&gt;&lt;authors&gt;&lt;author&gt;Datta, H. K.&lt;/author&gt;&lt;author&gt;Ng, W. F.&lt;/author&gt;&lt;author&gt;Walker, J. A.&lt;/author&gt;&lt;author&gt;Tuck, S. P.&lt;/author&gt;&lt;author&gt;Varanasi, S. S.&lt;/author&gt;&lt;/authors&gt;&lt;/contributors&gt;&lt;auth-address&gt;Institute of Cellular Medicine, Musculoskeletal Research Group, The Medical School, University of Newcastle, Newcastle upon Tyne, UK. h.k.datta@ncl.ac.uk&lt;/auth-address&gt;&lt;titles&gt;&lt;title&gt;The cell biology of bone metabolism&lt;/title&gt;&lt;secondary-title&gt;J Clin Pathol&lt;/secondary-title&gt;&lt;/titles&gt;&lt;periodical&gt;&lt;full-title&gt;J Clin Pathol&lt;/full-title&gt;&lt;abbr-1&gt;Journal of clinical pathology&lt;/abbr-1&gt;&lt;/periodical&gt;&lt;pages&gt;577-87&lt;/pages&gt;&lt;volume&gt;61&lt;/volume&gt;&lt;number&gt;5&lt;/number&gt;&lt;edition&gt;2008/04/29&lt;/edition&gt;&lt;keywords&gt;&lt;keyword&gt;Bone Remodeling/ physiology&lt;/keyword&gt;&lt;keyword&gt;Bone and Bones/ cytology/immunology/ metabolism&lt;/keyword&gt;&lt;keyword&gt;Cell Differentiation/physiology&lt;/keyword&gt;&lt;keyword&gt;Energy Metabolism&lt;/keyword&gt;&lt;keyword&gt;Humans&lt;/keyword&gt;&lt;keyword&gt;Osteoblasts/physiology&lt;/keyword&gt;&lt;keyword&gt;Osteoclasts/physiology&lt;/keyword&gt;&lt;keyword&gt;Osteocytes/physiology&lt;/keyword&gt;&lt;keyword&gt;Signal Transduction/physiology&lt;/keyword&gt;&lt;/keywords&gt;&lt;dates&gt;&lt;year&gt;2008&lt;/year&gt;&lt;pub-dates&gt;&lt;date&gt;May&lt;/date&gt;&lt;/pub-dates&gt;&lt;/dates&gt;&lt;isbn&gt;1472-4146 (Electronic)&amp;#xD;0021-9746 (Linking)&lt;/isbn&gt;&lt;accession-num&gt;18441154&lt;/accession-num&gt;&lt;urls&gt;&lt;/urls&gt;&lt;electronic-resource-num&gt;10.1136/jcp.2007.048868&lt;/electronic-resource-num&gt;&lt;remote-database-provider&gt;NLM&lt;/remote-database-provider&gt;&lt;language&gt;eng&lt;/language&gt;&lt;/record&gt;&lt;/Cite&gt;&lt;/EndNote&gt;</w:instrText>
      </w:r>
      <w:r w:rsidR="00EF6236">
        <w:rPr>
          <w:rFonts w:ascii="Arial" w:hAnsi="Arial" w:cs="Arial"/>
        </w:rPr>
        <w:fldChar w:fldCharType="separate"/>
      </w:r>
      <w:r w:rsidR="00EF6236">
        <w:rPr>
          <w:rFonts w:ascii="Arial" w:hAnsi="Arial" w:cs="Arial"/>
          <w:noProof/>
        </w:rPr>
        <w:t>(</w:t>
      </w:r>
      <w:hyperlink w:anchor="_ENREF_12" w:tooltip="Datta, 2008 #517" w:history="1">
        <w:r w:rsidR="003B725E">
          <w:rPr>
            <w:rFonts w:ascii="Arial" w:hAnsi="Arial" w:cs="Arial"/>
            <w:noProof/>
          </w:rPr>
          <w:t>12</w:t>
        </w:r>
      </w:hyperlink>
      <w:r w:rsidR="00EF6236">
        <w:rPr>
          <w:rFonts w:ascii="Arial" w:hAnsi="Arial" w:cs="Arial"/>
          <w:noProof/>
        </w:rPr>
        <w:t>)</w:t>
      </w:r>
      <w:r w:rsidR="00EF6236">
        <w:rPr>
          <w:rFonts w:ascii="Arial" w:hAnsi="Arial" w:cs="Arial"/>
        </w:rPr>
        <w:fldChar w:fldCharType="end"/>
      </w:r>
    </w:p>
    <w:p w:rsidR="00B26779" w:rsidRDefault="00B26779" w:rsidP="003B725E">
      <w:pPr>
        <w:spacing w:line="360" w:lineRule="auto"/>
        <w:jc w:val="both"/>
        <w:rPr>
          <w:rFonts w:ascii="Arial" w:hAnsi="Arial" w:cs="Arial"/>
        </w:rPr>
      </w:pPr>
      <w:r w:rsidRPr="00124BE1">
        <w:rPr>
          <w:rFonts w:ascii="Arial" w:hAnsi="Arial" w:cs="Arial"/>
        </w:rPr>
        <w:t>Bone is composed of an organic fibrous collagen matrix and an inorganic alkaline mineral matrix</w:t>
      </w:r>
      <w:r>
        <w:rPr>
          <w:rFonts w:ascii="Arial" w:hAnsi="Arial" w:cs="Arial"/>
        </w:rPr>
        <w:t xml:space="preserve"> </w:t>
      </w:r>
      <w:r>
        <w:rPr>
          <w:rFonts w:ascii="Arial" w:hAnsi="Arial" w:cs="Arial"/>
        </w:rPr>
        <w:fldChar w:fldCharType="begin"/>
      </w:r>
      <w:r w:rsidR="00EF6236">
        <w:rPr>
          <w:rFonts w:ascii="Arial" w:hAnsi="Arial" w:cs="Arial"/>
        </w:rPr>
        <w:instrText xml:space="preserve"> ADDIN EN.CITE &lt;EndNote&gt;&lt;Cite&gt;&lt;Author&gt;Boskey&lt;/Author&gt;&lt;Year&gt;2006&lt;/Year&gt;&lt;RecNum&gt;8&lt;/RecNum&gt;&lt;DisplayText&gt;(13)&lt;/DisplayText&gt;&lt;record&gt;&lt;rec-number&gt;8&lt;/rec-number&gt;&lt;foreign-keys&gt;&lt;key app="EN" db-id="p9a5ttsvyvde9me5aw2x05fp5p55axf0wr90" timestamp="1417714991"&gt;8&lt;/key&gt;&lt;/foreign-keys&gt;&lt;ref-type name="Journal Article"&gt;17&lt;/ref-type&gt;&lt;contributors&gt;&lt;authors&gt;&lt;author&gt;Boskey, A. L.&lt;/author&gt;&lt;/authors&gt;&lt;/contributors&gt;&lt;auth-address&gt;Hospital for Special Surgery, 535 E. 70th Street, New York, NY 10021, USA. Boskeya@hss.edu&lt;/auth-address&gt;&lt;titles&gt;&lt;title&gt;Assessment of bone mineral and matrix using backscatter electron imaging and FTIR imaging&lt;/title&gt;&lt;secondary-title&gt;Curr Osteoporos Rep&lt;/secondary-title&gt;&lt;alt-title&gt;Current osteoporosis reports&lt;/alt-title&gt;&lt;/titles&gt;&lt;periodical&gt;&lt;full-title&gt;Curr Osteoporos Rep&lt;/full-title&gt;&lt;abbr-1&gt;Current osteoporosis reports&lt;/abbr-1&gt;&lt;/periodical&gt;&lt;alt-periodical&gt;&lt;full-title&gt;Curr Osteoporos Rep&lt;/full-title&gt;&lt;abbr-1&gt;Current osteoporosis reports&lt;/abbr-1&gt;&lt;/alt-periodical&gt;&lt;pages&gt;71-5&lt;/pages&gt;&lt;volume&gt;4&lt;/volume&gt;&lt;number&gt;2&lt;/number&gt;&lt;edition&gt;2006/07/11&lt;/edition&gt;&lt;keywords&gt;&lt;keyword&gt;Bone Density/ physiology&lt;/keyword&gt;&lt;keyword&gt;Bone Matrix/ physiology&lt;/keyword&gt;&lt;keyword&gt;Electrons&lt;/keyword&gt;&lt;keyword&gt;Humans&lt;/keyword&gt;&lt;keyword&gt;Microscopy, Electron, Scanning/ methods&lt;/keyword&gt;&lt;keyword&gt;Microscopy, Energy-Filtering Transmission Electron&lt;/keyword&gt;&lt;keyword&gt;Osteoporosis/diagnosis/physiopathology&lt;/keyword&gt;&lt;keyword&gt;Spectroscopy, Fourier Transform Infrared&lt;/keyword&gt;&lt;keyword&gt;Spectrum Analysis, Raman&lt;/keyword&gt;&lt;/keywords&gt;&lt;dates&gt;&lt;year&gt;2006&lt;/year&gt;&lt;pub-dates&gt;&lt;date&gt;Jun&lt;/date&gt;&lt;/pub-dates&gt;&lt;/dates&gt;&lt;isbn&gt;1544-1873 (Print)&amp;#xD;1544-1873 (Linking)&lt;/isbn&gt;&lt;accession-num&gt;16822406&lt;/accession-num&gt;&lt;urls&gt;&lt;/urls&gt;&lt;remote-database-provider&gt;NLM&lt;/remote-database-provider&gt;&lt;language&gt;eng&lt;/language&gt;&lt;/record&gt;&lt;/Cite&gt;&lt;/EndNote&gt;</w:instrText>
      </w:r>
      <w:r>
        <w:rPr>
          <w:rFonts w:ascii="Arial" w:hAnsi="Arial" w:cs="Arial"/>
        </w:rPr>
        <w:fldChar w:fldCharType="separate"/>
      </w:r>
      <w:r w:rsidR="00EF6236">
        <w:rPr>
          <w:rFonts w:ascii="Arial" w:hAnsi="Arial" w:cs="Arial"/>
          <w:noProof/>
        </w:rPr>
        <w:t>(</w:t>
      </w:r>
      <w:hyperlink w:anchor="_ENREF_13" w:tooltip="Boskey, 2006 #8" w:history="1">
        <w:r w:rsidR="003B725E">
          <w:rPr>
            <w:rFonts w:ascii="Arial" w:hAnsi="Arial" w:cs="Arial"/>
            <w:noProof/>
          </w:rPr>
          <w:t>13</w:t>
        </w:r>
      </w:hyperlink>
      <w:r w:rsidR="00EF6236">
        <w:rPr>
          <w:rFonts w:ascii="Arial" w:hAnsi="Arial" w:cs="Arial"/>
          <w:noProof/>
        </w:rPr>
        <w:t>)</w:t>
      </w:r>
      <w:r>
        <w:rPr>
          <w:rFonts w:ascii="Arial" w:hAnsi="Arial" w:cs="Arial"/>
        </w:rPr>
        <w:fldChar w:fldCharType="end"/>
      </w:r>
      <w:r w:rsidRPr="00124BE1">
        <w:rPr>
          <w:rFonts w:ascii="Arial" w:hAnsi="Arial" w:cs="Arial"/>
        </w:rPr>
        <w:t xml:space="preserve">. The organic collagen matrix consists of large structural proteins and smaller non-structural proteins </w:t>
      </w:r>
      <w:r w:rsidRPr="00124BE1">
        <w:rPr>
          <w:rFonts w:ascii="Arial" w:hAnsi="Arial" w:cs="Arial"/>
        </w:rPr>
        <w:fldChar w:fldCharType="begin"/>
      </w:r>
      <w:r w:rsidR="00EF6236">
        <w:rPr>
          <w:rFonts w:ascii="Arial" w:hAnsi="Arial" w:cs="Arial"/>
        </w:rPr>
        <w:instrText xml:space="preserve"> ADDIN EN.CITE &lt;EndNote&gt;&lt;Cite&gt;&lt;Author&gt;Boskey&lt;/Author&gt;&lt;Year&gt;2013&lt;/Year&gt;&lt;RecNum&gt;9&lt;/RecNum&gt;&lt;DisplayText&gt;(14)&lt;/DisplayText&gt;&lt;record&gt;&lt;rec-number&gt;9&lt;/rec-number&gt;&lt;foreign-keys&gt;&lt;key app="EN" db-id="p9a5ttsvyvde9me5aw2x05fp5p55axf0wr90" timestamp="1417714991"&gt;9&lt;/key&gt;&lt;/foreign-keys&gt;&lt;ref-type name="Book Section"&gt;5&lt;/ref-type&gt;&lt;contributors&gt;&lt;authors&gt;&lt;author&gt;Boskey, Adele L.&lt;/author&gt;&lt;author&gt;Robey, Pamela Gehron&lt;/author&gt;&lt;/authors&gt;&lt;/contributors&gt;&lt;titles&gt;&lt;title&gt;The Composition of Bone&lt;/title&gt;&lt;secondary-title&gt;Primer on the Metabolic Bone Diseases and Disorders of Mineral Metabolism&lt;/secondary-title&gt;&lt;/titles&gt;&lt;pages&gt;49-58&lt;/pages&gt;&lt;keywords&gt;&lt;keyword&gt;bone composition&lt;/keyword&gt;&lt;keyword&gt;extracellular matrix (ECM)&lt;/keyword&gt;&lt;keyword&gt;noncollagenous proteins (NCPs)&lt;/keyword&gt;&lt;/keywords&gt;&lt;dates&gt;&lt;year&gt;2013&lt;/year&gt;&lt;/dates&gt;&lt;publisher&gt;John Wiley &amp;amp; Sons, Inc.&lt;/publisher&gt;&lt;isbn&gt;9781118453926&lt;/isbn&gt;&lt;urls&gt;&lt;related-urls&gt;&lt;url&gt;http://dx.doi.org/10.1002/9781118453926.ch6&lt;/url&gt;&lt;/related-urls&gt;&lt;/urls&gt;&lt;electronic-resource-num&gt;10.1002/9781118453926.ch6&lt;/electronic-resource-num&gt;&lt;/record&gt;&lt;/Cite&gt;&lt;/EndNote&gt;</w:instrText>
      </w:r>
      <w:r w:rsidRPr="00124BE1">
        <w:rPr>
          <w:rFonts w:ascii="Arial" w:hAnsi="Arial" w:cs="Arial"/>
        </w:rPr>
        <w:fldChar w:fldCharType="separate"/>
      </w:r>
      <w:r w:rsidR="00EF6236">
        <w:rPr>
          <w:rFonts w:ascii="Arial" w:hAnsi="Arial" w:cs="Arial"/>
          <w:noProof/>
        </w:rPr>
        <w:t>(</w:t>
      </w:r>
      <w:hyperlink w:anchor="_ENREF_14" w:tooltip="Boskey, 2013 #9" w:history="1">
        <w:r w:rsidR="003B725E">
          <w:rPr>
            <w:rFonts w:ascii="Arial" w:hAnsi="Arial" w:cs="Arial"/>
            <w:noProof/>
          </w:rPr>
          <w:t>14</w:t>
        </w:r>
      </w:hyperlink>
      <w:r w:rsidR="00EF6236">
        <w:rPr>
          <w:rFonts w:ascii="Arial" w:hAnsi="Arial" w:cs="Arial"/>
          <w:noProof/>
        </w:rPr>
        <w:t>)</w:t>
      </w:r>
      <w:r w:rsidRPr="00124BE1">
        <w:rPr>
          <w:rFonts w:ascii="Arial" w:hAnsi="Arial" w:cs="Arial"/>
        </w:rPr>
        <w:fldChar w:fldCharType="end"/>
      </w:r>
      <w:r w:rsidRPr="00124BE1">
        <w:rPr>
          <w:rFonts w:ascii="Arial" w:hAnsi="Arial" w:cs="Arial"/>
        </w:rPr>
        <w:t xml:space="preserve">. Type I collagen is the structural component and it makes up 90% of the total protein in bone. The remaining 10% are the smaller </w:t>
      </w:r>
      <w:r>
        <w:rPr>
          <w:rFonts w:ascii="Arial" w:hAnsi="Arial" w:cs="Arial"/>
        </w:rPr>
        <w:t xml:space="preserve">non-collagenous, non-structural proteins. These are classified in to groups, namely: i) proteoglycans ii) glycosylated proteins and iii) γ-carboxylated (gla) proteins. They </w:t>
      </w:r>
      <w:r w:rsidR="00B335E5">
        <w:rPr>
          <w:rFonts w:ascii="Arial" w:hAnsi="Arial" w:cs="Arial"/>
        </w:rPr>
        <w:t xml:space="preserve">control the metabolic activity of the bone cells and </w:t>
      </w:r>
      <w:r>
        <w:rPr>
          <w:rFonts w:ascii="Arial" w:hAnsi="Arial" w:cs="Arial"/>
        </w:rPr>
        <w:t>regulate</w:t>
      </w:r>
      <w:r w:rsidR="00B335E5">
        <w:rPr>
          <w:rFonts w:ascii="Arial" w:hAnsi="Arial" w:cs="Arial"/>
        </w:rPr>
        <w:t xml:space="preserve"> the mineralisation process </w:t>
      </w:r>
      <w:r>
        <w:rPr>
          <w:rFonts w:ascii="Arial" w:hAnsi="Arial" w:cs="Arial"/>
        </w:rPr>
        <w:fldChar w:fldCharType="begin"/>
      </w:r>
      <w:r w:rsidR="00EF6236">
        <w:rPr>
          <w:rFonts w:ascii="Arial" w:hAnsi="Arial" w:cs="Arial"/>
        </w:rPr>
        <w:instrText xml:space="preserve"> ADDIN EN.CITE &lt;EndNote&gt;&lt;Cite&gt;&lt;Author&gt;Bilezikian&lt;/Author&gt;&lt;Year&gt;2001&lt;/Year&gt;&lt;RecNum&gt;10&lt;/RecNum&gt;&lt;DisplayText&gt;(15)&lt;/DisplayText&gt;&lt;record&gt;&lt;rec-number&gt;10&lt;/rec-number&gt;&lt;foreign-keys&gt;&lt;key app="EN" db-id="p9a5ttsvyvde9me5aw2x05fp5p55axf0wr90" timestamp="1417714991"&gt;10&lt;/key&gt;&lt;/foreign-keys&gt;&lt;ref-type name="Book"&gt;6&lt;/ref-type&gt;&lt;contributors&gt;&lt;authors&gt;&lt;author&gt;Bilezikian, J.P.&lt;/author&gt;&lt;author&gt;Raisz, L.G.&lt;/author&gt;&lt;author&gt;Rodan, G.A.&lt;/author&gt;&lt;/authors&gt;&lt;/contributors&gt;&lt;titles&gt;&lt;title&gt;Principles of Bone Biology&lt;/title&gt;&lt;/titles&gt;&lt;dates&gt;&lt;year&gt;2001&lt;/year&gt;&lt;/dates&gt;&lt;publisher&gt;Harcourt Academic&lt;/publisher&gt;&lt;isbn&gt;9780120986521&lt;/isbn&gt;&lt;urls&gt;&lt;related-urls&gt;&lt;url&gt;http://books.google.co.uk/books?id=4yMaa2sAX8UC&lt;/url&gt;&lt;/related-urls&gt;&lt;/urls&gt;&lt;/record&gt;&lt;/Cite&gt;&lt;/EndNote&gt;</w:instrText>
      </w:r>
      <w:r>
        <w:rPr>
          <w:rFonts w:ascii="Arial" w:hAnsi="Arial" w:cs="Arial"/>
        </w:rPr>
        <w:fldChar w:fldCharType="separate"/>
      </w:r>
      <w:r w:rsidR="00EF6236">
        <w:rPr>
          <w:rFonts w:ascii="Arial" w:hAnsi="Arial" w:cs="Arial"/>
          <w:noProof/>
        </w:rPr>
        <w:t>(</w:t>
      </w:r>
      <w:hyperlink w:anchor="_ENREF_15" w:tooltip="Bilezikian, 2001 #10" w:history="1">
        <w:r w:rsidR="003B725E">
          <w:rPr>
            <w:rFonts w:ascii="Arial" w:hAnsi="Arial" w:cs="Arial"/>
            <w:noProof/>
          </w:rPr>
          <w:t>15</w:t>
        </w:r>
      </w:hyperlink>
      <w:r w:rsidR="00EF6236">
        <w:rPr>
          <w:rFonts w:ascii="Arial" w:hAnsi="Arial" w:cs="Arial"/>
          <w:noProof/>
        </w:rPr>
        <w:t>)</w:t>
      </w:r>
      <w:r>
        <w:rPr>
          <w:rFonts w:ascii="Arial" w:hAnsi="Arial" w:cs="Arial"/>
        </w:rPr>
        <w:fldChar w:fldCharType="end"/>
      </w:r>
      <w:r>
        <w:rPr>
          <w:rFonts w:ascii="Arial" w:hAnsi="Arial" w:cs="Arial"/>
        </w:rPr>
        <w:t>.</w:t>
      </w:r>
    </w:p>
    <w:p w:rsidR="00B26779" w:rsidRPr="00802FA5" w:rsidRDefault="00B26779" w:rsidP="003B725E">
      <w:pPr>
        <w:spacing w:line="360" w:lineRule="auto"/>
        <w:jc w:val="both"/>
        <w:rPr>
          <w:rFonts w:ascii="Arial" w:hAnsi="Arial" w:cs="Arial"/>
        </w:rPr>
      </w:pPr>
      <w:r w:rsidRPr="00802FA5">
        <w:rPr>
          <w:rFonts w:ascii="Arial" w:hAnsi="Arial" w:cs="Arial"/>
        </w:rPr>
        <w:t>The inorganic mineral matrix is made up from mainly calcium and phosphorus deposited as tricalcium phosphate salts, ((</w:t>
      </w:r>
      <w:proofErr w:type="gramStart"/>
      <w:r w:rsidRPr="00802FA5">
        <w:rPr>
          <w:rFonts w:ascii="Arial" w:hAnsi="Arial" w:cs="Arial"/>
        </w:rPr>
        <w:t>Ca</w:t>
      </w:r>
      <w:r w:rsidRPr="00802FA5">
        <w:rPr>
          <w:rFonts w:ascii="Arial" w:hAnsi="Arial" w:cs="Arial"/>
          <w:vertAlign w:val="subscript"/>
        </w:rPr>
        <w:t>3</w:t>
      </w:r>
      <w:r w:rsidRPr="00802FA5">
        <w:rPr>
          <w:rFonts w:ascii="Arial" w:hAnsi="Arial" w:cs="Arial"/>
        </w:rPr>
        <w:t>(</w:t>
      </w:r>
      <w:proofErr w:type="gramEnd"/>
      <w:r w:rsidRPr="00802FA5">
        <w:rPr>
          <w:rFonts w:ascii="Arial" w:hAnsi="Arial" w:cs="Arial"/>
        </w:rPr>
        <w:t>PO</w:t>
      </w:r>
      <w:r w:rsidRPr="00802FA5">
        <w:rPr>
          <w:rFonts w:ascii="Arial" w:hAnsi="Arial" w:cs="Arial"/>
          <w:vertAlign w:val="subscript"/>
        </w:rPr>
        <w:t>4</w:t>
      </w:r>
      <w:r w:rsidRPr="00802FA5">
        <w:rPr>
          <w:rFonts w:ascii="Arial" w:hAnsi="Arial" w:cs="Arial"/>
        </w:rPr>
        <w:t>)</w:t>
      </w:r>
      <w:r w:rsidRPr="00802FA5">
        <w:rPr>
          <w:rFonts w:ascii="Arial" w:hAnsi="Arial" w:cs="Arial"/>
          <w:vertAlign w:val="subscript"/>
        </w:rPr>
        <w:t>2</w:t>
      </w:r>
      <w:r w:rsidRPr="00802FA5">
        <w:rPr>
          <w:rFonts w:ascii="Arial" w:hAnsi="Arial" w:cs="Arial"/>
        </w:rPr>
        <w:t>) which is hydroxylised to hydroxyapatite, (Ca</w:t>
      </w:r>
      <w:r w:rsidRPr="00802FA5">
        <w:rPr>
          <w:rFonts w:ascii="Arial" w:hAnsi="Arial" w:cs="Arial"/>
          <w:vertAlign w:val="subscript"/>
        </w:rPr>
        <w:t>10</w:t>
      </w:r>
      <w:r w:rsidRPr="00802FA5">
        <w:rPr>
          <w:rFonts w:ascii="Arial" w:hAnsi="Arial" w:cs="Arial"/>
        </w:rPr>
        <w:t>(PO</w:t>
      </w:r>
      <w:r w:rsidRPr="00802FA5">
        <w:rPr>
          <w:rFonts w:ascii="Arial" w:hAnsi="Arial" w:cs="Arial"/>
          <w:vertAlign w:val="subscript"/>
        </w:rPr>
        <w:t>4</w:t>
      </w:r>
      <w:r w:rsidRPr="00802FA5">
        <w:rPr>
          <w:rFonts w:ascii="Arial" w:hAnsi="Arial" w:cs="Arial"/>
        </w:rPr>
        <w:t>)</w:t>
      </w:r>
      <w:r w:rsidRPr="00802FA5">
        <w:rPr>
          <w:rFonts w:ascii="Arial" w:hAnsi="Arial" w:cs="Arial"/>
          <w:vertAlign w:val="subscript"/>
        </w:rPr>
        <w:t>6</w:t>
      </w:r>
      <w:r w:rsidRPr="00802FA5">
        <w:rPr>
          <w:rFonts w:ascii="Arial" w:hAnsi="Arial" w:cs="Arial"/>
        </w:rPr>
        <w:t>(OH)</w:t>
      </w:r>
      <w:r w:rsidRPr="00802FA5">
        <w:rPr>
          <w:rFonts w:ascii="Arial" w:hAnsi="Arial" w:cs="Arial"/>
          <w:vertAlign w:val="subscript"/>
        </w:rPr>
        <w:t>2</w:t>
      </w:r>
      <w:r w:rsidRPr="00802FA5">
        <w:rPr>
          <w:rFonts w:ascii="Arial" w:hAnsi="Arial" w:cs="Arial"/>
        </w:rPr>
        <w:t xml:space="preserve">) crystals as the bone mineralises </w:t>
      </w:r>
      <w:r w:rsidRPr="00802FA5">
        <w:rPr>
          <w:rFonts w:ascii="Arial" w:hAnsi="Arial" w:cs="Arial"/>
        </w:rPr>
        <w:fldChar w:fldCharType="begin">
          <w:fldData xml:space="preserve">PEVuZE5vdGU+PENpdGU+PEF1dGhvcj5HcnlucGFzPC9BdXRob3I+PFllYXI+MjAwNzwvWWVhcj48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PEVuZE5vdGU+PENpdGU+PEF1dGhvcj5HcnlucGFzPC9BdXRob3I+PFllYXI+MjAwNzwvWWVhcj48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Pr="00802FA5">
        <w:rPr>
          <w:rFonts w:ascii="Arial" w:hAnsi="Arial" w:cs="Arial"/>
        </w:rPr>
      </w:r>
      <w:r w:rsidRPr="00802FA5">
        <w:rPr>
          <w:rFonts w:ascii="Arial" w:hAnsi="Arial" w:cs="Arial"/>
        </w:rPr>
        <w:fldChar w:fldCharType="separate"/>
      </w:r>
      <w:r w:rsidR="00EF6236">
        <w:rPr>
          <w:rFonts w:ascii="Arial" w:hAnsi="Arial" w:cs="Arial"/>
          <w:noProof/>
        </w:rPr>
        <w:t>(</w:t>
      </w:r>
      <w:hyperlink w:anchor="_ENREF_16" w:tooltip="Grynpas, 2007 #11" w:history="1">
        <w:r w:rsidR="003B725E">
          <w:rPr>
            <w:rFonts w:ascii="Arial" w:hAnsi="Arial" w:cs="Arial"/>
            <w:noProof/>
          </w:rPr>
          <w:t>16</w:t>
        </w:r>
      </w:hyperlink>
      <w:r w:rsidR="00EF6236">
        <w:rPr>
          <w:rFonts w:ascii="Arial" w:hAnsi="Arial" w:cs="Arial"/>
          <w:noProof/>
        </w:rPr>
        <w:t xml:space="preserve">, </w:t>
      </w:r>
      <w:hyperlink w:anchor="_ENREF_17" w:tooltip="Dorozhkin, 2010 #12" w:history="1">
        <w:r w:rsidR="003B725E">
          <w:rPr>
            <w:rFonts w:ascii="Arial" w:hAnsi="Arial" w:cs="Arial"/>
            <w:noProof/>
          </w:rPr>
          <w:t>17</w:t>
        </w:r>
      </w:hyperlink>
      <w:r w:rsidR="00EF6236">
        <w:rPr>
          <w:rFonts w:ascii="Arial" w:hAnsi="Arial" w:cs="Arial"/>
          <w:noProof/>
        </w:rPr>
        <w:t>)</w:t>
      </w:r>
      <w:r w:rsidRPr="00802FA5">
        <w:rPr>
          <w:rFonts w:ascii="Arial" w:hAnsi="Arial" w:cs="Arial"/>
        </w:rPr>
        <w:fldChar w:fldCharType="end"/>
      </w:r>
      <w:r w:rsidRPr="00802FA5">
        <w:rPr>
          <w:rFonts w:ascii="Arial" w:hAnsi="Arial" w:cs="Arial"/>
        </w:rPr>
        <w:t xml:space="preserve"> . The hydroxyapatite mineral surrounds the collagen fibre composite and provides strength and resistance and is a source of calcium, phosphorus and magnesium ions that are required for homeostasis </w:t>
      </w:r>
    </w:p>
    <w:p w:rsidR="00B26779" w:rsidRDefault="00B26779" w:rsidP="003B725E">
      <w:pPr>
        <w:spacing w:line="360" w:lineRule="auto"/>
        <w:jc w:val="both"/>
        <w:rPr>
          <w:rFonts w:ascii="Arial" w:hAnsi="Arial" w:cs="Arial"/>
        </w:rPr>
      </w:pPr>
      <w:r>
        <w:rPr>
          <w:rFonts w:ascii="Arial" w:hAnsi="Arial" w:cs="Arial"/>
        </w:rPr>
        <w:t>There are other importa</w:t>
      </w:r>
      <w:r w:rsidR="00B335E5">
        <w:rPr>
          <w:rFonts w:ascii="Arial" w:hAnsi="Arial" w:cs="Arial"/>
        </w:rPr>
        <w:t xml:space="preserve">nt components in bone including; </w:t>
      </w:r>
      <w:r>
        <w:rPr>
          <w:rFonts w:ascii="Arial" w:hAnsi="Arial" w:cs="Arial"/>
        </w:rPr>
        <w:t xml:space="preserve">matrix enzymes </w:t>
      </w:r>
      <w:r>
        <w:rPr>
          <w:rFonts w:ascii="Arial" w:hAnsi="Arial" w:cs="Arial"/>
        </w:rPr>
        <w:fldChar w:fldCharType="begin">
          <w:fldData xml:space="preserve">PEVuZE5vdGU+PENpdGU+PEF1dGhvcj5UcmFja21hbjwvQXV0aG9yPjxZZWFyPjIwMDU8L1llYXI+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==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PEVuZE5vdGU+PENpdGU+PEF1dGhvcj5UcmFja21hbjwvQXV0aG9yPjxZZWFyPjIwMDU8L1llYXI+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==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Pr>
          <w:rFonts w:ascii="Arial" w:hAnsi="Arial" w:cs="Arial"/>
        </w:rPr>
      </w:r>
      <w:r>
        <w:rPr>
          <w:rFonts w:ascii="Arial" w:hAnsi="Arial" w:cs="Arial"/>
        </w:rPr>
        <w:fldChar w:fldCharType="separate"/>
      </w:r>
      <w:r w:rsidR="00EF6236">
        <w:rPr>
          <w:rFonts w:ascii="Arial" w:hAnsi="Arial" w:cs="Arial"/>
          <w:noProof/>
        </w:rPr>
        <w:t>(</w:t>
      </w:r>
      <w:hyperlink w:anchor="_ENREF_18" w:tooltip="Trackman, 2005 #13" w:history="1">
        <w:r w:rsidR="003B725E">
          <w:rPr>
            <w:rFonts w:ascii="Arial" w:hAnsi="Arial" w:cs="Arial"/>
            <w:noProof/>
          </w:rPr>
          <w:t>18</w:t>
        </w:r>
      </w:hyperlink>
      <w:r w:rsidR="00EF6236">
        <w:rPr>
          <w:rFonts w:ascii="Arial" w:hAnsi="Arial" w:cs="Arial"/>
          <w:noProof/>
        </w:rPr>
        <w:t xml:space="preserve">, </w:t>
      </w:r>
      <w:hyperlink w:anchor="_ENREF_19" w:tooltip="Ge, 2006 #14" w:history="1">
        <w:r w:rsidR="003B725E">
          <w:rPr>
            <w:rFonts w:ascii="Arial" w:hAnsi="Arial" w:cs="Arial"/>
            <w:noProof/>
          </w:rPr>
          <w:t>19</w:t>
        </w:r>
      </w:hyperlink>
      <w:r w:rsidR="00EF6236">
        <w:rPr>
          <w:rFonts w:ascii="Arial" w:hAnsi="Arial" w:cs="Arial"/>
          <w:noProof/>
        </w:rPr>
        <w:t>)</w:t>
      </w:r>
      <w:r>
        <w:rPr>
          <w:rFonts w:ascii="Arial" w:hAnsi="Arial" w:cs="Arial"/>
        </w:rPr>
        <w:fldChar w:fldCharType="end"/>
      </w:r>
      <w:r>
        <w:rPr>
          <w:rFonts w:ascii="Arial" w:hAnsi="Arial" w:cs="Arial"/>
        </w:rPr>
        <w:t xml:space="preserve">, water which helps to maintain the structure of type I collagen and controls ion intake, growth factors and lipids </w:t>
      </w:r>
      <w:r>
        <w:rPr>
          <w:rFonts w:ascii="Arial" w:hAnsi="Arial" w:cs="Arial"/>
        </w:rPr>
        <w:fldChar w:fldCharType="begin"/>
      </w:r>
      <w:r w:rsidR="00EF6236">
        <w:rPr>
          <w:rFonts w:ascii="Arial" w:hAnsi="Arial" w:cs="Arial"/>
        </w:rPr>
        <w:instrText xml:space="preserve"> ADDIN EN.CITE &lt;EndNote&gt;&lt;Cite&gt;&lt;Author&gt;Goldberg&lt;/Author&gt;&lt;Year&gt;1996&lt;/Year&gt;&lt;RecNum&gt;15&lt;/RecNum&gt;&lt;DisplayText&gt;(20)&lt;/DisplayText&gt;&lt;record&gt;&lt;rec-number&gt;15&lt;/rec-number&gt;&lt;foreign-keys&gt;&lt;key app="EN" db-id="p9a5ttsvyvde9me5aw2x05fp5p55axf0wr90" timestamp="1417714992"&gt;15&lt;/key&gt;&lt;/foreign-keys&gt;&lt;ref-type name="Journal Article"&gt;17&lt;/ref-type&gt;&lt;contributors&gt;&lt;authors&gt;&lt;author&gt;Goldberg, Michel&lt;/author&gt;&lt;author&gt;Boskey, Adele L.&lt;/author&gt;&lt;/authors&gt;&lt;/contributors&gt;&lt;titles&gt;&lt;title&gt;Lipids and Biomineralizations&lt;/title&gt;&lt;secondary-title&gt;Progress in Histochemistry and Cytochemistry&lt;/secondary-title&gt;&lt;/titles&gt;&lt;periodical&gt;&lt;full-title&gt;Progress in Histochemistry and Cytochemistry&lt;/full-title&gt;&lt;/periodical&gt;&lt;pages&gt;III-187&lt;/pages&gt;&lt;volume&gt;31&lt;/volume&gt;&lt;number&gt;2&lt;/number&gt;&lt;dates&gt;&lt;year&gt;1996&lt;/year&gt;&lt;pub-dates&gt;&lt;date&gt;//&lt;/date&gt;&lt;/pub-dates&gt;&lt;/dates&gt;&lt;isbn&gt;0079-6336&lt;/isbn&gt;&lt;urls&gt;&lt;related-urls&gt;&lt;url&gt;http://www.sciencedirect.com/science/article/pii/S0079633696800118&lt;/url&gt;&lt;/related-urls&gt;&lt;/urls&gt;&lt;electronic-resource-num&gt;http://dx.doi.org/10.1016/S0079-6336(96)80011-8&lt;/electronic-resource-num&gt;&lt;/record&gt;&lt;/Cite&gt;&lt;/EndNote&gt;</w:instrText>
      </w:r>
      <w:r>
        <w:rPr>
          <w:rFonts w:ascii="Arial" w:hAnsi="Arial" w:cs="Arial"/>
        </w:rPr>
        <w:fldChar w:fldCharType="separate"/>
      </w:r>
      <w:r w:rsidR="00EF6236">
        <w:rPr>
          <w:rFonts w:ascii="Arial" w:hAnsi="Arial" w:cs="Arial"/>
          <w:noProof/>
        </w:rPr>
        <w:t>(</w:t>
      </w:r>
      <w:hyperlink w:anchor="_ENREF_20" w:tooltip="Goldberg, 1996 #15" w:history="1">
        <w:r w:rsidR="003B725E">
          <w:rPr>
            <w:rFonts w:ascii="Arial" w:hAnsi="Arial" w:cs="Arial"/>
            <w:noProof/>
          </w:rPr>
          <w:t>20</w:t>
        </w:r>
      </w:hyperlink>
      <w:r w:rsidR="00EF6236">
        <w:rPr>
          <w:rFonts w:ascii="Arial" w:hAnsi="Arial" w:cs="Arial"/>
          <w:noProof/>
        </w:rPr>
        <w:t>)</w:t>
      </w:r>
      <w:r>
        <w:rPr>
          <w:rFonts w:ascii="Arial" w:hAnsi="Arial" w:cs="Arial"/>
        </w:rPr>
        <w:fldChar w:fldCharType="end"/>
      </w:r>
      <w:r>
        <w:rPr>
          <w:rFonts w:ascii="Arial" w:hAnsi="Arial" w:cs="Arial"/>
        </w:rPr>
        <w:t xml:space="preserve">. </w:t>
      </w:r>
    </w:p>
    <w:p w:rsidR="00B26779" w:rsidRPr="00124BE1" w:rsidRDefault="00B26779" w:rsidP="003B725E">
      <w:pPr>
        <w:spacing w:line="360" w:lineRule="auto"/>
        <w:jc w:val="both"/>
        <w:rPr>
          <w:rFonts w:ascii="Arial" w:hAnsi="Arial" w:cs="Arial"/>
        </w:rPr>
      </w:pPr>
      <w:r w:rsidRPr="00124BE1">
        <w:rPr>
          <w:rFonts w:ascii="Arial" w:hAnsi="Arial" w:cs="Arial"/>
        </w:rPr>
        <w:t>The skeleton is made up from t</w:t>
      </w:r>
      <w:r w:rsidR="00B75437">
        <w:rPr>
          <w:rFonts w:ascii="Arial" w:hAnsi="Arial" w:cs="Arial"/>
        </w:rPr>
        <w:t>wo structural bone types; 80</w:t>
      </w:r>
      <w:r w:rsidR="00802FA5">
        <w:rPr>
          <w:rFonts w:ascii="Arial" w:hAnsi="Arial" w:cs="Arial"/>
        </w:rPr>
        <w:t xml:space="preserve">% cortical and </w:t>
      </w:r>
      <w:r w:rsidR="00B75437">
        <w:rPr>
          <w:rFonts w:ascii="Arial" w:hAnsi="Arial" w:cs="Arial"/>
        </w:rPr>
        <w:t>20</w:t>
      </w:r>
      <w:r w:rsidR="00F9589B">
        <w:rPr>
          <w:rFonts w:ascii="Arial" w:hAnsi="Arial" w:cs="Arial"/>
        </w:rPr>
        <w:t>% trabecular</w:t>
      </w:r>
      <w:r w:rsidR="00EF6236">
        <w:rPr>
          <w:rFonts w:ascii="Arial" w:hAnsi="Arial" w:cs="Arial"/>
        </w:rPr>
        <w:t xml:space="preserve"> </w:t>
      </w:r>
      <w:r w:rsidR="00EF6236">
        <w:rPr>
          <w:rFonts w:ascii="Arial" w:hAnsi="Arial" w:cs="Arial"/>
        </w:rPr>
        <w:fldChar w:fldCharType="begin"/>
      </w:r>
      <w:r w:rsidR="00EF6236">
        <w:rPr>
          <w:rFonts w:ascii="Arial" w:hAnsi="Arial" w:cs="Arial"/>
        </w:rPr>
        <w:instrText xml:space="preserve"> ADDIN EN.CITE &lt;EndNote&gt;&lt;Cite&gt;&lt;Author&gt;Seeman&lt;/Author&gt;&lt;Year&gt;2013&lt;/Year&gt;&lt;RecNum&gt;519&lt;/RecNum&gt;&lt;DisplayText&gt;(21)&lt;/DisplayText&gt;&lt;record&gt;&lt;rec-number&gt;519&lt;/rec-number&gt;&lt;foreign-keys&gt;&lt;key app="EN" db-id="p9a5ttsvyvde9me5aw2x05fp5p55axf0wr90" timestamp="1437386873"&gt;519&lt;/key&gt;&lt;/foreign-keys&gt;&lt;ref-type name="Journal Article"&gt;17&lt;/ref-type&gt;&lt;contributors&gt;&lt;authors&gt;&lt;author&gt;Seeman, E.&lt;/author&gt;&lt;/authors&gt;&lt;/contributors&gt;&lt;auth-address&gt;Department of Endocrinology, Level 2, Centaur Building, Repatriation Campus, Austin Health, Waterdale Road, West Heidelberg, VIC 3081, Australia. egos@unimelb.edu.au.&lt;/auth-address&gt;&lt;titles&gt;&lt;title&gt;Age- and menopause-related bone loss compromise cortical and trabecular microstructure&lt;/title&gt;&lt;secondary-title&gt;J Gerontol A Biol Sci Med Sci&lt;/secondary-title&gt;&lt;/titles&gt;&lt;periodical&gt;&lt;full-title&gt;J Gerontol A Biol Sci Med Sci&lt;/full-title&gt;&lt;/periodical&gt;&lt;pages&gt;1218-25&lt;/pages&gt;&lt;volume&gt;68&lt;/volume&gt;&lt;number&gt;10&lt;/number&gt;&lt;edition&gt;2013/07/09&lt;/edition&gt;&lt;keywords&gt;&lt;keyword&gt;Bone Density&lt;/keyword&gt;&lt;keyword&gt;Bone Density Conservation Agents/therapeutic use&lt;/keyword&gt;&lt;keyword&gt;Bone Remodeling&lt;/keyword&gt;&lt;keyword&gt;Bone and Bones/ pathology/physiopathology&lt;/keyword&gt;&lt;keyword&gt;Female&lt;/keyword&gt;&lt;keyword&gt;Haversian System/pathology&lt;/keyword&gt;&lt;keyword&gt;Humans&lt;/keyword&gt;&lt;keyword&gt;Osteoporosis/drug therapy/ pathology/physiopathology&lt;/keyword&gt;&lt;keyword&gt;Osteoporosis, Postmenopausal/drug therapy/ pathology/physiopathology&lt;/keyword&gt;&lt;keyword&gt;Aging&lt;/keyword&gt;&lt;keyword&gt;Bone&lt;/keyword&gt;&lt;keyword&gt;Translational&lt;/keyword&gt;&lt;/keywords&gt;&lt;dates&gt;&lt;year&gt;2013&lt;/year&gt;&lt;pub-dates&gt;&lt;date&gt;Oct&lt;/date&gt;&lt;/pub-dates&gt;&lt;/dates&gt;&lt;isbn&gt;1758-535X (Electronic)&amp;#xD;1079-5006 (Linking)&lt;/isbn&gt;&lt;accession-num&gt;23833200&lt;/accession-num&gt;&lt;urls&gt;&lt;/urls&gt;&lt;electronic-resource-num&gt;10.1093/gerona/glt071&lt;/electronic-resource-num&gt;&lt;remote-database-provider&gt;NLM&lt;/remote-database-provider&gt;&lt;language&gt;eng&lt;/language&gt;&lt;/record&gt;&lt;/Cite&gt;&lt;/EndNote&gt;</w:instrText>
      </w:r>
      <w:r w:rsidR="00EF6236">
        <w:rPr>
          <w:rFonts w:ascii="Arial" w:hAnsi="Arial" w:cs="Arial"/>
        </w:rPr>
        <w:fldChar w:fldCharType="separate"/>
      </w:r>
      <w:r w:rsidR="00EF6236">
        <w:rPr>
          <w:rFonts w:ascii="Arial" w:hAnsi="Arial" w:cs="Arial"/>
          <w:noProof/>
        </w:rPr>
        <w:t>(</w:t>
      </w:r>
      <w:hyperlink w:anchor="_ENREF_21" w:tooltip="Seeman, 2013 #519" w:history="1">
        <w:r w:rsidR="003B725E">
          <w:rPr>
            <w:rFonts w:ascii="Arial" w:hAnsi="Arial" w:cs="Arial"/>
            <w:noProof/>
          </w:rPr>
          <w:t>21</w:t>
        </w:r>
      </w:hyperlink>
      <w:r w:rsidR="00EF6236">
        <w:rPr>
          <w:rFonts w:ascii="Arial" w:hAnsi="Arial" w:cs="Arial"/>
          <w:noProof/>
        </w:rPr>
        <w:t>)</w:t>
      </w:r>
      <w:r w:rsidR="00EF6236">
        <w:rPr>
          <w:rFonts w:ascii="Arial" w:hAnsi="Arial" w:cs="Arial"/>
        </w:rPr>
        <w:fldChar w:fldCharType="end"/>
      </w:r>
      <w:r w:rsidR="00A43C4A">
        <w:rPr>
          <w:rFonts w:ascii="Arial" w:hAnsi="Arial" w:cs="Arial"/>
        </w:rPr>
        <w:t xml:space="preserve">. </w:t>
      </w:r>
      <w:r w:rsidRPr="00124BE1">
        <w:rPr>
          <w:rFonts w:ascii="Arial" w:hAnsi="Arial" w:cs="Arial"/>
        </w:rPr>
        <w:t xml:space="preserve">Cortical bone originates from </w:t>
      </w:r>
      <w:r>
        <w:rPr>
          <w:rFonts w:ascii="Arial" w:hAnsi="Arial" w:cs="Arial"/>
        </w:rPr>
        <w:t>central</w:t>
      </w:r>
      <w:r w:rsidRPr="00124BE1">
        <w:rPr>
          <w:rFonts w:ascii="Arial" w:hAnsi="Arial" w:cs="Arial"/>
        </w:rPr>
        <w:t xml:space="preserve"> lamellae of bone tissue called Haversian systems. These surround the central blood vessels and form a branched network within the bone. The formed bone is</w:t>
      </w:r>
      <w:r w:rsidR="006E4192">
        <w:rPr>
          <w:rFonts w:ascii="Arial" w:hAnsi="Arial" w:cs="Arial"/>
        </w:rPr>
        <w:t xml:space="preserve"> dense with a low surface area and</w:t>
      </w:r>
      <w:r w:rsidRPr="00124BE1">
        <w:rPr>
          <w:rFonts w:ascii="Arial" w:hAnsi="Arial" w:cs="Arial"/>
        </w:rPr>
        <w:t xml:space="preserve"> surrounds the marrow cavity. </w:t>
      </w:r>
      <w:r w:rsidR="006E4192">
        <w:rPr>
          <w:rFonts w:ascii="Arial" w:hAnsi="Arial" w:cs="Arial"/>
        </w:rPr>
        <w:t>Normal c</w:t>
      </w:r>
      <w:r w:rsidRPr="00124BE1">
        <w:rPr>
          <w:rFonts w:ascii="Arial" w:hAnsi="Arial" w:cs="Arial"/>
        </w:rPr>
        <w:t>ortical bone porosity is abou</w:t>
      </w:r>
      <w:r w:rsidR="006E4192">
        <w:rPr>
          <w:rFonts w:ascii="Arial" w:hAnsi="Arial" w:cs="Arial"/>
        </w:rPr>
        <w:t>t less than 5% but</w:t>
      </w:r>
      <w:r w:rsidRPr="00124BE1">
        <w:rPr>
          <w:rFonts w:ascii="Arial" w:hAnsi="Arial" w:cs="Arial"/>
        </w:rPr>
        <w:t xml:space="preserve"> during ageing there is increased metabolic act</w:t>
      </w:r>
      <w:r w:rsidR="006E4192">
        <w:rPr>
          <w:rFonts w:ascii="Arial" w:hAnsi="Arial" w:cs="Arial"/>
        </w:rPr>
        <w:t>ivity causing increased</w:t>
      </w:r>
      <w:r w:rsidRPr="00124BE1">
        <w:rPr>
          <w:rFonts w:ascii="Arial" w:hAnsi="Arial" w:cs="Arial"/>
        </w:rPr>
        <w:t xml:space="preserve"> porosity and thinning. In contrast, trabecular bone is spongy, less dense and has a higher surface area. It is a network of trabeculae separated by bone marrow filled spaces and occupies the centre of long bones, flat bones and the vertebra</w:t>
      </w:r>
      <w:r w:rsidR="00EF6236">
        <w:rPr>
          <w:rFonts w:ascii="Arial" w:hAnsi="Arial" w:cs="Arial"/>
        </w:rPr>
        <w:t xml:space="preserve"> </w:t>
      </w:r>
      <w:r w:rsidR="00EF6236">
        <w:rPr>
          <w:rFonts w:ascii="Arial" w:hAnsi="Arial" w:cs="Arial"/>
        </w:rPr>
        <w:fldChar w:fldCharType="begin"/>
      </w:r>
      <w:r w:rsidR="00EF6236">
        <w:rPr>
          <w:rFonts w:ascii="Arial" w:hAnsi="Arial" w:cs="Arial"/>
        </w:rPr>
        <w:instrText xml:space="preserve"> ADDIN EN.CITE &lt;EndNote&gt;&lt;Cite&gt;&lt;Author&gt;Seeman&lt;/Author&gt;&lt;Year&gt;2013&lt;/Year&gt;&lt;RecNum&gt;519&lt;/RecNum&gt;&lt;DisplayText&gt;(21)&lt;/DisplayText&gt;&lt;record&gt;&lt;rec-number&gt;519&lt;/rec-number&gt;&lt;foreign-keys&gt;&lt;key app="EN" db-id="p9a5ttsvyvde9me5aw2x05fp5p55axf0wr90" timestamp="1437386873"&gt;519&lt;/key&gt;&lt;/foreign-keys&gt;&lt;ref-type name="Journal Article"&gt;17&lt;/ref-type&gt;&lt;contributors&gt;&lt;authors&gt;&lt;author&gt;Seeman, E.&lt;/author&gt;&lt;/authors&gt;&lt;/contributors&gt;&lt;auth-address&gt;Department of Endocrinology, Level 2, Centaur Building, Repatriation Campus, Austin Health, Waterdale Road, West Heidelberg, VIC 3081, Australia. egos@unimelb.edu.au.&lt;/auth-address&gt;&lt;titles&gt;&lt;title&gt;Age- and menopause-related bone loss compromise cortical and trabecular microstructure&lt;/title&gt;&lt;secondary-title&gt;J Gerontol A Biol Sci Med Sci&lt;/secondary-title&gt;&lt;/titles&gt;&lt;periodical&gt;&lt;full-title&gt;J Gerontol A Biol Sci Med Sci&lt;/full-title&gt;&lt;/periodical&gt;&lt;pages&gt;1218-25&lt;/pages&gt;&lt;volume&gt;68&lt;/volume&gt;&lt;number&gt;10&lt;/number&gt;&lt;edition&gt;2013/07/09&lt;/edition&gt;&lt;keywords&gt;&lt;keyword&gt;Bone Density&lt;/keyword&gt;&lt;keyword&gt;Bone Density Conservation Agents/therapeutic use&lt;/keyword&gt;&lt;keyword&gt;Bone Remodeling&lt;/keyword&gt;&lt;keyword&gt;Bone and Bones/ pathology/physiopathology&lt;/keyword&gt;&lt;keyword&gt;Female&lt;/keyword&gt;&lt;keyword&gt;Haversian System/pathology&lt;/keyword&gt;&lt;keyword&gt;Humans&lt;/keyword&gt;&lt;keyword&gt;Osteoporosis/drug therapy/ pathology/physiopathology&lt;/keyword&gt;&lt;keyword&gt;Osteoporosis, Postmenopausal/drug therapy/ pathology/physiopathology&lt;/keyword&gt;&lt;keyword&gt;Aging&lt;/keyword&gt;&lt;keyword&gt;Bone&lt;/keyword&gt;&lt;keyword&gt;Translational&lt;/keyword&gt;&lt;/keywords&gt;&lt;dates&gt;&lt;year&gt;2013&lt;/year&gt;&lt;pub-dates&gt;&lt;date&gt;Oct&lt;/date&gt;&lt;/pub-dates&gt;&lt;/dates&gt;&lt;isbn&gt;1758-535X (Electronic)&amp;#xD;1079-5006 (Linking)&lt;/isbn&gt;&lt;accession-num&gt;23833200&lt;/accession-num&gt;&lt;urls&gt;&lt;/urls&gt;&lt;electronic-resource-num&gt;10.1093/gerona/glt071&lt;/electronic-resource-num&gt;&lt;remote-database-provider&gt;NLM&lt;/remote-database-provider&gt;&lt;language&gt;eng&lt;/language&gt;&lt;/record&gt;&lt;/Cite&gt;&lt;/EndNote&gt;</w:instrText>
      </w:r>
      <w:r w:rsidR="00EF6236">
        <w:rPr>
          <w:rFonts w:ascii="Arial" w:hAnsi="Arial" w:cs="Arial"/>
        </w:rPr>
        <w:fldChar w:fldCharType="separate"/>
      </w:r>
      <w:r w:rsidR="00EF6236">
        <w:rPr>
          <w:rFonts w:ascii="Arial" w:hAnsi="Arial" w:cs="Arial"/>
          <w:noProof/>
        </w:rPr>
        <w:t>(</w:t>
      </w:r>
      <w:hyperlink w:anchor="_ENREF_21" w:tooltip="Seeman, 2013 #519" w:history="1">
        <w:r w:rsidR="003B725E">
          <w:rPr>
            <w:rFonts w:ascii="Arial" w:hAnsi="Arial" w:cs="Arial"/>
            <w:noProof/>
          </w:rPr>
          <w:t>21</w:t>
        </w:r>
      </w:hyperlink>
      <w:r w:rsidR="00EF6236">
        <w:rPr>
          <w:rFonts w:ascii="Arial" w:hAnsi="Arial" w:cs="Arial"/>
          <w:noProof/>
        </w:rPr>
        <w:t>)</w:t>
      </w:r>
      <w:r w:rsidR="00EF6236">
        <w:rPr>
          <w:rFonts w:ascii="Arial" w:hAnsi="Arial" w:cs="Arial"/>
        </w:rPr>
        <w:fldChar w:fldCharType="end"/>
      </w:r>
      <w:r w:rsidR="0021719E">
        <w:rPr>
          <w:rFonts w:ascii="Arial" w:hAnsi="Arial" w:cs="Arial"/>
        </w:rPr>
        <w:t>.</w:t>
      </w:r>
    </w:p>
    <w:p w:rsidR="00F71880" w:rsidRDefault="00B26779" w:rsidP="003B725E">
      <w:pPr>
        <w:spacing w:line="360" w:lineRule="auto"/>
        <w:jc w:val="both"/>
        <w:rPr>
          <w:rFonts w:ascii="Arial" w:hAnsi="Arial" w:cs="Arial"/>
        </w:rPr>
      </w:pPr>
      <w:r w:rsidRPr="00124BE1">
        <w:rPr>
          <w:rFonts w:ascii="Arial" w:hAnsi="Arial" w:cs="Arial"/>
        </w:rPr>
        <w:lastRenderedPageBreak/>
        <w:t xml:space="preserve">The distribution of cortical to trabecular bone varies at different skeletal sites. For example, the vertebra is 25:75 and the femoral head is 50:50 cortical to trabecular bone </w:t>
      </w:r>
      <w:r w:rsidRPr="00124BE1">
        <w:rPr>
          <w:rFonts w:ascii="Arial" w:hAnsi="Arial" w:cs="Arial"/>
        </w:rPr>
        <w:fldChar w:fldCharType="begin">
          <w:fldData xml:space="preserve">PEVuZE5vdGU+PENpdGU+PEF1dGhvcj5DbGFya2U8L0F1dGhvcj48WWVhcj4yMDA4PC9ZZWFyPjxS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</w:fldData>
        </w:fldChar>
      </w:r>
      <w:r w:rsidR="00F013B6">
        <w:rPr>
          <w:rFonts w:ascii="Arial" w:hAnsi="Arial" w:cs="Arial"/>
        </w:rPr>
        <w:instrText xml:space="preserve"> ADDIN EN.CITE </w:instrText>
      </w:r>
      <w:r w:rsidR="00F013B6">
        <w:rPr>
          <w:rFonts w:ascii="Arial" w:hAnsi="Arial" w:cs="Arial"/>
        </w:rPr>
        <w:fldChar w:fldCharType="begin">
          <w:fldData xml:space="preserve">PEVuZE5vdGU+PENpdGU+PEF1dGhvcj5DbGFya2U8L0F1dGhvcj48WWVhcj4yMDA4PC9ZZWFyPjxS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</w:fldData>
        </w:fldChar>
      </w:r>
      <w:r w:rsidR="00F013B6">
        <w:rPr>
          <w:rFonts w:ascii="Arial" w:hAnsi="Arial" w:cs="Arial"/>
        </w:rPr>
        <w:instrText xml:space="preserve"> ADDIN EN.CITE.DATA </w:instrText>
      </w:r>
      <w:r w:rsidR="00F013B6">
        <w:rPr>
          <w:rFonts w:ascii="Arial" w:hAnsi="Arial" w:cs="Arial"/>
        </w:rPr>
      </w:r>
      <w:r w:rsidR="00F013B6">
        <w:rPr>
          <w:rFonts w:ascii="Arial" w:hAnsi="Arial" w:cs="Arial"/>
        </w:rPr>
        <w:fldChar w:fldCharType="end"/>
      </w:r>
      <w:r w:rsidRPr="00124BE1">
        <w:rPr>
          <w:rFonts w:ascii="Arial" w:hAnsi="Arial" w:cs="Arial"/>
        </w:rPr>
      </w:r>
      <w:r w:rsidRPr="00124BE1">
        <w:rPr>
          <w:rFonts w:ascii="Arial" w:hAnsi="Arial" w:cs="Arial"/>
        </w:rPr>
        <w:fldChar w:fldCharType="separate"/>
      </w:r>
      <w:r w:rsidR="00F013B6">
        <w:rPr>
          <w:rFonts w:ascii="Arial" w:hAnsi="Arial" w:cs="Arial"/>
          <w:noProof/>
        </w:rPr>
        <w:t>(</w:t>
      </w:r>
      <w:hyperlink w:anchor="_ENREF_10" w:tooltip="Clarke, 2008 #6" w:history="1">
        <w:r w:rsidR="003B725E">
          <w:rPr>
            <w:rFonts w:ascii="Arial" w:hAnsi="Arial" w:cs="Arial"/>
            <w:noProof/>
          </w:rPr>
          <w:t>10</w:t>
        </w:r>
      </w:hyperlink>
      <w:r w:rsidR="00F013B6">
        <w:rPr>
          <w:rFonts w:ascii="Arial" w:hAnsi="Arial" w:cs="Arial"/>
          <w:noProof/>
        </w:rPr>
        <w:t>)</w:t>
      </w:r>
      <w:r w:rsidRPr="00124BE1">
        <w:rPr>
          <w:rFonts w:ascii="Arial" w:hAnsi="Arial" w:cs="Arial"/>
        </w:rPr>
        <w:fldChar w:fldCharType="end"/>
      </w:r>
      <w:r w:rsidRPr="00124BE1">
        <w:rPr>
          <w:rFonts w:ascii="Arial" w:hAnsi="Arial" w:cs="Arial"/>
        </w:rPr>
        <w:t>. Clinically, these differences are relevant because bone remodelling occurs more rapidly in trabecular bone. Therefore in disease states such as osteoporosis there is increased bone loss</w:t>
      </w:r>
      <w:r>
        <w:rPr>
          <w:rFonts w:ascii="Arial" w:hAnsi="Arial" w:cs="Arial"/>
        </w:rPr>
        <w:t xml:space="preserve"> and fracture risk</w:t>
      </w:r>
      <w:r w:rsidRPr="00124BE1">
        <w:rPr>
          <w:rFonts w:ascii="Arial" w:hAnsi="Arial" w:cs="Arial"/>
        </w:rPr>
        <w:t xml:space="preserve"> at sites where there is more trabecular bone.</w:t>
      </w:r>
    </w:p>
    <w:p w:rsidR="001A5497" w:rsidRDefault="001A5497" w:rsidP="009143C3">
      <w:pPr>
        <w:pStyle w:val="Heading4"/>
        <w:jc w:val="both"/>
      </w:pPr>
      <w:r>
        <w:t>Osteoclasts</w:t>
      </w:r>
      <w:r w:rsidR="0063407D">
        <w:t xml:space="preserve"> and bone resorption</w:t>
      </w:r>
    </w:p>
    <w:p w:rsidR="005B6149" w:rsidRDefault="005B6149" w:rsidP="003B725E">
      <w:pPr>
        <w:spacing w:line="360" w:lineRule="auto"/>
        <w:jc w:val="both"/>
        <w:rPr>
          <w:rFonts w:ascii="Arial" w:hAnsi="Arial" w:cs="Arial"/>
        </w:rPr>
      </w:pPr>
      <w:r w:rsidRPr="00124BE1">
        <w:rPr>
          <w:rFonts w:ascii="Arial" w:hAnsi="Arial" w:cs="Arial"/>
        </w:rPr>
        <w:t xml:space="preserve">Osteoclasts </w:t>
      </w:r>
      <w:r w:rsidR="00A87223">
        <w:rPr>
          <w:rFonts w:ascii="Arial" w:hAnsi="Arial" w:cs="Arial"/>
        </w:rPr>
        <w:t xml:space="preserve">are multinuclear </w:t>
      </w:r>
      <w:r w:rsidRPr="00124BE1">
        <w:rPr>
          <w:rFonts w:ascii="Arial" w:hAnsi="Arial" w:cs="Arial"/>
        </w:rPr>
        <w:t xml:space="preserve">tissue specific </w:t>
      </w:r>
      <w:r w:rsidR="00A87223">
        <w:rPr>
          <w:rFonts w:ascii="Arial" w:hAnsi="Arial" w:cs="Arial"/>
        </w:rPr>
        <w:t xml:space="preserve">specialised </w:t>
      </w:r>
      <w:r w:rsidR="00474EEB">
        <w:rPr>
          <w:rFonts w:ascii="Arial" w:hAnsi="Arial" w:cs="Arial"/>
        </w:rPr>
        <w:t>polykaryon</w:t>
      </w:r>
      <w:r w:rsidR="00A87223">
        <w:rPr>
          <w:rFonts w:ascii="Arial" w:hAnsi="Arial" w:cs="Arial"/>
        </w:rPr>
        <w:t xml:space="preserve"> cells</w:t>
      </w:r>
      <w:r w:rsidR="00474EEB">
        <w:rPr>
          <w:rFonts w:ascii="Arial" w:hAnsi="Arial" w:cs="Arial"/>
        </w:rPr>
        <w:t>,</w:t>
      </w:r>
      <w:r w:rsidR="00382957">
        <w:rPr>
          <w:rFonts w:ascii="Arial" w:hAnsi="Arial" w:cs="Arial"/>
        </w:rPr>
        <w:t xml:space="preserve"> making up 1-2% of all bone cells</w:t>
      </w:r>
      <w:r w:rsidR="00EF6236">
        <w:rPr>
          <w:rFonts w:ascii="Arial" w:hAnsi="Arial" w:cs="Arial"/>
        </w:rPr>
        <w:t xml:space="preserve"> </w:t>
      </w:r>
      <w:r w:rsidR="00EF6236">
        <w:rPr>
          <w:rFonts w:ascii="Arial" w:hAnsi="Arial" w:cs="Arial"/>
        </w:rPr>
        <w:fldChar w:fldCharType="begin"/>
      </w:r>
      <w:r w:rsidR="00EF6236">
        <w:rPr>
          <w:rFonts w:ascii="Arial" w:hAnsi="Arial" w:cs="Arial"/>
        </w:rPr>
        <w:instrText xml:space="preserve"> ADDIN EN.CITE &lt;EndNote&gt;&lt;Cite&gt;&lt;Author&gt;Boyle&lt;/Author&gt;&lt;Year&gt;2003&lt;/Year&gt;&lt;RecNum&gt;23&lt;/RecNum&gt;&lt;DisplayText&gt;(22)&lt;/DisplayText&gt;&lt;record&gt;&lt;rec-number&gt;23&lt;/rec-number&gt;&lt;foreign-keys&gt;&lt;key app="EN" db-id="p9a5ttsvyvde9me5aw2x05fp5p55axf0wr90" timestamp="1417714993"&gt;23&lt;/key&gt;&lt;/foreign-keys&gt;&lt;ref-type name="Journal Article"&gt;17&lt;/ref-type&gt;&lt;contributors&gt;&lt;authors&gt;&lt;author&gt;Boyle, W. J.&lt;/author&gt;&lt;author&gt;Simonet, W. S.&lt;/author&gt;&lt;author&gt;Lacey, D. L.&lt;/author&gt;&lt;/authors&gt;&lt;/contributors&gt;&lt;auth-address&gt;Protein Pathways, Inc., Woodland Hills, California 91367, USA. bboyle@proteinpathways.com&lt;/auth-address&gt;&lt;titles&gt;&lt;title&gt;Osteoclast differentiation and activation&lt;/title&gt;&lt;secondary-title&gt;Nature&lt;/secondary-title&gt;&lt;alt-title&gt;Nature&lt;/alt-title&gt;&lt;/titles&gt;&lt;periodical&gt;&lt;full-title&gt;Nature&lt;/full-title&gt;&lt;abbr-1&gt;Nature&lt;/abbr-1&gt;&lt;/periodical&gt;&lt;alt-periodical&gt;&lt;full-title&gt;Nature&lt;/full-title&gt;&lt;abbr-1&gt;Nature&lt;/abbr-1&gt;&lt;/alt-periodical&gt;&lt;pages&gt;337-42&lt;/pages&gt;&lt;volume&gt;423&lt;/volume&gt;&lt;number&gt;6937&lt;/number&gt;&lt;edition&gt;2003/05/16&lt;/edition&gt;&lt;keywords&gt;&lt;keyword&gt;Animals&lt;/keyword&gt;&lt;keyword&gt;Bone Resorption&lt;/keyword&gt;&lt;keyword&gt;Carrier Proteins/metabolism&lt;/keyword&gt;&lt;keyword&gt;Cell Differentiation&lt;/keyword&gt;&lt;keyword&gt;Glycoproteins/metabolism&lt;/keyword&gt;&lt;keyword&gt;Humans&lt;/keyword&gt;&lt;keyword&gt;Membrane Glycoproteins/metabolism&lt;/keyword&gt;&lt;keyword&gt;Osteoclasts/ cytology/ metabolism&lt;/keyword&gt;&lt;keyword&gt;Osteoporosis/drug therapy/metabolism&lt;/keyword&gt;&lt;keyword&gt;Osteoprotegerin&lt;/keyword&gt;&lt;keyword&gt;RANK Ligand&lt;/keyword&gt;&lt;keyword&gt;Receptor Activator of Nuclear Factor-kappa B&lt;/keyword&gt;&lt;keyword&gt;Receptors, Cytoplasmic and Nuclear/metabolism&lt;/keyword&gt;&lt;keyword&gt;Receptors, Tumor Necrosis Factor&lt;/keyword&gt;&lt;keyword&gt;Signal Transduction&lt;/keyword&gt;&lt;/keywords&gt;&lt;dates&gt;&lt;year&gt;2003&lt;/year&gt;&lt;pub-dates&gt;&lt;date&gt;May 15&lt;/date&gt;&lt;/pub-dates&gt;&lt;/dates&gt;&lt;isbn&gt;0028-0836 (Print)&amp;#xD;0028-0836 (Linking)&lt;/isbn&gt;&lt;accession-num&gt;12748652&lt;/accession-num&gt;&lt;urls&gt;&lt;/urls&gt;&lt;electronic-resource-num&gt;10.1038/nature01658&lt;/electronic-resource-num&gt;&lt;remote-database-provider&gt;NLM&lt;/remote-database-provider&gt;&lt;language&gt;eng&lt;/language&gt;&lt;/record&gt;&lt;/Cite&gt;&lt;/EndNote&gt;</w:instrText>
      </w:r>
      <w:r w:rsidR="00EF6236">
        <w:rPr>
          <w:rFonts w:ascii="Arial" w:hAnsi="Arial" w:cs="Arial"/>
        </w:rPr>
        <w:fldChar w:fldCharType="separate"/>
      </w:r>
      <w:r w:rsidR="00EF6236">
        <w:rPr>
          <w:rFonts w:ascii="Arial" w:hAnsi="Arial" w:cs="Arial"/>
          <w:noProof/>
        </w:rPr>
        <w:t>(</w:t>
      </w:r>
      <w:hyperlink w:anchor="_ENREF_22" w:tooltip="Boyle, 2003 #23" w:history="1">
        <w:r w:rsidR="003B725E">
          <w:rPr>
            <w:rFonts w:ascii="Arial" w:hAnsi="Arial" w:cs="Arial"/>
            <w:noProof/>
          </w:rPr>
          <w:t>22</w:t>
        </w:r>
      </w:hyperlink>
      <w:r w:rsidR="00EF6236">
        <w:rPr>
          <w:rFonts w:ascii="Arial" w:hAnsi="Arial" w:cs="Arial"/>
          <w:noProof/>
        </w:rPr>
        <w:t>)</w:t>
      </w:r>
      <w:r w:rsidR="00EF6236">
        <w:rPr>
          <w:rFonts w:ascii="Arial" w:hAnsi="Arial" w:cs="Arial"/>
        </w:rPr>
        <w:fldChar w:fldCharType="end"/>
      </w:r>
      <w:r w:rsidR="00382957">
        <w:rPr>
          <w:rFonts w:ascii="Arial" w:hAnsi="Arial" w:cs="Arial"/>
        </w:rPr>
        <w:t>. They are</w:t>
      </w:r>
      <w:r w:rsidRPr="00124BE1">
        <w:rPr>
          <w:rFonts w:ascii="Arial" w:hAnsi="Arial" w:cs="Arial"/>
        </w:rPr>
        <w:t xml:space="preserve"> responsible for the resorption of mineralised bone</w:t>
      </w:r>
      <w:r w:rsidR="006652A5">
        <w:rPr>
          <w:rFonts w:ascii="Arial" w:hAnsi="Arial" w:cs="Arial"/>
        </w:rPr>
        <w:t>, (Figure 2</w:t>
      </w:r>
      <w:r w:rsidR="0021719E">
        <w:rPr>
          <w:rFonts w:ascii="Arial" w:hAnsi="Arial" w:cs="Arial"/>
        </w:rPr>
        <w:t>)</w:t>
      </w:r>
      <w:r w:rsidR="00C26FD9">
        <w:rPr>
          <w:rFonts w:ascii="Arial" w:hAnsi="Arial" w:cs="Arial"/>
        </w:rPr>
        <w:t xml:space="preserve">. </w:t>
      </w:r>
      <w:r w:rsidRPr="00124BE1">
        <w:rPr>
          <w:rFonts w:ascii="Arial" w:hAnsi="Arial" w:cs="Arial"/>
        </w:rPr>
        <w:t>They originate from the myeloid progenitor cell population which is common to the monocyte/macrophage lineages</w:t>
      </w:r>
      <w:r w:rsidR="006652A5">
        <w:rPr>
          <w:rFonts w:ascii="Arial" w:hAnsi="Arial" w:cs="Arial"/>
        </w:rPr>
        <w:t>, (Figure 3)</w:t>
      </w:r>
      <w:r w:rsidRPr="00124BE1">
        <w:rPr>
          <w:rFonts w:ascii="Arial" w:hAnsi="Arial" w:cs="Arial"/>
        </w:rPr>
        <w:t xml:space="preserve">. Once the hematopoietic stem cells in the bone marrow commit to the myeloid lineage, the progenitors proliferate and differentiate into the osteoclast precursor lineage and other cell lineages </w:t>
      </w:r>
      <w:r w:rsidRPr="00124BE1">
        <w:rPr>
          <w:rFonts w:ascii="Arial" w:hAnsi="Arial" w:cs="Arial"/>
        </w:rPr>
        <w:fldChar w:fldCharType="begin"/>
      </w:r>
      <w:r w:rsidR="00EF6236">
        <w:rPr>
          <w:rFonts w:ascii="Arial" w:hAnsi="Arial" w:cs="Arial"/>
        </w:rPr>
        <w:instrText xml:space="preserve"> ADDIN EN.CITE &lt;EndNote&gt;&lt;Cite&gt;&lt;Author&gt;Akashi&lt;/Author&gt;&lt;Year&gt;2000&lt;/Year&gt;&lt;RecNum&gt;16&lt;/RecNum&gt;&lt;DisplayText&gt;(23)&lt;/DisplayText&gt;&lt;record&gt;&lt;rec-number&gt;16&lt;/rec-number&gt;&lt;foreign-keys&gt;&lt;key app="EN" db-id="p9a5ttsvyvde9me5aw2x05fp5p55axf0wr90" timestamp="1417714992"&gt;16&lt;/key&gt;&lt;/foreign-keys&gt;&lt;ref-type name="Journal Article"&gt;17&lt;/ref-type&gt;&lt;contributors&gt;&lt;authors&gt;&lt;author&gt;Akashi, K.&lt;/author&gt;&lt;author&gt;Traver, D.&lt;/author&gt;&lt;author&gt;Miyamoto, T.&lt;/author&gt;&lt;author&gt;Weissman, I. L.&lt;/author&gt;&lt;/authors&gt;&lt;/contributors&gt;&lt;auth-address&gt;Department of Pathology, Stanford University School of Medicine, California 94305, USA. akashi@leland.stanford.edu&lt;/auth-address&gt;&lt;titles&gt;&lt;title&gt;A clonogenic common myeloid progenitor that gives rise to all myeloid lineages&lt;/title&gt;&lt;secondary-title&gt;Nature&lt;/secondary-title&gt;&lt;alt-title&gt;Nature&lt;/alt-title&gt;&lt;/titles&gt;&lt;periodical&gt;&lt;full-title&gt;Nature&lt;/full-title&gt;&lt;abbr-1&gt;Nature&lt;/abbr-1&gt;&lt;/periodical&gt;&lt;alt-periodical&gt;&lt;full-title&gt;Nature&lt;/full-title&gt;&lt;abbr-1&gt;Nature&lt;/abbr-1&gt;&lt;/alt-periodical&gt;&lt;pages&gt;193-7&lt;/pages&gt;&lt;volume&gt;404&lt;/volume&gt;&lt;number&gt;6774&lt;/number&gt;&lt;edition&gt;2000/03/21&lt;/edition&gt;&lt;keywords&gt;&lt;keyword&gt;Animals&lt;/keyword&gt;&lt;keyword&gt;Antigens, Differentiation/analysis&lt;/keyword&gt;&lt;keyword&gt;Cell Differentiation&lt;/keyword&gt;&lt;keyword&gt;Cell Lineage&lt;/keyword&gt;&lt;keyword&gt;Cells, Cultured&lt;/keyword&gt;&lt;keyword&gt;Clone Cells&lt;/keyword&gt;&lt;keyword&gt;Hematopoiesis&lt;/keyword&gt;&lt;keyword&gt;Hematopoietic Stem Cells/ cytology&lt;/keyword&gt;&lt;keyword&gt;Lymphocyte Subsets/cytology&lt;/keyword&gt;&lt;keyword&gt;Lymphocyte Transfusion&lt;/keyword&gt;&lt;keyword&gt;Lymphocytes/ cytology&lt;/keyword&gt;&lt;keyword&gt;Macrophages/cytology&lt;/keyword&gt;&lt;keyword&gt;Megakaryocytes/cytology&lt;/keyword&gt;&lt;keyword&gt;Mice&lt;/keyword&gt;&lt;keyword&gt;Mice, Inbred C57BL&lt;/keyword&gt;&lt;keyword&gt;Receptors, Interleukin-7/metabolism&lt;/keyword&gt;&lt;/keywords&gt;&lt;dates&gt;&lt;year&gt;2000&lt;/year&gt;&lt;pub-dates&gt;&lt;date&gt;Mar 9&lt;/date&gt;&lt;/pub-dates&gt;&lt;/dates&gt;&lt;isbn&gt;0028-0836 (Print)&amp;#xD;0028-0836 (Linking)&lt;/isbn&gt;&lt;accession-num&gt;10724173&lt;/accession-num&gt;&lt;urls&gt;&lt;/urls&gt;&lt;electronic-resource-num&gt;10.1038/35004599&lt;/electronic-resource-num&gt;&lt;remote-database-provider&gt;NLM&lt;/remote-database-provider&gt;&lt;language&gt;eng&lt;/language&gt;&lt;/record&gt;&lt;/Cite&gt;&lt;/EndNote&gt;</w:instrText>
      </w:r>
      <w:r w:rsidRPr="00124BE1">
        <w:rPr>
          <w:rFonts w:ascii="Arial" w:hAnsi="Arial" w:cs="Arial"/>
        </w:rPr>
        <w:fldChar w:fldCharType="separate"/>
      </w:r>
      <w:r w:rsidR="00EF6236">
        <w:rPr>
          <w:rFonts w:ascii="Arial" w:hAnsi="Arial" w:cs="Arial"/>
          <w:noProof/>
        </w:rPr>
        <w:t>(</w:t>
      </w:r>
      <w:hyperlink w:anchor="_ENREF_23" w:tooltip="Akashi, 2000 #16" w:history="1">
        <w:r w:rsidR="003B725E">
          <w:rPr>
            <w:rFonts w:ascii="Arial" w:hAnsi="Arial" w:cs="Arial"/>
            <w:noProof/>
          </w:rPr>
          <w:t>23</w:t>
        </w:r>
      </w:hyperlink>
      <w:r w:rsidR="00EF6236">
        <w:rPr>
          <w:rFonts w:ascii="Arial" w:hAnsi="Arial" w:cs="Arial"/>
          <w:noProof/>
        </w:rPr>
        <w:t>)</w:t>
      </w:r>
      <w:r w:rsidRPr="00124BE1">
        <w:rPr>
          <w:rFonts w:ascii="Arial" w:hAnsi="Arial" w:cs="Arial"/>
        </w:rPr>
        <w:fldChar w:fldCharType="end"/>
      </w:r>
      <w:r w:rsidRPr="00124BE1">
        <w:rPr>
          <w:rFonts w:ascii="Arial" w:hAnsi="Arial" w:cs="Arial"/>
        </w:rPr>
        <w:t xml:space="preserve">. Human studies have shown that osteoclast precursor cells are present in the CD14+ monocyte cell population </w:t>
      </w:r>
      <w:r w:rsidRPr="00124BE1">
        <w:rPr>
          <w:rFonts w:ascii="Arial" w:hAnsi="Arial" w:cs="Arial"/>
        </w:rPr>
        <w:fldChar w:fldCharType="begin">
          <w:fldData xml:space="preserve">PEVuZE5vdGU+PENpdGU+PEF1dGhvcj5DbGFuY2h5PC9BdXRob3I+PFllYXI+MjAwNjwvWWVhcj48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YWw+PHBhZ2VzPjI1MjctMzQ8L3BhZ2VzPjx2b2x1bWU+NzQ8L3ZvbHVtZT48bnVtYmVyPjc8L251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PEVuZE5vdGU+PENpdGU+PEF1dGhvcj5DbGFuY2h5PC9BdXRob3I+PFllYXI+MjAwNjwvWWVhcj48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YWw+PHBhZ2VzPjI1MjctMzQ8L3BhZ2VzPjx2b2x1bWU+NzQ8L3ZvbHVtZT48bnVtYmVyPjc8L251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124BE1">
        <w:rPr>
          <w:rFonts w:ascii="Arial" w:hAnsi="Arial" w:cs="Arial"/>
        </w:rPr>
      </w:r>
      <w:r w:rsidRPr="00124BE1">
        <w:rPr>
          <w:rFonts w:ascii="Arial" w:hAnsi="Arial" w:cs="Arial"/>
        </w:rPr>
        <w:fldChar w:fldCharType="separate"/>
      </w:r>
      <w:r w:rsidR="00EF6236">
        <w:rPr>
          <w:rFonts w:ascii="Arial" w:hAnsi="Arial" w:cs="Arial"/>
          <w:noProof/>
        </w:rPr>
        <w:t>(</w:t>
      </w:r>
      <w:hyperlink w:anchor="_ENREF_24" w:tooltip="Clanchy, 2006 #414" w:history="1">
        <w:r w:rsidR="003B725E">
          <w:rPr>
            <w:rFonts w:ascii="Arial" w:hAnsi="Arial" w:cs="Arial"/>
            <w:noProof/>
          </w:rPr>
          <w:t>24</w:t>
        </w:r>
      </w:hyperlink>
      <w:r w:rsidR="00EF6236">
        <w:rPr>
          <w:rFonts w:ascii="Arial" w:hAnsi="Arial" w:cs="Arial"/>
          <w:noProof/>
        </w:rPr>
        <w:t xml:space="preserve">, </w:t>
      </w:r>
      <w:hyperlink w:anchor="_ENREF_25" w:tooltip="Passlick, 1989 #18" w:history="1">
        <w:r w:rsidR="003B725E">
          <w:rPr>
            <w:rFonts w:ascii="Arial" w:hAnsi="Arial" w:cs="Arial"/>
            <w:noProof/>
          </w:rPr>
          <w:t>25</w:t>
        </w:r>
      </w:hyperlink>
      <w:r w:rsidR="00EF6236">
        <w:rPr>
          <w:rFonts w:ascii="Arial" w:hAnsi="Arial" w:cs="Arial"/>
          <w:noProof/>
        </w:rPr>
        <w:t>)</w:t>
      </w:r>
      <w:r w:rsidRPr="00124BE1">
        <w:rPr>
          <w:rFonts w:ascii="Arial" w:hAnsi="Arial" w:cs="Arial"/>
        </w:rPr>
        <w:fldChar w:fldCharType="end"/>
      </w:r>
      <w:r w:rsidRPr="00124BE1">
        <w:rPr>
          <w:rFonts w:ascii="Arial" w:hAnsi="Arial" w:cs="Arial"/>
        </w:rPr>
        <w:t xml:space="preserve">. Osteoclast precursor cells enter the circulation as quiescent cells and migrate to the site of bone resorption where </w:t>
      </w:r>
      <w:r w:rsidR="00474EEB">
        <w:rPr>
          <w:rFonts w:ascii="Arial" w:hAnsi="Arial" w:cs="Arial"/>
        </w:rPr>
        <w:t xml:space="preserve">they differentiate in to mature, </w:t>
      </w:r>
      <w:r w:rsidRPr="00124BE1">
        <w:rPr>
          <w:rFonts w:ascii="Arial" w:hAnsi="Arial" w:cs="Arial"/>
        </w:rPr>
        <w:t>active</w:t>
      </w:r>
      <w:r w:rsidR="00474EEB">
        <w:rPr>
          <w:rFonts w:ascii="Arial" w:hAnsi="Arial" w:cs="Arial"/>
        </w:rPr>
        <w:t xml:space="preserve"> and</w:t>
      </w:r>
      <w:r w:rsidRPr="00124BE1">
        <w:rPr>
          <w:rFonts w:ascii="Arial" w:hAnsi="Arial" w:cs="Arial"/>
        </w:rPr>
        <w:t xml:space="preserve"> </w:t>
      </w:r>
      <w:r w:rsidR="00474EEB">
        <w:rPr>
          <w:rFonts w:ascii="Arial" w:hAnsi="Arial" w:cs="Arial"/>
        </w:rPr>
        <w:t xml:space="preserve">multinucleated </w:t>
      </w:r>
      <w:r w:rsidRPr="00124BE1">
        <w:rPr>
          <w:rFonts w:ascii="Arial" w:hAnsi="Arial" w:cs="Arial"/>
        </w:rPr>
        <w:t xml:space="preserve">osteoclasts </w:t>
      </w:r>
      <w:r w:rsidRPr="00124BE1">
        <w:rPr>
          <w:rFonts w:ascii="Arial" w:hAnsi="Arial" w:cs="Arial"/>
        </w:rPr>
        <w:fldChar w:fldCharType="begin">
          <w:fldData xml:space="preserve">PEVuZE5vdGU+PENpdGU+PEF1dGhvcj5LaG9zbGE8L0F1dGhvcj48WWVhcj4yMDA4PC9ZZWFyPjxS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PEVuZE5vdGU+PENpdGU+PEF1dGhvcj5LaG9zbGE8L0F1dGhvcj48WWVhcj4yMDA4PC9ZZWFyPjxS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Pr="00124BE1">
        <w:rPr>
          <w:rFonts w:ascii="Arial" w:hAnsi="Arial" w:cs="Arial"/>
        </w:rPr>
      </w:r>
      <w:r w:rsidRPr="00124BE1">
        <w:rPr>
          <w:rFonts w:ascii="Arial" w:hAnsi="Arial" w:cs="Arial"/>
        </w:rPr>
        <w:fldChar w:fldCharType="separate"/>
      </w:r>
      <w:r w:rsidR="00EF6236">
        <w:rPr>
          <w:rFonts w:ascii="Arial" w:hAnsi="Arial" w:cs="Arial"/>
          <w:noProof/>
        </w:rPr>
        <w:t>(</w:t>
      </w:r>
      <w:hyperlink w:anchor="_ENREF_26" w:tooltip="Khosla, 2008 #19" w:history="1">
        <w:r w:rsidR="003B725E">
          <w:rPr>
            <w:rFonts w:ascii="Arial" w:hAnsi="Arial" w:cs="Arial"/>
            <w:noProof/>
          </w:rPr>
          <w:t>26</w:t>
        </w:r>
      </w:hyperlink>
      <w:r w:rsidR="00EF6236">
        <w:rPr>
          <w:rFonts w:ascii="Arial" w:hAnsi="Arial" w:cs="Arial"/>
          <w:noProof/>
        </w:rPr>
        <w:t xml:space="preserve">, </w:t>
      </w:r>
      <w:hyperlink w:anchor="_ENREF_27" w:tooltip="Muto, 2011 #20" w:history="1">
        <w:r w:rsidR="003B725E">
          <w:rPr>
            <w:rFonts w:ascii="Arial" w:hAnsi="Arial" w:cs="Arial"/>
            <w:noProof/>
          </w:rPr>
          <w:t>27</w:t>
        </w:r>
      </w:hyperlink>
      <w:r w:rsidR="00EF6236">
        <w:rPr>
          <w:rFonts w:ascii="Arial" w:hAnsi="Arial" w:cs="Arial"/>
          <w:noProof/>
        </w:rPr>
        <w:t>)</w:t>
      </w:r>
      <w:r w:rsidRPr="00124BE1">
        <w:rPr>
          <w:rFonts w:ascii="Arial" w:hAnsi="Arial" w:cs="Arial"/>
        </w:rPr>
        <w:fldChar w:fldCharType="end"/>
      </w:r>
      <w:r w:rsidRPr="00124BE1">
        <w:rPr>
          <w:rFonts w:ascii="Arial" w:hAnsi="Arial" w:cs="Arial"/>
        </w:rPr>
        <w:t>.</w:t>
      </w:r>
      <w:r w:rsidR="00A87223">
        <w:rPr>
          <w:rFonts w:ascii="Arial" w:hAnsi="Arial" w:cs="Arial"/>
        </w:rPr>
        <w:t xml:space="preserve">  </w:t>
      </w:r>
    </w:p>
    <w:p w:rsidR="00C26FD9" w:rsidRDefault="00EC0B3C" w:rsidP="009143C3">
      <w:pPr>
        <w:keepNext/>
        <w:spacing w:line="360" w:lineRule="auto"/>
        <w:jc w:val="center"/>
      </w:pPr>
      <w:r>
        <w:rPr>
          <w:noProof/>
          <w:lang w:eastAsia="zh-CN"/>
        </w:rPr>
        <w:drawing>
          <wp:inline distT="0" distB="0" distL="0" distR="0" wp14:anchorId="132638B3" wp14:editId="3C59D690">
            <wp:extent cx="4124325" cy="3091660"/>
            <wp:effectExtent l="0" t="0" r="0" b="0"/>
            <wp:docPr id="18704" name="Picture 1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34308" cy="3099143"/>
                    </a:xfrm>
                    <a:prstGeom prst="rect">
                      <a:avLst/>
                    </a:prstGeom>
                    <a:noFill/>
                  </pic:spPr>
                </pic:pic>
              </a:graphicData>
            </a:graphic>
          </wp:inline>
        </w:drawing>
      </w:r>
    </w:p>
    <w:p w:rsidR="00C26FD9" w:rsidRPr="00B53F8A" w:rsidRDefault="00C26FD9" w:rsidP="009143C3">
      <w:pPr>
        <w:pStyle w:val="Caption"/>
        <w:jc w:val="both"/>
        <w:rPr>
          <w:rFonts w:ascii="Arial" w:hAnsi="Arial" w:cs="Arial"/>
          <w:b w:val="0"/>
          <w:color w:val="000000" w:themeColor="text1"/>
        </w:rPr>
      </w:pPr>
      <w:bookmarkStart w:id="17" w:name="_Toc425419485"/>
      <w:r w:rsidRPr="00820D16">
        <w:rPr>
          <w:rFonts w:ascii="Arial" w:hAnsi="Arial" w:cs="Arial"/>
          <w:b w:val="0"/>
          <w:color w:val="000000" w:themeColor="text1"/>
        </w:rPr>
        <w:t xml:space="preserve">Figure </w:t>
      </w:r>
      <w:r w:rsidRPr="00820D16">
        <w:rPr>
          <w:rFonts w:ascii="Arial" w:hAnsi="Arial" w:cs="Arial"/>
          <w:b w:val="0"/>
          <w:color w:val="000000" w:themeColor="text1"/>
        </w:rPr>
        <w:fldChar w:fldCharType="begin"/>
      </w:r>
      <w:r w:rsidRPr="00820D16">
        <w:rPr>
          <w:rFonts w:ascii="Arial" w:hAnsi="Arial" w:cs="Arial"/>
          <w:b w:val="0"/>
          <w:color w:val="000000" w:themeColor="text1"/>
        </w:rPr>
        <w:instrText xml:space="preserve"> SEQ Figure \* ARABIC </w:instrText>
      </w:r>
      <w:r w:rsidRPr="00820D16">
        <w:rPr>
          <w:rFonts w:ascii="Arial" w:hAnsi="Arial" w:cs="Arial"/>
          <w:b w:val="0"/>
          <w:color w:val="000000" w:themeColor="text1"/>
        </w:rPr>
        <w:fldChar w:fldCharType="separate"/>
      </w:r>
      <w:r w:rsidR="0040369A">
        <w:rPr>
          <w:rFonts w:ascii="Arial" w:hAnsi="Arial" w:cs="Arial"/>
          <w:b w:val="0"/>
          <w:noProof/>
          <w:color w:val="000000" w:themeColor="text1"/>
        </w:rPr>
        <w:t>2</w:t>
      </w:r>
      <w:r w:rsidRPr="00820D16">
        <w:rPr>
          <w:rFonts w:ascii="Arial" w:hAnsi="Arial" w:cs="Arial"/>
          <w:b w:val="0"/>
          <w:color w:val="000000" w:themeColor="text1"/>
        </w:rPr>
        <w:fldChar w:fldCharType="end"/>
      </w:r>
      <w:r w:rsidRPr="00820D16">
        <w:rPr>
          <w:rFonts w:ascii="Arial" w:hAnsi="Arial" w:cs="Arial"/>
          <w:b w:val="0"/>
          <w:color w:val="000000" w:themeColor="text1"/>
        </w:rPr>
        <w:t xml:space="preserve">: </w:t>
      </w:r>
      <w:r w:rsidR="00820D16" w:rsidRPr="00820D16">
        <w:rPr>
          <w:rFonts w:ascii="Arial" w:hAnsi="Arial" w:cs="Arial"/>
          <w:b w:val="0"/>
          <w:color w:val="000000" w:themeColor="text1"/>
        </w:rPr>
        <w:t>Human m</w:t>
      </w:r>
      <w:r w:rsidR="00EC0B3C" w:rsidRPr="00820D16">
        <w:rPr>
          <w:rFonts w:ascii="Arial" w:hAnsi="Arial" w:cs="Arial"/>
          <w:b w:val="0"/>
          <w:color w:val="000000" w:themeColor="text1"/>
        </w:rPr>
        <w:t>ultinucleated mature osteoclasts on the eroded surface of a bone pore</w:t>
      </w:r>
      <w:r w:rsidR="00820D16" w:rsidRPr="00820D16">
        <w:rPr>
          <w:rFonts w:ascii="Arial" w:hAnsi="Arial" w:cs="Arial"/>
          <w:b w:val="0"/>
          <w:color w:val="000000" w:themeColor="text1"/>
        </w:rPr>
        <w:t>. Goldner’s trichrome, 40x magnification. Image obtained from the Bone Analysis Laboratory, University of Sheffield, UK</w:t>
      </w:r>
      <w:bookmarkEnd w:id="17"/>
    </w:p>
    <w:p w:rsidR="00B765DA" w:rsidRDefault="005B6149" w:rsidP="003B725E">
      <w:pPr>
        <w:spacing w:line="360" w:lineRule="auto"/>
        <w:jc w:val="both"/>
        <w:rPr>
          <w:rFonts w:ascii="Arial" w:hAnsi="Arial" w:cs="Arial"/>
        </w:rPr>
      </w:pPr>
      <w:r w:rsidRPr="00124BE1">
        <w:rPr>
          <w:rFonts w:ascii="Arial" w:hAnsi="Arial" w:cs="Arial"/>
        </w:rPr>
        <w:t xml:space="preserve">The formation of active resorbing osteoclasts involves a series of processes: i) the proliferation of osteoclast progenitors; ii) the differentiation of progenitors in to osteoclast precursor cells and iii) the fusion osteoclast precursor cells into multinucleated mature osteoclasts </w:t>
      </w:r>
      <w:r w:rsidRPr="00124BE1">
        <w:rPr>
          <w:rFonts w:ascii="Arial" w:hAnsi="Arial" w:cs="Arial"/>
        </w:rPr>
        <w:fldChar w:fldCharType="begin"/>
      </w:r>
      <w:r w:rsidR="00EF6236">
        <w:rPr>
          <w:rFonts w:ascii="Arial" w:hAnsi="Arial" w:cs="Arial"/>
        </w:rPr>
        <w:instrText xml:space="preserve"> ADDIN EN.CITE &lt;EndNote&gt;&lt;Cite&gt;&lt;Author&gt;Asagiri&lt;/Author&gt;&lt;Year&gt;2007&lt;/Year&gt;&lt;RecNum&gt;21&lt;/RecNum&gt;&lt;DisplayText&gt;(28)&lt;/DisplayText&gt;&lt;record&gt;&lt;rec-number&gt;21&lt;/rec-number&gt;&lt;foreign-keys&gt;&lt;key app="EN" db-id="p9a5ttsvyvde9me5aw2x05fp5p55axf0wr90" timestamp="1417714993"&gt;21&lt;/key&gt;&lt;/foreign-keys&gt;&lt;ref-type name="Journal Article"&gt;17&lt;/ref-type&gt;&lt;contributors&gt;&lt;authors&gt;&lt;author&gt;Asagiri, M.&lt;/author&gt;&lt;author&gt;Takayanagi, H.&lt;/author&gt;&lt;/authors&gt;&lt;/contributors&gt;&lt;auth-address&gt;Department of Cell Signaling, Graduate School, Tokyo Medical and Dental University, Yushima 1-5-45, Tokyo 113-8549, Japan.&lt;/auth-address&gt;&lt;titles&gt;&lt;title&gt;The molecular understanding of osteoclast differentiation&lt;/title&gt;&lt;secondary-title&gt;Bone&lt;/secondary-title&gt;&lt;alt-title&gt;Bone&lt;/alt-title&gt;&lt;/titles&gt;&lt;periodical&gt;&lt;full-title&gt;Bone&lt;/full-title&gt;&lt;abbr-1&gt;Bone&lt;/abbr-1&gt;&lt;/periodical&gt;&lt;alt-periodical&gt;&lt;full-title&gt;Bone&lt;/full-title&gt;&lt;abbr-1&gt;Bone&lt;/abbr-1&gt;&lt;/alt-periodical&gt;&lt;pages&gt;251-64&lt;/pages&gt;&lt;volume&gt;40&lt;/volume&gt;&lt;number&gt;2&lt;/number&gt;&lt;edition&gt;2006/11/14&lt;/edition&gt;&lt;keywords&gt;&lt;keyword&gt;Animals&lt;/keyword&gt;&lt;keyword&gt;Bone Resorption/metabolism/pathology&lt;/keyword&gt;&lt;keyword&gt;Cell Differentiation&lt;/keyword&gt;&lt;keyword&gt;Epigenesis, Genetic&lt;/keyword&gt;&lt;keyword&gt;Humans&lt;/keyword&gt;&lt;keyword&gt;Macrophage Colony-Stimulating Factor/physiology&lt;/keyword&gt;&lt;keyword&gt;NFATC Transcription Factors/physiology&lt;/keyword&gt;&lt;keyword&gt;Osteoclasts/cytology/ physiology&lt;/keyword&gt;&lt;keyword&gt;RANK Ligand/ physiology&lt;/keyword&gt;&lt;keyword&gt;Signal Transduction&lt;/keyword&gt;&lt;keyword&gt;TNF Receptor-Associated Factor 6/physiology&lt;/keyword&gt;&lt;keyword&gt;Transcription Factor AP-1/physiology&lt;/keyword&gt;&lt;keyword&gt;Tumor Necrosis Factor-alpha/physiology&lt;/keyword&gt;&lt;/keywords&gt;&lt;dates&gt;&lt;year&gt;2007&lt;/year&gt;&lt;pub-dates&gt;&lt;date&gt;Feb&lt;/date&gt;&lt;/pub-dates&gt;&lt;/dates&gt;&lt;isbn&gt;8756-3282 (Print)&amp;#xD;1873-2763 (Linking)&lt;/isbn&gt;&lt;accession-num&gt;17098490&lt;/accession-num&gt;&lt;urls&gt;&lt;/urls&gt;&lt;electronic-resource-num&gt;10.1016/j.bone.2006.09.023&lt;/electronic-resource-num&gt;&lt;remote-database-provider&gt;NLM&lt;/remote-database-provider&gt;&lt;language&gt;eng&lt;/language&gt;&lt;/record&gt;&lt;/Cite&gt;&lt;/EndNote&gt;</w:instrText>
      </w:r>
      <w:r w:rsidRPr="00124BE1">
        <w:rPr>
          <w:rFonts w:ascii="Arial" w:hAnsi="Arial" w:cs="Arial"/>
        </w:rPr>
        <w:fldChar w:fldCharType="separate"/>
      </w:r>
      <w:r w:rsidR="00EF6236">
        <w:rPr>
          <w:rFonts w:ascii="Arial" w:hAnsi="Arial" w:cs="Arial"/>
          <w:noProof/>
        </w:rPr>
        <w:t>(</w:t>
      </w:r>
      <w:hyperlink w:anchor="_ENREF_28" w:tooltip="Asagiri, 2007 #21" w:history="1">
        <w:r w:rsidR="003B725E">
          <w:rPr>
            <w:rFonts w:ascii="Arial" w:hAnsi="Arial" w:cs="Arial"/>
            <w:noProof/>
          </w:rPr>
          <w:t>28</w:t>
        </w:r>
      </w:hyperlink>
      <w:r w:rsidR="00EF6236">
        <w:rPr>
          <w:rFonts w:ascii="Arial" w:hAnsi="Arial" w:cs="Arial"/>
          <w:noProof/>
        </w:rPr>
        <w:t>)</w:t>
      </w:r>
      <w:r w:rsidRPr="00124BE1">
        <w:rPr>
          <w:rFonts w:ascii="Arial" w:hAnsi="Arial" w:cs="Arial"/>
        </w:rPr>
        <w:fldChar w:fldCharType="end"/>
      </w:r>
      <w:r w:rsidR="00047236">
        <w:rPr>
          <w:rFonts w:ascii="Arial" w:hAnsi="Arial" w:cs="Arial"/>
        </w:rPr>
        <w:t>, (Figure 3)</w:t>
      </w:r>
      <w:r w:rsidRPr="00124BE1">
        <w:rPr>
          <w:rFonts w:ascii="Arial" w:hAnsi="Arial" w:cs="Arial"/>
        </w:rPr>
        <w:t xml:space="preserve">. </w:t>
      </w:r>
      <w:r w:rsidR="00474EEB">
        <w:rPr>
          <w:rFonts w:ascii="Arial" w:hAnsi="Arial" w:cs="Arial"/>
        </w:rPr>
        <w:t xml:space="preserve">Several cytokines, steroids, </w:t>
      </w:r>
      <w:r w:rsidRPr="00124BE1">
        <w:rPr>
          <w:rFonts w:ascii="Arial" w:hAnsi="Arial" w:cs="Arial"/>
        </w:rPr>
        <w:t xml:space="preserve">hormones </w:t>
      </w:r>
      <w:r w:rsidR="00474EEB">
        <w:rPr>
          <w:rFonts w:ascii="Arial" w:hAnsi="Arial" w:cs="Arial"/>
        </w:rPr>
        <w:t xml:space="preserve">and </w:t>
      </w:r>
      <w:r w:rsidR="00A27DBB">
        <w:rPr>
          <w:rFonts w:ascii="Arial" w:hAnsi="Arial" w:cs="Arial"/>
        </w:rPr>
        <w:t xml:space="preserve">prostaglandins </w:t>
      </w:r>
      <w:r w:rsidRPr="00124BE1">
        <w:rPr>
          <w:rFonts w:ascii="Arial" w:hAnsi="Arial" w:cs="Arial"/>
        </w:rPr>
        <w:t>are involved in regulating the differentiation,</w:t>
      </w:r>
      <w:r w:rsidR="00474EEB">
        <w:rPr>
          <w:rFonts w:ascii="Arial" w:hAnsi="Arial" w:cs="Arial"/>
        </w:rPr>
        <w:t xml:space="preserve"> proliferation,</w:t>
      </w:r>
      <w:r w:rsidRPr="00124BE1">
        <w:rPr>
          <w:rFonts w:ascii="Arial" w:hAnsi="Arial" w:cs="Arial"/>
        </w:rPr>
        <w:t xml:space="preserve"> activation and survival of osteoclasts </w:t>
      </w:r>
      <w:r w:rsidRPr="00124BE1">
        <w:rPr>
          <w:rFonts w:ascii="Arial" w:hAnsi="Arial" w:cs="Arial"/>
        </w:rPr>
        <w:fldChar w:fldCharType="begin">
          <w:fldData xml:space="preserve">PEVuZE5vdGU+PENpdGU+PEF1dGhvcj5OYWthbXVyYTwvQXV0aG9yPjxZZWFyPjIwMTI8L1llYXI+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aW9kaWNhbD48cGFnZXM+MzM3LTQyPC9wYWdlcz48dm9sdW1lPjQyMzwvdm9sdW1lPjxudW1iZXI+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==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PEVuZE5vdGU+PENpdGU+PEF1dGhvcj5OYWthbXVyYTwvQXV0aG9yPjxZZWFyPjIwMTI8L1llYXI+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aW9kaWNhbD48cGFnZXM+MzM3LTQyPC9wYWdlcz48dm9sdW1lPjQyMzwvdm9sdW1lPjxudW1iZXI+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==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Pr="00124BE1">
        <w:rPr>
          <w:rFonts w:ascii="Arial" w:hAnsi="Arial" w:cs="Arial"/>
        </w:rPr>
      </w:r>
      <w:r w:rsidRPr="00124BE1">
        <w:rPr>
          <w:rFonts w:ascii="Arial" w:hAnsi="Arial" w:cs="Arial"/>
        </w:rPr>
        <w:fldChar w:fldCharType="separate"/>
      </w:r>
      <w:r w:rsidR="00EF6236">
        <w:rPr>
          <w:rFonts w:ascii="Arial" w:hAnsi="Arial" w:cs="Arial"/>
          <w:noProof/>
        </w:rPr>
        <w:t>(</w:t>
      </w:r>
      <w:hyperlink w:anchor="_ENREF_22" w:tooltip="Boyle, 2003 #23" w:history="1">
        <w:r w:rsidR="003B725E">
          <w:rPr>
            <w:rFonts w:ascii="Arial" w:hAnsi="Arial" w:cs="Arial"/>
            <w:noProof/>
          </w:rPr>
          <w:t>22</w:t>
        </w:r>
      </w:hyperlink>
      <w:r w:rsidR="00EF6236">
        <w:rPr>
          <w:rFonts w:ascii="Arial" w:hAnsi="Arial" w:cs="Arial"/>
          <w:noProof/>
        </w:rPr>
        <w:t xml:space="preserve">, </w:t>
      </w:r>
      <w:hyperlink w:anchor="_ENREF_29" w:tooltip="Nakamura, 2012 #22" w:history="1">
        <w:r w:rsidR="003B725E">
          <w:rPr>
            <w:rFonts w:ascii="Arial" w:hAnsi="Arial" w:cs="Arial"/>
            <w:noProof/>
          </w:rPr>
          <w:t>29</w:t>
        </w:r>
      </w:hyperlink>
      <w:r w:rsidR="00EF6236">
        <w:rPr>
          <w:rFonts w:ascii="Arial" w:hAnsi="Arial" w:cs="Arial"/>
          <w:noProof/>
        </w:rPr>
        <w:t>)</w:t>
      </w:r>
      <w:r w:rsidRPr="00124BE1">
        <w:rPr>
          <w:rFonts w:ascii="Arial" w:hAnsi="Arial" w:cs="Arial"/>
        </w:rPr>
        <w:fldChar w:fldCharType="end"/>
      </w:r>
      <w:r w:rsidRPr="00124BE1">
        <w:rPr>
          <w:rFonts w:ascii="Arial" w:hAnsi="Arial" w:cs="Arial"/>
        </w:rPr>
        <w:t>. These include macrophage colony-stimulating factor (M-CSF), receptor activator of nuclear factor-ƙB ligand (RANKL), tumour necrosis factor-α (TNF-</w:t>
      </w:r>
      <w:r w:rsidRPr="00124BE1">
        <w:rPr>
          <w:rFonts w:ascii="Arial" w:hAnsi="Arial" w:cs="Arial"/>
        </w:rPr>
        <w:lastRenderedPageBreak/>
        <w:t xml:space="preserve">α) </w:t>
      </w:r>
      <w:r w:rsidRPr="00124BE1">
        <w:rPr>
          <w:rFonts w:ascii="Arial" w:hAnsi="Arial" w:cs="Arial"/>
        </w:rPr>
        <w:fldChar w:fldCharType="begin">
          <w:fldData xml:space="preserve">PEVuZE5vdGU+PENpdGU+PEF1dGhvcj5GdWxsZXI8L0F1dGhvcj48WWVhcj4xOTkzPC9ZZWFyPjxS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cGFnZXM+MTY1LTc2PC9wYWdlcz48dm9sdW1lPjkzPC92b2x1bWU+PG51bWJlcj4yPC9udW1iZXI+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LXBlcmlvZGljYWw+PHBhZ2VzPjc3NS05PC9wYWdlcz48dm9sdW1lPjEzODwvdm9sdW1lPjxudW1i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PEVuZE5vdGU+PENpdGU+PEF1dGhvcj5GdWxsZXI8L0F1dGhvcj48WWVhcj4xOTkzPC9ZZWFyPjxS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cGFnZXM+MTY1LTc2PC9wYWdlcz48dm9sdW1lPjkzPC92b2x1bWU+PG51bWJlcj4yPC9udW1iZXI+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LXBlcmlvZGljYWw+PHBhZ2VzPjc3NS05PC9wYWdlcz48dm9sdW1lPjEzODwvdm9sdW1lPjxudW1i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Pr="00124BE1">
        <w:rPr>
          <w:rFonts w:ascii="Arial" w:hAnsi="Arial" w:cs="Arial"/>
        </w:rPr>
      </w:r>
      <w:r w:rsidRPr="00124BE1">
        <w:rPr>
          <w:rFonts w:ascii="Arial" w:hAnsi="Arial" w:cs="Arial"/>
        </w:rPr>
        <w:fldChar w:fldCharType="separate"/>
      </w:r>
      <w:r w:rsidR="00EF6236">
        <w:rPr>
          <w:rFonts w:ascii="Arial" w:hAnsi="Arial" w:cs="Arial"/>
          <w:noProof/>
        </w:rPr>
        <w:t>(</w:t>
      </w:r>
      <w:hyperlink w:anchor="_ENREF_30" w:tooltip="Fuller, 1993 #24" w:history="1">
        <w:r w:rsidR="003B725E">
          <w:rPr>
            <w:rFonts w:ascii="Arial" w:hAnsi="Arial" w:cs="Arial"/>
            <w:noProof/>
          </w:rPr>
          <w:t>30-33</w:t>
        </w:r>
      </w:hyperlink>
      <w:r w:rsidR="00EF6236">
        <w:rPr>
          <w:rFonts w:ascii="Arial" w:hAnsi="Arial" w:cs="Arial"/>
          <w:noProof/>
        </w:rPr>
        <w:t>)</w:t>
      </w:r>
      <w:r w:rsidRPr="00124BE1">
        <w:rPr>
          <w:rFonts w:ascii="Arial" w:hAnsi="Arial" w:cs="Arial"/>
        </w:rPr>
        <w:fldChar w:fldCharType="end"/>
      </w:r>
      <w:r w:rsidRPr="00124BE1">
        <w:rPr>
          <w:rFonts w:ascii="Arial" w:hAnsi="Arial" w:cs="Arial"/>
        </w:rPr>
        <w:t xml:space="preserve">. Osteoclast precursor cells express cell surface receptors which are specific for these. </w:t>
      </w:r>
      <w:r w:rsidRPr="00C37047">
        <w:rPr>
          <w:rFonts w:ascii="Arial" w:hAnsi="Arial" w:cs="Arial"/>
          <w:i/>
        </w:rPr>
        <w:t>In-vitro</w:t>
      </w:r>
      <w:r w:rsidRPr="00124BE1">
        <w:rPr>
          <w:rFonts w:ascii="Arial" w:hAnsi="Arial" w:cs="Arial"/>
        </w:rPr>
        <w:t xml:space="preserve"> studies have demonstrated that M-CSF binds to the M-CSF (c-fms) receptor and induces the expression of genes in the osteoclast lineage leading to the differentiation and development of mature osteoclasts (20-22) and cell survival (23). TNF-α is an inflammatory cytokine that binds to the TNF receptor</w:t>
      </w:r>
      <w:r w:rsidR="00AB25CE">
        <w:rPr>
          <w:rFonts w:ascii="Arial" w:hAnsi="Arial" w:cs="Arial"/>
        </w:rPr>
        <w:t xml:space="preserve">s-1 and </w:t>
      </w:r>
      <w:r w:rsidRPr="00124BE1">
        <w:rPr>
          <w:rFonts w:ascii="Arial" w:hAnsi="Arial" w:cs="Arial"/>
        </w:rPr>
        <w:t xml:space="preserve">-2, stimulates osteoclastogenesis and regulates cell apoptosis (24). In addition osteoclast precursor cells express β2 integrins such as CD11b/Cd18 (also known as αMβ2, CR3 or Mac 1). These adhesion molecules are necessary for cell </w:t>
      </w:r>
      <w:r w:rsidR="00C37047">
        <w:rPr>
          <w:rFonts w:ascii="Arial" w:hAnsi="Arial" w:cs="Arial"/>
        </w:rPr>
        <w:t>trafficking and differentiation. T</w:t>
      </w:r>
      <w:r w:rsidRPr="00124BE1">
        <w:rPr>
          <w:rFonts w:ascii="Arial" w:hAnsi="Arial" w:cs="Arial"/>
        </w:rPr>
        <w:t>his functional role has pr</w:t>
      </w:r>
      <w:r w:rsidR="00C37047">
        <w:rPr>
          <w:rFonts w:ascii="Arial" w:hAnsi="Arial" w:cs="Arial"/>
        </w:rPr>
        <w:t xml:space="preserve">eviously been demonstrated </w:t>
      </w:r>
      <w:r w:rsidRPr="00124BE1">
        <w:rPr>
          <w:rFonts w:ascii="Arial" w:hAnsi="Arial" w:cs="Arial"/>
        </w:rPr>
        <w:t xml:space="preserve">in CD11b-deficient </w:t>
      </w:r>
      <w:r w:rsidRPr="00F41568">
        <w:rPr>
          <w:rFonts w:ascii="Arial" w:hAnsi="Arial" w:cs="Arial"/>
        </w:rPr>
        <w:t xml:space="preserve">mice </w:t>
      </w:r>
      <w:r w:rsidR="00C37047">
        <w:rPr>
          <w:rFonts w:ascii="Arial" w:hAnsi="Arial" w:cs="Arial"/>
        </w:rPr>
        <w:t xml:space="preserve">where </w:t>
      </w:r>
      <w:r w:rsidRPr="00F41568">
        <w:rPr>
          <w:rFonts w:ascii="Arial" w:hAnsi="Arial" w:cs="Arial"/>
        </w:rPr>
        <w:t>there was a decrease in bone mass and increase in osteoclast number (25, 26).</w:t>
      </w:r>
      <w:r w:rsidR="00F41568" w:rsidRPr="00F41568">
        <w:rPr>
          <w:rFonts w:ascii="Arial" w:hAnsi="Arial" w:cs="Arial"/>
        </w:rPr>
        <w:t xml:space="preserve"> </w:t>
      </w:r>
    </w:p>
    <w:p w:rsidR="00B765DA" w:rsidRDefault="006652A5" w:rsidP="003B725E">
      <w:pPr>
        <w:tabs>
          <w:tab w:val="right" w:pos="9026"/>
        </w:tabs>
        <w:spacing w:line="360" w:lineRule="auto"/>
        <w:jc w:val="both"/>
        <w:rPr>
          <w:rFonts w:ascii="Arial" w:hAnsi="Arial" w:cs="Arial"/>
        </w:rPr>
      </w:pPr>
      <w:r>
        <w:rPr>
          <w:rFonts w:ascii="Arial" w:hAnsi="Arial" w:cs="Arial"/>
        </w:rPr>
        <w:t xml:space="preserve">There </w:t>
      </w:r>
      <w:r w:rsidR="00B765DA">
        <w:rPr>
          <w:rFonts w:ascii="Arial" w:hAnsi="Arial" w:cs="Arial"/>
        </w:rPr>
        <w:t xml:space="preserve">are </w:t>
      </w:r>
      <w:r>
        <w:rPr>
          <w:rFonts w:ascii="Arial" w:hAnsi="Arial" w:cs="Arial"/>
        </w:rPr>
        <w:t xml:space="preserve">also </w:t>
      </w:r>
      <w:r w:rsidR="00B765DA">
        <w:rPr>
          <w:rFonts w:ascii="Arial" w:hAnsi="Arial" w:cs="Arial"/>
        </w:rPr>
        <w:t>several micro-RNAs (miRNAs) that are involved in osteoclast</w:t>
      </w:r>
      <w:r w:rsidR="008972D0">
        <w:rPr>
          <w:rFonts w:ascii="Arial" w:hAnsi="Arial" w:cs="Arial"/>
        </w:rPr>
        <w:t xml:space="preserve"> and osteoblast</w:t>
      </w:r>
      <w:r w:rsidR="00B765DA">
        <w:rPr>
          <w:rFonts w:ascii="Arial" w:hAnsi="Arial" w:cs="Arial"/>
        </w:rPr>
        <w:t xml:space="preserve"> proliferation and differentiation</w:t>
      </w:r>
      <w:r w:rsidR="008972D0">
        <w:rPr>
          <w:rFonts w:ascii="Arial" w:hAnsi="Arial" w:cs="Arial"/>
        </w:rPr>
        <w:t xml:space="preserve"> </w:t>
      </w:r>
      <w:r w:rsidR="008972D0">
        <w:rPr>
          <w:rFonts w:ascii="Arial" w:hAnsi="Arial" w:cs="Arial"/>
        </w:rPr>
        <w:fldChar w:fldCharType="begin">
          <w:fldData xml:space="preserve">PEVuZE5vdGU+PENpdGU+PEF1dGhvcj5MaTwvQXV0aG9yPjxZZWFyPjIwMDg8L1llYXI+PFJlY051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QW1lcmljYTwvYWJici0xPjwvYWx0LXBlcmlvZGljYWw+PHBhZ2VzPjEzOTA2LTExPC9wYWdlcz48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dGF0ZXMgb2YgQW1lcmljYTwvYWJici0xPjwvYWx0LXBlcmlvZGljYWw+PHBhZ2VzPjIwNzk0LTk8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PEVuZE5vdGU+PENpdGU+PEF1dGhvcj5MaTwvQXV0aG9yPjxZZWFyPjIwMDg8L1llYXI+PFJlY051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QW1lcmljYTwvYWJici0xPjwvYWx0LXBlcmlvZGljYWw+PHBhZ2VzPjEzOTA2LTExPC9wYWdlcz48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dGF0ZXMgb2YgQW1lcmljYTwvYWJici0xPjwvYWx0LXBlcmlvZGljYWw+PHBhZ2VzPjIwNzk0LTk8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8972D0">
        <w:rPr>
          <w:rFonts w:ascii="Arial" w:hAnsi="Arial" w:cs="Arial"/>
        </w:rPr>
      </w:r>
      <w:r w:rsidR="008972D0">
        <w:rPr>
          <w:rFonts w:ascii="Arial" w:hAnsi="Arial" w:cs="Arial"/>
        </w:rPr>
        <w:fldChar w:fldCharType="separate"/>
      </w:r>
      <w:r w:rsidR="00EF6236">
        <w:rPr>
          <w:rFonts w:ascii="Arial" w:hAnsi="Arial" w:cs="Arial"/>
          <w:noProof/>
        </w:rPr>
        <w:t>(</w:t>
      </w:r>
      <w:hyperlink w:anchor="_ENREF_34" w:tooltip="Li, 2008 #28" w:history="1">
        <w:r w:rsidR="003B725E">
          <w:rPr>
            <w:rFonts w:ascii="Arial" w:hAnsi="Arial" w:cs="Arial"/>
            <w:noProof/>
          </w:rPr>
          <w:t>34-39</w:t>
        </w:r>
      </w:hyperlink>
      <w:r w:rsidR="00EF6236">
        <w:rPr>
          <w:rFonts w:ascii="Arial" w:hAnsi="Arial" w:cs="Arial"/>
          <w:noProof/>
        </w:rPr>
        <w:t>)</w:t>
      </w:r>
      <w:r w:rsidR="008972D0">
        <w:rPr>
          <w:rFonts w:ascii="Arial" w:hAnsi="Arial" w:cs="Arial"/>
        </w:rPr>
        <w:fldChar w:fldCharType="end"/>
      </w:r>
      <w:r w:rsidR="00B765DA">
        <w:rPr>
          <w:rFonts w:ascii="Arial" w:hAnsi="Arial" w:cs="Arial"/>
        </w:rPr>
        <w:t>. These are short, non-coding region</w:t>
      </w:r>
      <w:r w:rsidR="00CF2629">
        <w:rPr>
          <w:rFonts w:ascii="Arial" w:hAnsi="Arial" w:cs="Arial"/>
        </w:rPr>
        <w:t>s</w:t>
      </w:r>
      <w:r w:rsidR="00B765DA">
        <w:rPr>
          <w:rFonts w:ascii="Arial" w:hAnsi="Arial" w:cs="Arial"/>
        </w:rPr>
        <w:t xml:space="preserve"> that regulate gene expression by destabilising mRNAs or inhibiting translation </w:t>
      </w:r>
      <w:r w:rsidR="001E14E1">
        <w:rPr>
          <w:rFonts w:ascii="Arial" w:hAnsi="Arial" w:cs="Arial"/>
        </w:rPr>
        <w:fldChar w:fldCharType="begin"/>
      </w:r>
      <w:r w:rsidR="00EF6236">
        <w:rPr>
          <w:rFonts w:ascii="Arial" w:hAnsi="Arial" w:cs="Arial"/>
        </w:rPr>
        <w:instrText xml:space="preserve"> ADDIN EN.CITE &lt;EndNote&gt;&lt;Cite&gt;&lt;Author&gt;Ebert&lt;/Author&gt;&lt;Year&gt;2012&lt;/Year&gt;&lt;RecNum&gt;34&lt;/RecNum&gt;&lt;DisplayText&gt;(40)&lt;/DisplayText&gt;&lt;record&gt;&lt;rec-number&gt;34&lt;/rec-number&gt;&lt;foreign-keys&gt;&lt;key app="EN" db-id="p9a5ttsvyvde9me5aw2x05fp5p55axf0wr90" timestamp="1417714995"&gt;34&lt;/key&gt;&lt;/foreign-keys&gt;&lt;ref-type name="Journal Article"&gt;17&lt;/ref-type&gt;&lt;contributors&gt;&lt;authors&gt;&lt;author&gt;Ebert, M. S.&lt;/author&gt;&lt;author&gt;Sharp, P. A.&lt;/author&gt;&lt;/authors&gt;&lt;/contributors&gt;&lt;auth-address&gt;Department of Biology, Massachusetts Institute of Technology, Cambridge, MA 02139, USA.&lt;/auth-address&gt;&lt;titles&gt;&lt;title&gt;Roles for microRNAs in conferring robustness to biological processes&lt;/title&gt;&lt;secondary-title&gt;Cell&lt;/secondary-title&gt;&lt;alt-title&gt;Cell&lt;/alt-title&gt;&lt;/titles&gt;&lt;periodical&gt;&lt;full-title&gt;Cell&lt;/full-title&gt;&lt;abbr-1&gt;Cell&lt;/abbr-1&gt;&lt;/periodical&gt;&lt;alt-periodical&gt;&lt;full-title&gt;Cell&lt;/full-title&gt;&lt;abbr-1&gt;Cell&lt;/abbr-1&gt;&lt;/alt-periodical&gt;&lt;pages&gt;515-24&lt;/pages&gt;&lt;volume&gt;149&lt;/volume&gt;&lt;number&gt;3&lt;/number&gt;&lt;edition&gt;2012/05/01&lt;/edition&gt;&lt;keywords&gt;&lt;keyword&gt;Animals&lt;/keyword&gt;&lt;keyword&gt;Biological Evolution&lt;/keyword&gt;&lt;keyword&gt;Drosophila melanogaster/genetics/growth &amp;amp; development/metabolism&lt;/keyword&gt;&lt;keyword&gt;Gene Expression Regulation&lt;/keyword&gt;&lt;keyword&gt;Humans&lt;/keyword&gt;&lt;keyword&gt;MicroRNAs/ genetics&lt;/keyword&gt;&lt;/keywords&gt;&lt;dates&gt;&lt;year&gt;2012&lt;/year&gt;&lt;pub-dates&gt;&lt;date&gt;Apr 27&lt;/date&gt;&lt;/pub-dates&gt;&lt;/dates&gt;&lt;isbn&gt;1097-4172 (Electronic)&amp;#xD;0092-8674 (Linking)&lt;/isbn&gt;&lt;accession-num&gt;22541426&lt;/accession-num&gt;&lt;urls&gt;&lt;/urls&gt;&lt;custom2&gt;PMC3351105&lt;/custom2&gt;&lt;custom6&gt;Nihms372011&lt;/custom6&gt;&lt;electronic-resource-num&gt;10.1016/j.cell.2012.04.005&lt;/electronic-resource-num&gt;&lt;remote-database-provider&gt;NLM&lt;/remote-database-provider&gt;&lt;language&gt;eng&lt;/language&gt;&lt;/record&gt;&lt;/Cite&gt;&lt;/EndNote&gt;</w:instrText>
      </w:r>
      <w:r w:rsidR="001E14E1">
        <w:rPr>
          <w:rFonts w:ascii="Arial" w:hAnsi="Arial" w:cs="Arial"/>
        </w:rPr>
        <w:fldChar w:fldCharType="separate"/>
      </w:r>
      <w:r w:rsidR="00EF6236">
        <w:rPr>
          <w:rFonts w:ascii="Arial" w:hAnsi="Arial" w:cs="Arial"/>
          <w:noProof/>
        </w:rPr>
        <w:t>(</w:t>
      </w:r>
      <w:hyperlink w:anchor="_ENREF_40" w:tooltip="Ebert, 2012 #34" w:history="1">
        <w:r w:rsidR="003B725E">
          <w:rPr>
            <w:rFonts w:ascii="Arial" w:hAnsi="Arial" w:cs="Arial"/>
            <w:noProof/>
          </w:rPr>
          <w:t>40</w:t>
        </w:r>
      </w:hyperlink>
      <w:r w:rsidR="00EF6236">
        <w:rPr>
          <w:rFonts w:ascii="Arial" w:hAnsi="Arial" w:cs="Arial"/>
          <w:noProof/>
        </w:rPr>
        <w:t>)</w:t>
      </w:r>
      <w:r w:rsidR="001E14E1">
        <w:rPr>
          <w:rFonts w:ascii="Arial" w:hAnsi="Arial" w:cs="Arial"/>
        </w:rPr>
        <w:fldChar w:fldCharType="end"/>
      </w:r>
      <w:r w:rsidR="001E14E1">
        <w:rPr>
          <w:rFonts w:ascii="Arial" w:hAnsi="Arial" w:cs="Arial"/>
        </w:rPr>
        <w:t>. Micro-array techniques have</w:t>
      </w:r>
      <w:r w:rsidR="003E367E">
        <w:rPr>
          <w:rFonts w:ascii="Arial" w:hAnsi="Arial" w:cs="Arial"/>
        </w:rPr>
        <w:t xml:space="preserve"> previously shown that miR-146a reduced </w:t>
      </w:r>
      <w:r w:rsidR="001E14E1">
        <w:rPr>
          <w:rFonts w:ascii="Arial" w:hAnsi="Arial" w:cs="Arial"/>
        </w:rPr>
        <w:fldChar w:fldCharType="begin">
          <w:fldData xml:space="preserve">PEVuZE5vdGU+PENpdGU+PEF1dGhvcj5OYWthc2E8L0F1dGhvcj48WWVhcj4yMDExPC9ZZWFyPjxS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PEVuZE5vdGU+PENpdGU+PEF1dGhvcj5OYWthc2E8L0F1dGhvcj48WWVhcj4yMDExPC9ZZWFyPjxS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E14E1">
        <w:rPr>
          <w:rFonts w:ascii="Arial" w:hAnsi="Arial" w:cs="Arial"/>
        </w:rPr>
      </w:r>
      <w:r w:rsidR="001E14E1">
        <w:rPr>
          <w:rFonts w:ascii="Arial" w:hAnsi="Arial" w:cs="Arial"/>
        </w:rPr>
        <w:fldChar w:fldCharType="separate"/>
      </w:r>
      <w:r w:rsidR="00EF6236">
        <w:rPr>
          <w:rFonts w:ascii="Arial" w:hAnsi="Arial" w:cs="Arial"/>
          <w:noProof/>
        </w:rPr>
        <w:t>(</w:t>
      </w:r>
      <w:hyperlink w:anchor="_ENREF_41" w:tooltip="Nakasa, 2011 #35" w:history="1">
        <w:r w:rsidR="003B725E">
          <w:rPr>
            <w:rFonts w:ascii="Arial" w:hAnsi="Arial" w:cs="Arial"/>
            <w:noProof/>
          </w:rPr>
          <w:t>41</w:t>
        </w:r>
      </w:hyperlink>
      <w:r w:rsidR="00EF6236">
        <w:rPr>
          <w:rFonts w:ascii="Arial" w:hAnsi="Arial" w:cs="Arial"/>
          <w:noProof/>
        </w:rPr>
        <w:t>)</w:t>
      </w:r>
      <w:r w:rsidR="001E14E1">
        <w:rPr>
          <w:rFonts w:ascii="Arial" w:hAnsi="Arial" w:cs="Arial"/>
        </w:rPr>
        <w:fldChar w:fldCharType="end"/>
      </w:r>
      <w:r w:rsidR="003E367E">
        <w:rPr>
          <w:rFonts w:ascii="Arial" w:hAnsi="Arial" w:cs="Arial"/>
        </w:rPr>
        <w:t xml:space="preserve"> and miR-148a increased </w:t>
      </w:r>
      <w:r w:rsidR="007D344B">
        <w:rPr>
          <w:rFonts w:ascii="Arial" w:hAnsi="Arial" w:cs="Arial"/>
        </w:rPr>
        <w:t>osteoclast precursor cells</w:t>
      </w:r>
      <w:r w:rsidR="003E367E">
        <w:rPr>
          <w:rFonts w:ascii="Arial" w:hAnsi="Arial" w:cs="Arial"/>
        </w:rPr>
        <w:t xml:space="preserve"> in circulating human monocytes </w:t>
      </w:r>
      <w:r w:rsidR="001E14E1">
        <w:rPr>
          <w:rFonts w:ascii="Arial" w:hAnsi="Arial" w:cs="Arial"/>
        </w:rPr>
        <w:fldChar w:fldCharType="begin">
          <w:fldData xml:space="preserve">PEVuZE5vdGU+PENpdGU+PEF1dGhvcj5DaGVuZzwvQXV0aG9yPjxZZWFyPjIwMTM8L1llYXI+PFJl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IFJlc2VhcmNoPC9hYmJyLTE+PC9hbHQtcGVyaW9kaWNhbD48cGFnZXM+MTE4MC05MDwvcGFnZXM+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PEVuZE5vdGU+PENpdGU+PEF1dGhvcj5DaGVuZzwvQXV0aG9yPjxZZWFyPjIwMTM8L1llYXI+PFJl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IFJlc2VhcmNoPC9hYmJyLTE+PC9hbHQtcGVyaW9kaWNhbD48cGFnZXM+MTE4MC05MDwvcGFnZXM+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E14E1">
        <w:rPr>
          <w:rFonts w:ascii="Arial" w:hAnsi="Arial" w:cs="Arial"/>
        </w:rPr>
      </w:r>
      <w:r w:rsidR="001E14E1">
        <w:rPr>
          <w:rFonts w:ascii="Arial" w:hAnsi="Arial" w:cs="Arial"/>
        </w:rPr>
        <w:fldChar w:fldCharType="separate"/>
      </w:r>
      <w:r w:rsidR="00EF6236">
        <w:rPr>
          <w:rFonts w:ascii="Arial" w:hAnsi="Arial" w:cs="Arial"/>
          <w:noProof/>
        </w:rPr>
        <w:t>(</w:t>
      </w:r>
      <w:hyperlink w:anchor="_ENREF_42" w:tooltip="Cheng, 2013 #36" w:history="1">
        <w:r w:rsidR="003B725E">
          <w:rPr>
            <w:rFonts w:ascii="Arial" w:hAnsi="Arial" w:cs="Arial"/>
            <w:noProof/>
          </w:rPr>
          <w:t>42</w:t>
        </w:r>
      </w:hyperlink>
      <w:r w:rsidR="00EF6236">
        <w:rPr>
          <w:rFonts w:ascii="Arial" w:hAnsi="Arial" w:cs="Arial"/>
          <w:noProof/>
        </w:rPr>
        <w:t>)</w:t>
      </w:r>
      <w:r w:rsidR="001E14E1">
        <w:rPr>
          <w:rFonts w:ascii="Arial" w:hAnsi="Arial" w:cs="Arial"/>
        </w:rPr>
        <w:fldChar w:fldCharType="end"/>
      </w:r>
      <w:r w:rsidR="001E14E1">
        <w:rPr>
          <w:rFonts w:ascii="Arial" w:hAnsi="Arial" w:cs="Arial"/>
        </w:rPr>
        <w:t>.</w:t>
      </w:r>
      <w:r w:rsidR="007D344B">
        <w:rPr>
          <w:rFonts w:ascii="Arial" w:hAnsi="Arial" w:cs="Arial"/>
        </w:rPr>
        <w:t xml:space="preserve"> These</w:t>
      </w:r>
      <w:r w:rsidR="003E367E">
        <w:rPr>
          <w:rFonts w:ascii="Arial" w:hAnsi="Arial" w:cs="Arial"/>
        </w:rPr>
        <w:t xml:space="preserve"> potentially</w:t>
      </w:r>
      <w:r w:rsidR="007D344B">
        <w:rPr>
          <w:rFonts w:ascii="Arial" w:hAnsi="Arial" w:cs="Arial"/>
        </w:rPr>
        <w:t xml:space="preserve"> may</w:t>
      </w:r>
      <w:r w:rsidR="003E367E">
        <w:rPr>
          <w:rFonts w:ascii="Arial" w:hAnsi="Arial" w:cs="Arial"/>
        </w:rPr>
        <w:t xml:space="preserve"> be used as biomarkers </w:t>
      </w:r>
      <w:r w:rsidR="007D344B">
        <w:rPr>
          <w:rFonts w:ascii="Arial" w:hAnsi="Arial" w:cs="Arial"/>
        </w:rPr>
        <w:t xml:space="preserve">for assessing postmenopausal osteoporosis </w:t>
      </w:r>
      <w:r w:rsidR="001E14E1">
        <w:rPr>
          <w:rFonts w:ascii="Arial" w:hAnsi="Arial" w:cs="Arial"/>
        </w:rPr>
        <w:t xml:space="preserve">and fracture risk </w:t>
      </w:r>
      <w:r w:rsidR="001E14E1">
        <w:rPr>
          <w:rFonts w:ascii="Arial" w:hAnsi="Arial" w:cs="Arial"/>
        </w:rPr>
        <w:fldChar w:fldCharType="begin">
          <w:fldData xml:space="preserve">PEVuZE5vdGU+PENpdGU+PEF1dGhvcj5MaTwvQXV0aG9yPjxZZWFyPjIwMTQ8L1llYXI+PFJlY051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bCBSZXNlYXJjaDwvYWJici0xPjwvcGVyaW9kaWNhbD48YWx0LXBlcmlvZGljYWw+PGZ1bGwtdGl0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ZGljYWw+PHBhZ2VzPmU5NzA5ODwvcGFnZXM+PHZvbHVtZT45PC92b2x1bWU+PG51bWJlcj41PC9u
dW1iZXI+PGVkaXRpb24+MjAxNC8wNS8xNDwvZWRpdGlvbj48ZGF0ZXM+PHllYXI+MjAxNDwveWVh
cj48L2RhdGVzPjxpc2JuPjE5MzItNjIwMyAoRWxlY3Ryb25pYykmI3hEOzE5MzItNjIwMyAoTGlu
a2luZyk8L2lzYm4+PGFjY2Vzc2lvbi1udW0+MjQ4MjAxMTc8L2FjY2Vzc2lvbi1udW0+PHVybHM+
PC91cmxzPjxjdXN0b20yPlBNQzQwMTgyNTk8L2N1c3RvbTI+PGVsZWN0cm9uaWMtcmVzb3VyY2Ut
bnVtPjEwLjEzNzEvam91cm5hbC5wb25lLjAwOTcwOTg8L2VsZWN0cm9uaWMtcmVzb3VyY2UtbnVt
PjxyZW1vdGUtZGF0YWJhc2UtcHJvdmlkZXI+TkxNPC9yZW1vdGUtZGF0YWJhc2UtcHJvdmlkZXI+
PGxhbmd1YWdlPmVuZzwvbGFuZ3VhZ2U+PC9yZWNvcmQ+PC9DaXRlPjwvRW5kTm90ZT5=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PEVuZE5vdGU+PENpdGU+PEF1dGhvcj5MaTwvQXV0aG9yPjxZZWFyPjIwMTQ8L1llYXI+PFJlY051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bCBSZXNlYXJjaDwvYWJici0xPjwvcGVyaW9kaWNhbD48YWx0LXBlcmlvZGljYWw+PGZ1bGwtdGl0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=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E14E1">
        <w:rPr>
          <w:rFonts w:ascii="Arial" w:hAnsi="Arial" w:cs="Arial"/>
        </w:rPr>
      </w:r>
      <w:r w:rsidR="001E14E1">
        <w:rPr>
          <w:rFonts w:ascii="Arial" w:hAnsi="Arial" w:cs="Arial"/>
        </w:rPr>
        <w:fldChar w:fldCharType="separate"/>
      </w:r>
      <w:r w:rsidR="00EF6236">
        <w:rPr>
          <w:rFonts w:ascii="Arial" w:hAnsi="Arial" w:cs="Arial"/>
          <w:noProof/>
        </w:rPr>
        <w:t>(</w:t>
      </w:r>
      <w:hyperlink w:anchor="_ENREF_43" w:tooltip="Li, 2014 #37" w:history="1">
        <w:r w:rsidR="003B725E">
          <w:rPr>
            <w:rFonts w:ascii="Arial" w:hAnsi="Arial" w:cs="Arial"/>
            <w:noProof/>
          </w:rPr>
          <w:t>43-46</w:t>
        </w:r>
      </w:hyperlink>
      <w:r w:rsidR="00EF6236">
        <w:rPr>
          <w:rFonts w:ascii="Arial" w:hAnsi="Arial" w:cs="Arial"/>
          <w:noProof/>
        </w:rPr>
        <w:t>)</w:t>
      </w:r>
      <w:r w:rsidR="001E14E1">
        <w:rPr>
          <w:rFonts w:ascii="Arial" w:hAnsi="Arial" w:cs="Arial"/>
        </w:rPr>
        <w:fldChar w:fldCharType="end"/>
      </w:r>
      <w:r w:rsidR="001E14E1">
        <w:rPr>
          <w:rFonts w:ascii="Arial" w:hAnsi="Arial" w:cs="Arial"/>
        </w:rPr>
        <w:t>.</w:t>
      </w:r>
    </w:p>
    <w:p w:rsidR="005B6149" w:rsidRPr="007D6EBB" w:rsidRDefault="00C7565E" w:rsidP="003B725E">
      <w:pPr>
        <w:spacing w:line="360" w:lineRule="auto"/>
        <w:jc w:val="both"/>
      </w:pPr>
      <w:r>
        <w:rPr>
          <w:rFonts w:ascii="Arial" w:hAnsi="Arial" w:cs="Arial"/>
          <w:noProof/>
          <w:color w:val="C00000"/>
          <w:lang w:eastAsia="zh-CN"/>
        </w:rPr>
        <mc:AlternateContent>
          <mc:Choice Requires="wps">
            <w:drawing>
              <wp:anchor distT="0" distB="0" distL="114300" distR="114300" simplePos="0" relativeHeight="251892224" behindDoc="0" locked="0" layoutInCell="1" allowOverlap="1" wp14:anchorId="5D891A3E" wp14:editId="6FC0A4BF">
                <wp:simplePos x="0" y="0"/>
                <wp:positionH relativeFrom="column">
                  <wp:posOffset>64770</wp:posOffset>
                </wp:positionH>
                <wp:positionV relativeFrom="paragraph">
                  <wp:posOffset>799465</wp:posOffset>
                </wp:positionV>
                <wp:extent cx="5238750" cy="2371725"/>
                <wp:effectExtent l="0" t="0" r="19050" b="28575"/>
                <wp:wrapNone/>
                <wp:docPr id="18780" name="Rectangle 18780"/>
                <wp:cNvGraphicFramePr/>
                <a:graphic xmlns:a="http://schemas.openxmlformats.org/drawingml/2006/main">
                  <a:graphicData uri="http://schemas.microsoft.com/office/word/2010/wordprocessingShape">
                    <wps:wsp>
                      <wps:cNvSpPr/>
                      <wps:spPr>
                        <a:xfrm>
                          <a:off x="0" y="0"/>
                          <a:ext cx="5238750" cy="237172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34A05" id="Rectangle 18780" o:spid="_x0000_s1026" style="position:absolute;margin-left:5.1pt;margin-top:62.95pt;width:412.5pt;height:186.7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" filled="f" strokecolor="black [3213]" strokeweight=".5pt"/>
            </w:pict>
          </mc:Fallback>
        </mc:AlternateContent>
      </w:r>
      <w:r w:rsidR="00F41568" w:rsidRPr="00F41568">
        <w:rPr>
          <w:rFonts w:ascii="Arial" w:hAnsi="Arial" w:cs="Arial"/>
        </w:rPr>
        <w:t>Osteoclast precursor cells migrate in the peripheral blood to the micro</w:t>
      </w:r>
      <w:r w:rsidR="00B17B32">
        <w:rPr>
          <w:rFonts w:ascii="Arial" w:hAnsi="Arial" w:cs="Arial"/>
        </w:rPr>
        <w:t>-</w:t>
      </w:r>
      <w:r w:rsidR="00F41568" w:rsidRPr="00F41568">
        <w:rPr>
          <w:rFonts w:ascii="Arial" w:hAnsi="Arial" w:cs="Arial"/>
        </w:rPr>
        <w:t>damaged skeletal site that is to be resorbed</w:t>
      </w:r>
      <w:r w:rsidR="001038DC">
        <w:rPr>
          <w:rFonts w:ascii="Arial" w:hAnsi="Arial" w:cs="Arial"/>
        </w:rPr>
        <w:t xml:space="preserve"> </w:t>
      </w:r>
      <w:r w:rsidR="001038DC">
        <w:rPr>
          <w:rFonts w:ascii="Arial" w:hAnsi="Arial" w:cs="Arial"/>
        </w:rPr>
        <w:fldChar w:fldCharType="begin"/>
      </w:r>
      <w:r w:rsidR="001038DC">
        <w:rPr>
          <w:rFonts w:ascii="Arial" w:hAnsi="Arial" w:cs="Arial"/>
        </w:rPr>
        <w:instrText xml:space="preserve"> ADDIN EN.CITE &lt;EndNote&gt;&lt;Cite&gt;&lt;Author&gt;Boyle&lt;/Author&gt;&lt;Year&gt;2003&lt;/Year&gt;&lt;RecNum&gt;23&lt;/RecNum&gt;&lt;DisplayText&gt;(22)&lt;/DisplayText&gt;&lt;record&gt;&lt;rec-number&gt;23&lt;/rec-number&gt;&lt;foreign-keys&gt;&lt;key app="EN" db-id="p9a5ttsvyvde9me5aw2x05fp5p55axf0wr90" timestamp="1417714993"&gt;23&lt;/key&gt;&lt;/foreign-keys&gt;&lt;ref-type name="Journal Article"&gt;17&lt;/ref-type&gt;&lt;contributors&gt;&lt;authors&gt;&lt;author&gt;Boyle, W. J.&lt;/author&gt;&lt;author&gt;Simonet, W. S.&lt;/author&gt;&lt;author&gt;Lacey, D. L.&lt;/author&gt;&lt;/authors&gt;&lt;/contributors&gt;&lt;auth-address&gt;Protein Pathways, Inc., Woodland Hills, California 91367, USA. bboyle@proteinpathways.com&lt;/auth-address&gt;&lt;titles&gt;&lt;title&gt;Osteoclast differentiation and activation&lt;/title&gt;&lt;secondary-title&gt;Nature&lt;/secondary-title&gt;&lt;alt-title&gt;Nature&lt;/alt-title&gt;&lt;/titles&gt;&lt;periodical&gt;&lt;full-title&gt;Nature&lt;/full-title&gt;&lt;abbr-1&gt;Nature&lt;/abbr-1&gt;&lt;/periodical&gt;&lt;alt-periodical&gt;&lt;full-title&gt;Nature&lt;/full-title&gt;&lt;abbr-1&gt;Nature&lt;/abbr-1&gt;&lt;/alt-periodical&gt;&lt;pages&gt;337-42&lt;/pages&gt;&lt;volume&gt;423&lt;/volume&gt;&lt;number&gt;6937&lt;/number&gt;&lt;edition&gt;2003/05/16&lt;/edition&gt;&lt;keywords&gt;&lt;keyword&gt;Animals&lt;/keyword&gt;&lt;keyword&gt;Bone Resorption&lt;/keyword&gt;&lt;keyword&gt;Carrier Proteins/metabolism&lt;/keyword&gt;&lt;keyword&gt;Cell Differentiation&lt;/keyword&gt;&lt;keyword&gt;Glycoproteins/metabolism&lt;/keyword&gt;&lt;keyword&gt;Humans&lt;/keyword&gt;&lt;keyword&gt;Membrane Glycoproteins/metabolism&lt;/keyword&gt;&lt;keyword&gt;Osteoclasts/ cytology/ metabolism&lt;/keyword&gt;&lt;keyword&gt;Osteoporosis/drug therapy/metabolism&lt;/keyword&gt;&lt;keyword&gt;Osteoprotegerin&lt;/keyword&gt;&lt;keyword&gt;RANK Ligand&lt;/keyword&gt;&lt;keyword&gt;Receptor Activator of Nuclear Factor-kappa B&lt;/keyword&gt;&lt;keyword&gt;Receptors, Cytoplasmic and Nuclear/metabolism&lt;/keyword&gt;&lt;keyword&gt;Receptors, Tumor Necrosis Factor&lt;/keyword&gt;&lt;keyword&gt;Signal Transduction&lt;/keyword&gt;&lt;/keywords&gt;&lt;dates&gt;&lt;year&gt;2003&lt;/year&gt;&lt;pub-dates&gt;&lt;date&gt;May 15&lt;/date&gt;&lt;/pub-dates&gt;&lt;/dates&gt;&lt;isbn&gt;0028-0836 (Print)&amp;#xD;0028-0836 (Linking)&lt;/isbn&gt;&lt;accession-num&gt;12748652&lt;/accession-num&gt;&lt;urls&gt;&lt;/urls&gt;&lt;electronic-resource-num&gt;10.1038/nature01658&lt;/electronic-resource-num&gt;&lt;remote-database-provider&gt;NLM&lt;/remote-database-provider&gt;&lt;language&gt;eng&lt;/language&gt;&lt;/record&gt;&lt;/Cite&gt;&lt;/EndNote&gt;</w:instrText>
      </w:r>
      <w:r w:rsidR="001038DC">
        <w:rPr>
          <w:rFonts w:ascii="Arial" w:hAnsi="Arial" w:cs="Arial"/>
        </w:rPr>
        <w:fldChar w:fldCharType="separate"/>
      </w:r>
      <w:r w:rsidR="001038DC">
        <w:rPr>
          <w:rFonts w:ascii="Arial" w:hAnsi="Arial" w:cs="Arial"/>
          <w:noProof/>
        </w:rPr>
        <w:t>(</w:t>
      </w:r>
      <w:hyperlink w:anchor="_ENREF_22" w:tooltip="Boyle, 2003 #23" w:history="1">
        <w:r w:rsidR="003B725E">
          <w:rPr>
            <w:rFonts w:ascii="Arial" w:hAnsi="Arial" w:cs="Arial"/>
            <w:noProof/>
          </w:rPr>
          <w:t>22</w:t>
        </w:r>
      </w:hyperlink>
      <w:r w:rsidR="001038DC">
        <w:rPr>
          <w:rFonts w:ascii="Arial" w:hAnsi="Arial" w:cs="Arial"/>
          <w:noProof/>
        </w:rPr>
        <w:t>)</w:t>
      </w:r>
      <w:r w:rsidR="001038DC">
        <w:rPr>
          <w:rFonts w:ascii="Arial" w:hAnsi="Arial" w:cs="Arial"/>
        </w:rPr>
        <w:fldChar w:fldCharType="end"/>
      </w:r>
      <w:r w:rsidR="00F41568" w:rsidRPr="00F41568">
        <w:rPr>
          <w:rFonts w:ascii="Arial" w:hAnsi="Arial" w:cs="Arial"/>
        </w:rPr>
        <w:t>. This attraction is triggered by che</w:t>
      </w:r>
      <w:r w:rsidR="00F41568">
        <w:rPr>
          <w:rFonts w:ascii="Arial" w:hAnsi="Arial" w:cs="Arial"/>
        </w:rPr>
        <w:t>motactic factors released from</w:t>
      </w:r>
      <w:r w:rsidR="00F41568" w:rsidRPr="00F41568">
        <w:rPr>
          <w:rFonts w:ascii="Arial" w:hAnsi="Arial" w:cs="Arial"/>
        </w:rPr>
        <w:t xml:space="preserve"> this site.</w:t>
      </w:r>
      <w:r w:rsidR="00F41568">
        <w:t xml:space="preserve"> </w:t>
      </w:r>
    </w:p>
    <w:p w:rsidR="006B418C" w:rsidRDefault="006B418C" w:rsidP="00900F2C">
      <w:pPr>
        <w:keepNext/>
        <w:spacing w:line="360" w:lineRule="auto"/>
      </w:pPr>
      <w:r w:rsidRPr="006B418C">
        <w:rPr>
          <w:noProof/>
          <w:lang w:eastAsia="zh-CN"/>
        </w:rPr>
        <w:drawing>
          <wp:inline distT="0" distB="0" distL="0" distR="0" wp14:anchorId="4C7D26A0" wp14:editId="783FB00C">
            <wp:extent cx="5165767" cy="22699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print">
                      <a:lum contrast="-20000"/>
                      <a:extLst>
                        <a:ext uri="{28A0092B-C50C-407E-A947-70E740481C1C}">
                          <a14:useLocalDpi xmlns:a14="http://schemas.microsoft.com/office/drawing/2010/main" val="0"/>
                        </a:ext>
                      </a:extLst>
                    </a:blip>
                    <a:srcRect b="8629"/>
                    <a:stretch/>
                  </pic:blipFill>
                  <pic:spPr bwMode="auto">
                    <a:xfrm>
                      <a:off x="0" y="0"/>
                      <a:ext cx="5171694" cy="2272543"/>
                    </a:xfrm>
                    <a:prstGeom prst="rect">
                      <a:avLst/>
                    </a:prstGeom>
                    <a:noFill/>
                    <a:ln>
                      <a:noFill/>
                    </a:ln>
                    <a:extLst>
                      <a:ext uri="{53640926-AAD7-44D8-BBD7-CCE9431645EC}">
                        <a14:shadowObscured xmlns:a14="http://schemas.microsoft.com/office/drawing/2010/main"/>
                      </a:ext>
                    </a:extLst>
                  </pic:spPr>
                </pic:pic>
              </a:graphicData>
            </a:graphic>
          </wp:inline>
        </w:drawing>
      </w:r>
    </w:p>
    <w:p w:rsidR="00117384" w:rsidRPr="001B4673" w:rsidRDefault="006B418C" w:rsidP="009143C3">
      <w:pPr>
        <w:pStyle w:val="Caption"/>
        <w:jc w:val="center"/>
        <w:rPr>
          <w:rFonts w:ascii="Arial" w:hAnsi="Arial" w:cs="Arial"/>
          <w:b w:val="0"/>
          <w:color w:val="000000" w:themeColor="text1"/>
          <w:sz w:val="20"/>
          <w:szCs w:val="20"/>
        </w:rPr>
      </w:pPr>
      <w:bookmarkStart w:id="18" w:name="_Toc425419486"/>
      <w:r w:rsidRPr="001B4673">
        <w:rPr>
          <w:rFonts w:ascii="Arial" w:hAnsi="Arial" w:cs="Arial"/>
          <w:b w:val="0"/>
          <w:color w:val="000000" w:themeColor="text1"/>
        </w:rPr>
        <w:t xml:space="preserve">Figure </w:t>
      </w:r>
      <w:r w:rsidR="009C7F15" w:rsidRPr="001B4673">
        <w:rPr>
          <w:rFonts w:ascii="Arial" w:hAnsi="Arial" w:cs="Arial"/>
          <w:b w:val="0"/>
          <w:color w:val="000000" w:themeColor="text1"/>
        </w:rPr>
        <w:fldChar w:fldCharType="begin"/>
      </w:r>
      <w:r w:rsidR="009C7F15" w:rsidRPr="001B4673">
        <w:rPr>
          <w:rFonts w:ascii="Arial" w:hAnsi="Arial" w:cs="Arial"/>
          <w:b w:val="0"/>
          <w:color w:val="000000" w:themeColor="text1"/>
        </w:rPr>
        <w:instrText xml:space="preserve"> SEQ Figure \* ARABIC </w:instrText>
      </w:r>
      <w:r w:rsidR="009C7F15" w:rsidRPr="001B4673">
        <w:rPr>
          <w:rFonts w:ascii="Arial" w:hAnsi="Arial" w:cs="Arial"/>
          <w:b w:val="0"/>
          <w:color w:val="000000" w:themeColor="text1"/>
        </w:rPr>
        <w:fldChar w:fldCharType="separate"/>
      </w:r>
      <w:r w:rsidR="0040369A">
        <w:rPr>
          <w:rFonts w:ascii="Arial" w:hAnsi="Arial" w:cs="Arial"/>
          <w:b w:val="0"/>
          <w:noProof/>
          <w:color w:val="000000" w:themeColor="text1"/>
        </w:rPr>
        <w:t>3</w:t>
      </w:r>
      <w:r w:rsidR="009C7F15" w:rsidRPr="001B4673">
        <w:rPr>
          <w:rFonts w:ascii="Arial" w:hAnsi="Arial" w:cs="Arial"/>
          <w:b w:val="0"/>
          <w:noProof/>
          <w:color w:val="000000" w:themeColor="text1"/>
        </w:rPr>
        <w:fldChar w:fldCharType="end"/>
      </w:r>
      <w:r w:rsidRPr="001B4673">
        <w:rPr>
          <w:rFonts w:ascii="Arial" w:hAnsi="Arial" w:cs="Arial"/>
          <w:b w:val="0"/>
          <w:color w:val="000000" w:themeColor="text1"/>
        </w:rPr>
        <w:t xml:space="preserve">: </w:t>
      </w:r>
      <w:r w:rsidR="00480D47">
        <w:rPr>
          <w:rFonts w:ascii="Arial" w:hAnsi="Arial" w:cs="Arial"/>
          <w:b w:val="0"/>
          <w:color w:val="000000" w:themeColor="text1"/>
        </w:rPr>
        <w:t>The process of o</w:t>
      </w:r>
      <w:r w:rsidRPr="001B4673">
        <w:rPr>
          <w:rFonts w:ascii="Arial" w:hAnsi="Arial" w:cs="Arial"/>
          <w:b w:val="0"/>
          <w:color w:val="000000" w:themeColor="text1"/>
        </w:rPr>
        <w:t>steoclast</w:t>
      </w:r>
      <w:r w:rsidR="00480D47">
        <w:rPr>
          <w:rFonts w:ascii="Arial" w:hAnsi="Arial" w:cs="Arial"/>
          <w:b w:val="0"/>
          <w:color w:val="000000" w:themeColor="text1"/>
        </w:rPr>
        <w:t xml:space="preserve"> differentiation and </w:t>
      </w:r>
      <w:r w:rsidRPr="001B4673">
        <w:rPr>
          <w:rFonts w:ascii="Arial" w:hAnsi="Arial" w:cs="Arial"/>
          <w:b w:val="0"/>
          <w:color w:val="000000" w:themeColor="text1"/>
        </w:rPr>
        <w:t>formation</w:t>
      </w:r>
      <w:r w:rsidR="007D504C" w:rsidRPr="001B4673">
        <w:rPr>
          <w:rFonts w:ascii="Arial" w:hAnsi="Arial" w:cs="Arial"/>
          <w:b w:val="0"/>
          <w:color w:val="000000" w:themeColor="text1"/>
        </w:rPr>
        <w:t>:</w:t>
      </w:r>
      <w:bookmarkEnd w:id="18"/>
    </w:p>
    <w:p w:rsidR="00BF5BF0" w:rsidRDefault="00F41568" w:rsidP="003B725E">
      <w:pPr>
        <w:spacing w:line="360" w:lineRule="auto"/>
        <w:jc w:val="both"/>
        <w:rPr>
          <w:rFonts w:ascii="Arial" w:hAnsi="Arial" w:cs="Arial"/>
        </w:rPr>
      </w:pPr>
      <w:r>
        <w:rPr>
          <w:rFonts w:ascii="Arial" w:hAnsi="Arial" w:cs="Arial"/>
        </w:rPr>
        <w:t xml:space="preserve">At the site of </w:t>
      </w:r>
      <w:r w:rsidR="000B0553">
        <w:rPr>
          <w:rFonts w:ascii="Arial" w:hAnsi="Arial" w:cs="Arial"/>
        </w:rPr>
        <w:t>resorption the</w:t>
      </w:r>
      <w:r w:rsidR="00C14AD7">
        <w:rPr>
          <w:rFonts w:ascii="Arial" w:hAnsi="Arial" w:cs="Arial"/>
        </w:rPr>
        <w:t xml:space="preserve"> osteoclast</w:t>
      </w:r>
      <w:r>
        <w:rPr>
          <w:rFonts w:ascii="Arial" w:hAnsi="Arial" w:cs="Arial"/>
        </w:rPr>
        <w:t xml:space="preserve"> attach</w:t>
      </w:r>
      <w:r w:rsidR="00C14AD7">
        <w:rPr>
          <w:rFonts w:ascii="Arial" w:hAnsi="Arial" w:cs="Arial"/>
        </w:rPr>
        <w:t>es</w:t>
      </w:r>
      <w:r>
        <w:rPr>
          <w:rFonts w:ascii="Arial" w:hAnsi="Arial" w:cs="Arial"/>
        </w:rPr>
        <w:t xml:space="preserve"> to the bone</w:t>
      </w:r>
      <w:r w:rsidR="00E2185D">
        <w:rPr>
          <w:rFonts w:ascii="Arial" w:hAnsi="Arial" w:cs="Arial"/>
        </w:rPr>
        <w:t xml:space="preserve"> matrix forming </w:t>
      </w:r>
      <w:r>
        <w:rPr>
          <w:rFonts w:ascii="Arial" w:hAnsi="Arial" w:cs="Arial"/>
        </w:rPr>
        <w:t xml:space="preserve">a tight </w:t>
      </w:r>
      <w:r w:rsidR="00E2185D">
        <w:rPr>
          <w:rFonts w:ascii="Arial" w:hAnsi="Arial" w:cs="Arial"/>
        </w:rPr>
        <w:t xml:space="preserve">seal and </w:t>
      </w:r>
      <w:r>
        <w:rPr>
          <w:rFonts w:ascii="Arial" w:hAnsi="Arial" w:cs="Arial"/>
        </w:rPr>
        <w:t xml:space="preserve">a compartment </w:t>
      </w:r>
      <w:r w:rsidR="00C14AD7">
        <w:rPr>
          <w:rFonts w:ascii="Arial" w:hAnsi="Arial" w:cs="Arial"/>
        </w:rPr>
        <w:t>directly beneath it</w:t>
      </w:r>
      <w:r>
        <w:rPr>
          <w:rFonts w:ascii="Arial" w:hAnsi="Arial" w:cs="Arial"/>
        </w:rPr>
        <w:t xml:space="preserve">. </w:t>
      </w:r>
      <w:r w:rsidR="00E2185D">
        <w:rPr>
          <w:rFonts w:ascii="Arial" w:hAnsi="Arial" w:cs="Arial"/>
        </w:rPr>
        <w:t xml:space="preserve">The seal is formed through interactions with the </w:t>
      </w:r>
      <w:r w:rsidR="005F2AEA">
        <w:rPr>
          <w:rFonts w:ascii="Arial" w:hAnsi="Arial" w:cs="Arial"/>
        </w:rPr>
        <w:t>integrin</w:t>
      </w:r>
      <w:r w:rsidR="00E2185D">
        <w:rPr>
          <w:rFonts w:ascii="Arial" w:hAnsi="Arial" w:cs="Arial"/>
        </w:rPr>
        <w:t xml:space="preserve"> receptor αvβ</w:t>
      </w:r>
      <w:r w:rsidR="000B0553">
        <w:rPr>
          <w:rFonts w:ascii="Arial" w:hAnsi="Arial" w:cs="Arial"/>
        </w:rPr>
        <w:t>3 which subsequently binds to</w:t>
      </w:r>
      <w:r w:rsidR="00F312ED">
        <w:rPr>
          <w:rFonts w:ascii="Arial" w:hAnsi="Arial" w:cs="Arial"/>
        </w:rPr>
        <w:t xml:space="preserve"> </w:t>
      </w:r>
      <w:r w:rsidR="00E2185D">
        <w:rPr>
          <w:rFonts w:ascii="Arial" w:hAnsi="Arial" w:cs="Arial"/>
        </w:rPr>
        <w:t>arginine, glycine and asparagine-containing matrix proteins</w:t>
      </w:r>
      <w:r w:rsidR="000B0553">
        <w:rPr>
          <w:rFonts w:ascii="Arial" w:hAnsi="Arial" w:cs="Arial"/>
        </w:rPr>
        <w:t xml:space="preserve"> (such osteopontin and bone sialoprotein)</w:t>
      </w:r>
      <w:r w:rsidR="007D6EBB">
        <w:rPr>
          <w:rFonts w:ascii="Arial" w:hAnsi="Arial" w:cs="Arial"/>
        </w:rPr>
        <w:t xml:space="preserve"> </w:t>
      </w:r>
      <w:r w:rsidR="007D6EBB">
        <w:rPr>
          <w:rFonts w:ascii="Arial" w:hAnsi="Arial" w:cs="Arial"/>
        </w:rPr>
        <w:fldChar w:fldCharType="begin"/>
      </w:r>
      <w:r w:rsidR="00EF6236">
        <w:rPr>
          <w:rFonts w:ascii="Arial" w:hAnsi="Arial" w:cs="Arial"/>
        </w:rPr>
        <w:instrText xml:space="preserve"> ADDIN EN.CITE &lt;EndNote&gt;&lt;Cite&gt;&lt;Author&gt;Ross&lt;/Author&gt;&lt;Year&gt;2005&lt;/Year&gt;&lt;RecNum&gt;41&lt;/RecNum&gt;&lt;DisplayText&gt;(47)&lt;/DisplayText&gt;&lt;record&gt;&lt;rec-number&gt;41&lt;/rec-number&gt;&lt;foreign-keys&gt;&lt;key app="EN" db-id="p9a5ttsvyvde9me5aw2x05fp5p55axf0wr90" timestamp="1417714996"&gt;41&lt;/key&gt;&lt;/foreign-keys&gt;&lt;ref-type name="Journal Article"&gt;17&lt;/ref-type&gt;&lt;contributors&gt;&lt;authors&gt;&lt;author&gt;Ross, F. P.&lt;/author&gt;&lt;author&gt;Teitelbaum, S. L.&lt;/author&gt;&lt;/authors&gt;&lt;/contributors&gt;&lt;auth-address&gt;Washington University School of Medicine, St. Louis, MO 63110, USA. rossf@wustl.edu&lt;/auth-address&gt;&lt;titles&gt;&lt;title&gt;alphavbeta3 and macrophage colony-stimulating factor: partners in osteoclast biology&lt;/title&gt;&lt;secondary-title&gt;Immunol Rev&lt;/secondary-title&gt;&lt;alt-title&gt;Immunological reviews&lt;/alt-title&gt;&lt;/titles&gt;&lt;periodical&gt;&lt;full-title&gt;Immunol Rev&lt;/full-title&gt;&lt;abbr-1&gt;Immunological reviews&lt;/abbr-1&gt;&lt;/periodical&gt;&lt;alt-periodical&gt;&lt;full-title&gt;Immunol Rev&lt;/full-title&gt;&lt;abbr-1&gt;Immunological reviews&lt;/abbr-1&gt;&lt;/alt-periodical&gt;&lt;pages&gt;88-105&lt;/pages&gt;&lt;volume&gt;208&lt;/volume&gt;&lt;edition&gt;2005/11/30&lt;/edition&gt;&lt;keywords&gt;&lt;keyword&gt;Animals&lt;/keyword&gt;&lt;keyword&gt;Apoptosis&lt;/keyword&gt;&lt;keyword&gt;Cell Differentiation&lt;/keyword&gt;&lt;keyword&gt;Humans&lt;/keyword&gt;&lt;keyword&gt;Integrin alphaVbeta3/ physiology&lt;/keyword&gt;&lt;keyword&gt;Macrophage Colony-Stimulating Factor/ physiology&lt;/keyword&gt;&lt;keyword&gt;Macrophages/physiology&lt;/keyword&gt;&lt;keyword&gt;Osteoclasts/cytology/ physiology&lt;/keyword&gt;&lt;keyword&gt;Protein-Tyrosine Kinases/chemistry&lt;/keyword&gt;&lt;keyword&gt;Proto-Oncogene Proteins c-vav/physiology&lt;/keyword&gt;&lt;keyword&gt;Receptor, Macrophage Colony-Stimulating Factor/ physiology&lt;/keyword&gt;&lt;keyword&gt;Signal Transduction&lt;/keyword&gt;&lt;keyword&gt;rho GTP-Binding Proteins/physiology&lt;/keyword&gt;&lt;/keywords&gt;&lt;dates&gt;&lt;year&gt;2005&lt;/year&gt;&lt;pub-dates&gt;&lt;date&gt;Dec&lt;/date&gt;&lt;/pub-dates&gt;&lt;/dates&gt;&lt;isbn&gt;0105-2896 (Print)&amp;#xD;0105-2896 (Linking)&lt;/isbn&gt;&lt;accession-num&gt;16313343&lt;/accession-num&gt;&lt;urls&gt;&lt;/urls&gt;&lt;electronic-resource-num&gt;10.1111/j.0105-2896.2005.00331.x&lt;/electronic-resource-num&gt;&lt;remote-database-provider&gt;NLM&lt;/remote-database-provider&gt;&lt;language&gt;eng&lt;/language&gt;&lt;/record&gt;&lt;/Cite&gt;&lt;/EndNote&gt;</w:instrText>
      </w:r>
      <w:r w:rsidR="007D6EBB">
        <w:rPr>
          <w:rFonts w:ascii="Arial" w:hAnsi="Arial" w:cs="Arial"/>
        </w:rPr>
        <w:fldChar w:fldCharType="separate"/>
      </w:r>
      <w:r w:rsidR="00EF6236">
        <w:rPr>
          <w:rFonts w:ascii="Arial" w:hAnsi="Arial" w:cs="Arial"/>
          <w:noProof/>
        </w:rPr>
        <w:t>(</w:t>
      </w:r>
      <w:hyperlink w:anchor="_ENREF_47" w:tooltip="Ross, 2005 #41" w:history="1">
        <w:r w:rsidR="003B725E">
          <w:rPr>
            <w:rFonts w:ascii="Arial" w:hAnsi="Arial" w:cs="Arial"/>
            <w:noProof/>
          </w:rPr>
          <w:t>47</w:t>
        </w:r>
      </w:hyperlink>
      <w:r w:rsidR="00EF6236">
        <w:rPr>
          <w:rFonts w:ascii="Arial" w:hAnsi="Arial" w:cs="Arial"/>
          <w:noProof/>
        </w:rPr>
        <w:t>)</w:t>
      </w:r>
      <w:r w:rsidR="007D6EBB">
        <w:rPr>
          <w:rFonts w:ascii="Arial" w:hAnsi="Arial" w:cs="Arial"/>
        </w:rPr>
        <w:fldChar w:fldCharType="end"/>
      </w:r>
      <w:r w:rsidR="007D6EBB">
        <w:rPr>
          <w:rFonts w:ascii="Arial" w:hAnsi="Arial" w:cs="Arial"/>
        </w:rPr>
        <w:t>.</w:t>
      </w:r>
      <w:r w:rsidR="00292DDB">
        <w:rPr>
          <w:rFonts w:ascii="Arial" w:hAnsi="Arial" w:cs="Arial"/>
        </w:rPr>
        <w:t xml:space="preserve"> </w:t>
      </w:r>
      <w:r w:rsidR="00594E46">
        <w:rPr>
          <w:rFonts w:ascii="Arial" w:hAnsi="Arial" w:cs="Arial"/>
        </w:rPr>
        <w:t>Like other α/β integrins, αvβ3 is a heterodimer with a long extracellular and a single transmembrane domain. In nor</w:t>
      </w:r>
      <w:r w:rsidR="00AF6B7C">
        <w:rPr>
          <w:rFonts w:ascii="Arial" w:hAnsi="Arial" w:cs="Arial"/>
        </w:rPr>
        <w:t xml:space="preserve">mal physiological conditions its distribution is </w:t>
      </w:r>
      <w:r w:rsidR="00594E46">
        <w:rPr>
          <w:rFonts w:ascii="Arial" w:hAnsi="Arial" w:cs="Arial"/>
        </w:rPr>
        <w:t xml:space="preserve">in the osteoclasts and </w:t>
      </w:r>
      <w:r w:rsidR="00594E46">
        <w:rPr>
          <w:rFonts w:ascii="Arial" w:hAnsi="Arial" w:cs="Arial"/>
        </w:rPr>
        <w:lastRenderedPageBreak/>
        <w:t xml:space="preserve">placenta </w:t>
      </w:r>
      <w:r w:rsidR="00594E46">
        <w:rPr>
          <w:rFonts w:ascii="Arial" w:hAnsi="Arial" w:cs="Arial"/>
        </w:rPr>
        <w:fldChar w:fldCharType="begin"/>
      </w:r>
      <w:r w:rsidR="00EF6236">
        <w:rPr>
          <w:rFonts w:ascii="Arial" w:hAnsi="Arial" w:cs="Arial"/>
        </w:rPr>
        <w:instrText xml:space="preserve"> ADDIN EN.CITE &lt;EndNote&gt;&lt;Cite&gt;&lt;Author&gt;Ross&lt;/Author&gt;&lt;Year&gt;2005&lt;/Year&gt;&lt;RecNum&gt;41&lt;/RecNum&gt;&lt;DisplayText&gt;(47)&lt;/DisplayText&gt;&lt;record&gt;&lt;rec-number&gt;41&lt;/rec-number&gt;&lt;foreign-keys&gt;&lt;key app="EN" db-id="p9a5ttsvyvde9me5aw2x05fp5p55axf0wr90" timestamp="1417714996"&gt;41&lt;/key&gt;&lt;/foreign-keys&gt;&lt;ref-type name="Journal Article"&gt;17&lt;/ref-type&gt;&lt;contributors&gt;&lt;authors&gt;&lt;author&gt;Ross, F. P.&lt;/author&gt;&lt;author&gt;Teitelbaum, S. L.&lt;/author&gt;&lt;/authors&gt;&lt;/contributors&gt;&lt;auth-address&gt;Washington University School of Medicine, St. Louis, MO 63110, USA. rossf@wustl.edu&lt;/auth-address&gt;&lt;titles&gt;&lt;title&gt;alphavbeta3 and macrophage colony-stimulating factor: partners in osteoclast biology&lt;/title&gt;&lt;secondary-title&gt;Immunol Rev&lt;/secondary-title&gt;&lt;alt-title&gt;Immunological reviews&lt;/alt-title&gt;&lt;/titles&gt;&lt;periodical&gt;&lt;full-title&gt;Immunol Rev&lt;/full-title&gt;&lt;abbr-1&gt;Immunological reviews&lt;/abbr-1&gt;&lt;/periodical&gt;&lt;alt-periodical&gt;&lt;full-title&gt;Immunol Rev&lt;/full-title&gt;&lt;abbr-1&gt;Immunological reviews&lt;/abbr-1&gt;&lt;/alt-periodical&gt;&lt;pages&gt;88-105&lt;/pages&gt;&lt;volume&gt;208&lt;/volume&gt;&lt;edition&gt;2005/11/30&lt;/edition&gt;&lt;keywords&gt;&lt;keyword&gt;Animals&lt;/keyword&gt;&lt;keyword&gt;Apoptosis&lt;/keyword&gt;&lt;keyword&gt;Cell Differentiation&lt;/keyword&gt;&lt;keyword&gt;Humans&lt;/keyword&gt;&lt;keyword&gt;Integrin alphaVbeta3/ physiology&lt;/keyword&gt;&lt;keyword&gt;Macrophage Colony-Stimulating Factor/ physiology&lt;/keyword&gt;&lt;keyword&gt;Macrophages/physiology&lt;/keyword&gt;&lt;keyword&gt;Osteoclasts/cytology/ physiology&lt;/keyword&gt;&lt;keyword&gt;Protein-Tyrosine Kinases/chemistry&lt;/keyword&gt;&lt;keyword&gt;Proto-Oncogene Proteins c-vav/physiology&lt;/keyword&gt;&lt;keyword&gt;Receptor, Macrophage Colony-Stimulating Factor/ physiology&lt;/keyword&gt;&lt;keyword&gt;Signal Transduction&lt;/keyword&gt;&lt;keyword&gt;rho GTP-Binding Proteins/physiology&lt;/keyword&gt;&lt;/keywords&gt;&lt;dates&gt;&lt;year&gt;2005&lt;/year&gt;&lt;pub-dates&gt;&lt;date&gt;Dec&lt;/date&gt;&lt;/pub-dates&gt;&lt;/dates&gt;&lt;isbn&gt;0105-2896 (Print)&amp;#xD;0105-2896 (Linking)&lt;/isbn&gt;&lt;accession-num&gt;16313343&lt;/accession-num&gt;&lt;urls&gt;&lt;/urls&gt;&lt;electronic-resource-num&gt;10.1111/j.0105-2896.2005.00331.x&lt;/electronic-resource-num&gt;&lt;remote-database-provider&gt;NLM&lt;/remote-database-provider&gt;&lt;language&gt;eng&lt;/language&gt;&lt;/record&gt;&lt;/Cite&gt;&lt;/EndNote&gt;</w:instrText>
      </w:r>
      <w:r w:rsidR="00594E46">
        <w:rPr>
          <w:rFonts w:ascii="Arial" w:hAnsi="Arial" w:cs="Arial"/>
        </w:rPr>
        <w:fldChar w:fldCharType="separate"/>
      </w:r>
      <w:r w:rsidR="00EF6236">
        <w:rPr>
          <w:rFonts w:ascii="Arial" w:hAnsi="Arial" w:cs="Arial"/>
          <w:noProof/>
        </w:rPr>
        <w:t>(</w:t>
      </w:r>
      <w:hyperlink w:anchor="_ENREF_47" w:tooltip="Ross, 2005 #41" w:history="1">
        <w:r w:rsidR="003B725E">
          <w:rPr>
            <w:rFonts w:ascii="Arial" w:hAnsi="Arial" w:cs="Arial"/>
            <w:noProof/>
          </w:rPr>
          <w:t>47</w:t>
        </w:r>
      </w:hyperlink>
      <w:r w:rsidR="00EF6236">
        <w:rPr>
          <w:rFonts w:ascii="Arial" w:hAnsi="Arial" w:cs="Arial"/>
          <w:noProof/>
        </w:rPr>
        <w:t>)</w:t>
      </w:r>
      <w:r w:rsidR="00594E46">
        <w:rPr>
          <w:rFonts w:ascii="Arial" w:hAnsi="Arial" w:cs="Arial"/>
        </w:rPr>
        <w:fldChar w:fldCharType="end"/>
      </w:r>
      <w:r w:rsidR="00594E46">
        <w:rPr>
          <w:rFonts w:ascii="Arial" w:hAnsi="Arial" w:cs="Arial"/>
        </w:rPr>
        <w:t xml:space="preserve">. </w:t>
      </w:r>
      <w:r w:rsidR="00F44F19">
        <w:rPr>
          <w:rFonts w:ascii="Arial" w:hAnsi="Arial" w:cs="Arial"/>
        </w:rPr>
        <w:t>Its</w:t>
      </w:r>
      <w:r w:rsidR="00594E46">
        <w:rPr>
          <w:rFonts w:ascii="Arial" w:hAnsi="Arial" w:cs="Arial"/>
        </w:rPr>
        <w:t xml:space="preserve"> importance in </w:t>
      </w:r>
      <w:r w:rsidR="00F44F19">
        <w:rPr>
          <w:rFonts w:ascii="Arial" w:hAnsi="Arial" w:cs="Arial"/>
        </w:rPr>
        <w:t>mediating the adhesion of the osteoclast to the cell membrane and thus initiating the signals</w:t>
      </w:r>
      <w:r w:rsidR="00AF6B7C">
        <w:rPr>
          <w:rFonts w:ascii="Arial" w:hAnsi="Arial" w:cs="Arial"/>
        </w:rPr>
        <w:t xml:space="preserve"> necessary for the resorption process</w:t>
      </w:r>
      <w:r w:rsidR="00DC2A00">
        <w:rPr>
          <w:rFonts w:ascii="Arial" w:hAnsi="Arial" w:cs="Arial"/>
        </w:rPr>
        <w:t xml:space="preserve"> has been described in mouse</w:t>
      </w:r>
      <w:r w:rsidR="00F44F19">
        <w:rPr>
          <w:rFonts w:ascii="Arial" w:hAnsi="Arial" w:cs="Arial"/>
        </w:rPr>
        <w:t xml:space="preserve"> </w:t>
      </w:r>
      <w:r w:rsidR="00DC2A00">
        <w:rPr>
          <w:rFonts w:ascii="Arial" w:hAnsi="Arial" w:cs="Arial"/>
        </w:rPr>
        <w:t>models</w:t>
      </w:r>
      <w:r w:rsidR="00FB646F">
        <w:rPr>
          <w:rFonts w:ascii="Arial" w:hAnsi="Arial" w:cs="Arial"/>
        </w:rPr>
        <w:t xml:space="preserve"> </w:t>
      </w:r>
      <w:r w:rsidR="00F44F19">
        <w:rPr>
          <w:rFonts w:ascii="Arial" w:hAnsi="Arial" w:cs="Arial"/>
        </w:rPr>
        <w:fldChar w:fldCharType="begin">
          <w:fldData xml:space="preserve">PEVuZE5vdGU+PENpdGU+PEF1dGhvcj5NY0h1Z2g8L0F1dGhvcj48WWVhcj4yMDAwPC9ZZWFyPjxS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PEVuZE5vdGU+PENpdGU+PEF1dGhvcj5NY0h1Z2g8L0F1dGhvcj48WWVhcj4yMDAwPC9ZZWFyPjxS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F44F19">
        <w:rPr>
          <w:rFonts w:ascii="Arial" w:hAnsi="Arial" w:cs="Arial"/>
        </w:rPr>
      </w:r>
      <w:r w:rsidR="00F44F19">
        <w:rPr>
          <w:rFonts w:ascii="Arial" w:hAnsi="Arial" w:cs="Arial"/>
        </w:rPr>
        <w:fldChar w:fldCharType="separate"/>
      </w:r>
      <w:r w:rsidR="00EF6236">
        <w:rPr>
          <w:rFonts w:ascii="Arial" w:hAnsi="Arial" w:cs="Arial"/>
          <w:noProof/>
        </w:rPr>
        <w:t>(</w:t>
      </w:r>
      <w:hyperlink w:anchor="_ENREF_48" w:tooltip="McHugh, 2000 #305" w:history="1">
        <w:r w:rsidR="003B725E">
          <w:rPr>
            <w:rFonts w:ascii="Arial" w:hAnsi="Arial" w:cs="Arial"/>
            <w:noProof/>
          </w:rPr>
          <w:t>48</w:t>
        </w:r>
      </w:hyperlink>
      <w:r w:rsidR="00EF6236">
        <w:rPr>
          <w:rFonts w:ascii="Arial" w:hAnsi="Arial" w:cs="Arial"/>
          <w:noProof/>
        </w:rPr>
        <w:t xml:space="preserve">, </w:t>
      </w:r>
      <w:hyperlink w:anchor="_ENREF_49" w:tooltip="Teitelbaum, 2005 #306" w:history="1">
        <w:r w:rsidR="003B725E">
          <w:rPr>
            <w:rFonts w:ascii="Arial" w:hAnsi="Arial" w:cs="Arial"/>
            <w:noProof/>
          </w:rPr>
          <w:t>49</w:t>
        </w:r>
      </w:hyperlink>
      <w:r w:rsidR="00EF6236">
        <w:rPr>
          <w:rFonts w:ascii="Arial" w:hAnsi="Arial" w:cs="Arial"/>
          <w:noProof/>
        </w:rPr>
        <w:t>)</w:t>
      </w:r>
      <w:r w:rsidR="00F44F19">
        <w:rPr>
          <w:rFonts w:ascii="Arial" w:hAnsi="Arial" w:cs="Arial"/>
        </w:rPr>
        <w:fldChar w:fldCharType="end"/>
      </w:r>
      <w:r w:rsidR="00F44F19">
        <w:rPr>
          <w:rFonts w:ascii="Arial" w:hAnsi="Arial" w:cs="Arial"/>
        </w:rPr>
        <w:t xml:space="preserve">. </w:t>
      </w:r>
      <w:r w:rsidR="00C14AD7">
        <w:rPr>
          <w:rFonts w:ascii="Arial" w:hAnsi="Arial" w:cs="Arial"/>
        </w:rPr>
        <w:t>The osteoclast</w:t>
      </w:r>
      <w:r w:rsidR="00F312ED">
        <w:rPr>
          <w:rFonts w:ascii="Arial" w:hAnsi="Arial" w:cs="Arial"/>
        </w:rPr>
        <w:t xml:space="preserve"> then secrete</w:t>
      </w:r>
      <w:r w:rsidR="004453DB">
        <w:rPr>
          <w:rFonts w:ascii="Arial" w:hAnsi="Arial" w:cs="Arial"/>
        </w:rPr>
        <w:t>s</w:t>
      </w:r>
      <w:r w:rsidR="00F9589B">
        <w:rPr>
          <w:rFonts w:ascii="Arial" w:hAnsi="Arial" w:cs="Arial"/>
        </w:rPr>
        <w:t xml:space="preserve"> hydrogen </w:t>
      </w:r>
      <w:r w:rsidR="00F312ED">
        <w:rPr>
          <w:rFonts w:ascii="Arial" w:hAnsi="Arial" w:cs="Arial"/>
        </w:rPr>
        <w:t>ions via the H</w:t>
      </w:r>
      <w:r w:rsidR="00F312ED">
        <w:rPr>
          <w:rFonts w:ascii="Arial" w:hAnsi="Arial" w:cs="Arial"/>
          <w:vertAlign w:val="superscript"/>
        </w:rPr>
        <w:t>+</w:t>
      </w:r>
      <w:r w:rsidR="00F9589B">
        <w:rPr>
          <w:rFonts w:ascii="Arial" w:hAnsi="Arial" w:cs="Arial"/>
        </w:rPr>
        <w:t>-ATPase pump and chloride ions via the</w:t>
      </w:r>
      <w:r w:rsidR="00F312ED">
        <w:rPr>
          <w:rFonts w:ascii="Arial" w:hAnsi="Arial" w:cs="Arial"/>
        </w:rPr>
        <w:t xml:space="preserve"> chloride bicarobonate cha</w:t>
      </w:r>
      <w:r w:rsidR="00F9589B">
        <w:rPr>
          <w:rFonts w:ascii="Arial" w:hAnsi="Arial" w:cs="Arial"/>
        </w:rPr>
        <w:t>nnel</w:t>
      </w:r>
      <w:r w:rsidR="005956A8">
        <w:rPr>
          <w:rFonts w:ascii="Arial" w:hAnsi="Arial" w:cs="Arial"/>
        </w:rPr>
        <w:t>, (F</w:t>
      </w:r>
      <w:r w:rsidR="00B07214">
        <w:rPr>
          <w:rFonts w:ascii="Arial" w:hAnsi="Arial" w:cs="Arial"/>
        </w:rPr>
        <w:t>igure 4</w:t>
      </w:r>
      <w:r w:rsidR="005956A8">
        <w:rPr>
          <w:rFonts w:ascii="Arial" w:hAnsi="Arial" w:cs="Arial"/>
        </w:rPr>
        <w:t>)</w:t>
      </w:r>
      <w:r w:rsidR="00F312ED">
        <w:rPr>
          <w:rFonts w:ascii="Arial" w:hAnsi="Arial" w:cs="Arial"/>
        </w:rPr>
        <w:t xml:space="preserve">. </w:t>
      </w:r>
      <w:r w:rsidR="0034565E">
        <w:rPr>
          <w:rFonts w:ascii="Arial" w:hAnsi="Arial" w:cs="Arial"/>
        </w:rPr>
        <w:t>The genera</w:t>
      </w:r>
      <w:r w:rsidR="00F9589B">
        <w:rPr>
          <w:rFonts w:ascii="Arial" w:hAnsi="Arial" w:cs="Arial"/>
        </w:rPr>
        <w:t>ted hydrochloric acid and</w:t>
      </w:r>
      <w:r w:rsidR="0034565E">
        <w:rPr>
          <w:rFonts w:ascii="Arial" w:hAnsi="Arial" w:cs="Arial"/>
        </w:rPr>
        <w:t xml:space="preserve"> proteases such as cathepsin K, matrix metalloproteases (MMPs) -9 and 13, gelatinase and tartrate resistant acid phosphatase are transported in vesicles</w:t>
      </w:r>
      <w:r w:rsidR="009154AF">
        <w:rPr>
          <w:rFonts w:ascii="Arial" w:hAnsi="Arial" w:cs="Arial"/>
        </w:rPr>
        <w:t xml:space="preserve"> down microtubules to the plasma membrane adjacent to the bone surface. These</w:t>
      </w:r>
      <w:r w:rsidR="0034565E">
        <w:rPr>
          <w:rFonts w:ascii="Arial" w:hAnsi="Arial" w:cs="Arial"/>
        </w:rPr>
        <w:t xml:space="preserve"> fuse with the plasma membrane </w:t>
      </w:r>
      <w:r w:rsidR="009154AF">
        <w:rPr>
          <w:rFonts w:ascii="Arial" w:hAnsi="Arial" w:cs="Arial"/>
        </w:rPr>
        <w:t>causing the osteoclast to become polarised</w:t>
      </w:r>
      <w:r w:rsidR="006A411C">
        <w:rPr>
          <w:rFonts w:ascii="Arial" w:hAnsi="Arial" w:cs="Arial"/>
        </w:rPr>
        <w:t xml:space="preserve"> and forms</w:t>
      </w:r>
      <w:r w:rsidR="009154AF">
        <w:rPr>
          <w:rFonts w:ascii="Arial" w:hAnsi="Arial" w:cs="Arial"/>
        </w:rPr>
        <w:t xml:space="preserve"> a ruffled border</w:t>
      </w:r>
      <w:r w:rsidR="00B07214">
        <w:rPr>
          <w:rFonts w:ascii="Arial" w:hAnsi="Arial" w:cs="Arial"/>
        </w:rPr>
        <w:t>, (Figure 4)</w:t>
      </w:r>
      <w:r w:rsidR="009154AF">
        <w:rPr>
          <w:rFonts w:ascii="Arial" w:hAnsi="Arial" w:cs="Arial"/>
        </w:rPr>
        <w:t xml:space="preserve">. </w:t>
      </w:r>
      <w:r w:rsidR="00BF122E">
        <w:rPr>
          <w:rFonts w:ascii="Arial" w:hAnsi="Arial" w:cs="Arial"/>
        </w:rPr>
        <w:t>An additional sealing zone is created by the formation of an actin ring to ensure that the acidified resorption compartment is isolated and adjacent sites are protected</w:t>
      </w:r>
      <w:r w:rsidR="00A24ADC">
        <w:rPr>
          <w:rFonts w:ascii="Arial" w:hAnsi="Arial" w:cs="Arial"/>
        </w:rPr>
        <w:t xml:space="preserve"> </w:t>
      </w:r>
      <w:r w:rsidR="00A07CC2">
        <w:rPr>
          <w:rFonts w:ascii="Arial" w:hAnsi="Arial" w:cs="Arial"/>
        </w:rPr>
        <w:fldChar w:fldCharType="begin"/>
      </w:r>
      <w:r w:rsidR="000D155C">
        <w:rPr>
          <w:rFonts w:ascii="Arial" w:hAnsi="Arial" w:cs="Arial"/>
        </w:rPr>
        <w:instrText xml:space="preserve"> ADDIN EN.CITE &lt;EndNote&gt;&lt;Cite&gt;&lt;Author&gt;Vaananen&lt;/Author&gt;&lt;Year&gt;2000&lt;/Year&gt;&lt;RecNum&gt;497&lt;/RecNum&gt;&lt;DisplayText&gt;(50)&lt;/DisplayText&gt;&lt;record&gt;&lt;rec-number&gt;497&lt;/rec-number&gt;&lt;foreign-keys&gt;&lt;key app="EN" db-id="999pfvae505tsbee9eapvxv0srxdfv2ttr5e" timestamp="0"&gt;497&lt;/key&gt;&lt;/foreign-keys&gt;&lt;ref-type name="Journal Article"&gt;17&lt;/ref-type&gt;&lt;contributors&gt;&lt;authors&gt;&lt;author&gt;Vaananen, H. K.&lt;/author&gt;&lt;author&gt;Zhao, H.&lt;/author&gt;&lt;author&gt;Mulari, M.&lt;/author&gt;&lt;author&gt;Halleen, J. M.&lt;/author&gt;&lt;/authors&gt;&lt;/contributors&gt;&lt;auth-address&gt;Skeletal Research Program, Department of Anatomy, Institute of Biomedicine, University of Turku, Finland. kalervo.vaananen@utu.fi&lt;/auth-address&gt;&lt;titles&gt;&lt;title&gt;The cell biology of osteoclast function&lt;/title&gt;&lt;secondary-title&gt;J Cell Sci&lt;/secondary-title&gt;&lt;alt-title&gt;Journal of cell science&lt;/alt-title&gt;&lt;/titles&gt;&lt;pages&gt;377-81&lt;/pages&gt;&lt;volume&gt;113 ( Pt 3)&lt;/volume&gt;&lt;edition&gt;2000/01/20&lt;/edition&gt;&lt;keywords&gt;&lt;keyword&gt;Animals&lt;/keyword&gt;&lt;keyword&gt;Biological Transport&lt;/keyword&gt;&lt;keyword&gt;Bone Matrix/metabolism&lt;/keyword&gt;&lt;keyword&gt;Bone Resorption/ pathology&lt;/keyword&gt;&lt;keyword&gt;Cell Movement&lt;/keyword&gt;&lt;keyword&gt;Cell Polarity&lt;/keyword&gt;&lt;keyword&gt;Cells, Cultured&lt;/keyword&gt;&lt;keyword&gt;Collagen/metabolism&lt;/keyword&gt;&lt;keyword&gt;Cytoskeleton/ultrastructure&lt;/keyword&gt;&lt;keyword&gt;Durapatite/metabolism&lt;/keyword&gt;&lt;keyword&gt;Endopeptidases/metabolism&lt;/keyword&gt;&lt;keyword&gt;Humans&lt;/keyword&gt;&lt;keyword&gt;Hydrochloric Acid/metabolism&lt;/keyword&gt;&lt;keyword&gt;Mice&lt;/keyword&gt;&lt;keyword&gt;Mice, Knockout&lt;/keyword&gt;&lt;keyword&gt;Organelles/physiology&lt;/keyword&gt;&lt;keyword&gt;Osteoclasts/ cytology/physiology&lt;/keyword&gt;&lt;keyword&gt;Proton Pumps/metabolism&lt;/keyword&gt;&lt;keyword&gt;Reactive Oxygen Species&lt;/keyword&gt;&lt;/keywords&gt;&lt;dates&gt;&lt;year&gt;2000&lt;/year&gt;&lt;pub-dates&gt;&lt;date&gt;Feb&lt;/date&gt;&lt;/pub-dates&gt;&lt;/dates&gt;&lt;isbn&gt;0021-9533 (Print)&amp;#xD;0021-9533 (Linking)&lt;/isbn&gt;&lt;accession-num&gt;10639325&lt;/accession-num&gt;&lt;urls&gt;&lt;/urls&gt;&lt;remote-database-provider&gt;NLM&lt;/remote-database-provider&gt;&lt;language&gt;eng&lt;/language&gt;&lt;/record&gt;&lt;/Cite&gt;&lt;/EndNote&gt;</w:instrText>
      </w:r>
      <w:r w:rsidR="00A07CC2">
        <w:rPr>
          <w:rFonts w:ascii="Arial" w:hAnsi="Arial" w:cs="Arial"/>
        </w:rPr>
        <w:fldChar w:fldCharType="separate"/>
      </w:r>
      <w:r w:rsidR="00EF6236">
        <w:rPr>
          <w:rFonts w:ascii="Arial" w:hAnsi="Arial" w:cs="Arial"/>
          <w:noProof/>
        </w:rPr>
        <w:t>(</w:t>
      </w:r>
      <w:hyperlink w:anchor="_ENREF_50" w:tooltip="Vaananen, 2000 #497" w:history="1">
        <w:r w:rsidR="003B725E">
          <w:rPr>
            <w:rFonts w:ascii="Arial" w:hAnsi="Arial" w:cs="Arial"/>
            <w:noProof/>
          </w:rPr>
          <w:t>50</w:t>
        </w:r>
      </w:hyperlink>
      <w:r w:rsidR="00EF6236">
        <w:rPr>
          <w:rFonts w:ascii="Arial" w:hAnsi="Arial" w:cs="Arial"/>
          <w:noProof/>
        </w:rPr>
        <w:t>)</w:t>
      </w:r>
      <w:r w:rsidR="00A07CC2">
        <w:rPr>
          <w:rFonts w:ascii="Arial" w:hAnsi="Arial" w:cs="Arial"/>
        </w:rPr>
        <w:fldChar w:fldCharType="end"/>
      </w:r>
      <w:r w:rsidR="00BF122E">
        <w:rPr>
          <w:rFonts w:ascii="Arial" w:hAnsi="Arial" w:cs="Arial"/>
        </w:rPr>
        <w:t xml:space="preserve">. </w:t>
      </w:r>
      <w:r w:rsidR="006A411C">
        <w:rPr>
          <w:rFonts w:ascii="Arial" w:hAnsi="Arial" w:cs="Arial"/>
        </w:rPr>
        <w:t>The secretion of H</w:t>
      </w:r>
      <w:r w:rsidR="006A411C">
        <w:rPr>
          <w:rFonts w:ascii="Arial" w:hAnsi="Arial" w:cs="Arial"/>
          <w:vertAlign w:val="superscript"/>
        </w:rPr>
        <w:t>+</w:t>
      </w:r>
      <w:r w:rsidR="006A411C">
        <w:rPr>
          <w:rFonts w:ascii="Arial" w:hAnsi="Arial" w:cs="Arial"/>
        </w:rPr>
        <w:t xml:space="preserve"> and cathepsin K by exocytosis creates</w:t>
      </w:r>
      <w:r w:rsidR="0034565E">
        <w:rPr>
          <w:rFonts w:ascii="Arial" w:hAnsi="Arial" w:cs="Arial"/>
        </w:rPr>
        <w:t xml:space="preserve"> a highly acidic environment, pH 4.5</w:t>
      </w:r>
      <w:r w:rsidR="00B51C91">
        <w:rPr>
          <w:rFonts w:ascii="Arial" w:hAnsi="Arial" w:cs="Arial"/>
        </w:rPr>
        <w:t xml:space="preserve"> </w:t>
      </w:r>
      <w:r w:rsidR="00B51C91">
        <w:rPr>
          <w:rFonts w:ascii="Arial" w:hAnsi="Arial" w:cs="Arial"/>
        </w:rPr>
        <w:fldChar w:fldCharType="begin"/>
      </w:r>
      <w:r w:rsidR="00EF6236">
        <w:rPr>
          <w:rFonts w:ascii="Arial" w:hAnsi="Arial" w:cs="Arial"/>
        </w:rPr>
        <w:instrText xml:space="preserve"> ADDIN EN.CITE &lt;EndNote&gt;&lt;Cite&gt;&lt;Author&gt;Teitelbaum&lt;/Author&gt;&lt;Year&gt;1995&lt;/Year&gt;&lt;RecNum&gt;43&lt;/RecNum&gt;&lt;DisplayText&gt;(51)&lt;/DisplayText&gt;&lt;record&gt;&lt;rec-number&gt;43&lt;/rec-number&gt;&lt;foreign-keys&gt;&lt;key app="EN" db-id="p9a5ttsvyvde9me5aw2x05fp5p55axf0wr90" timestamp="1417714996"&gt;43&lt;/key&gt;&lt;/foreign-keys&gt;&lt;ref-type name="Journal Article"&gt;17&lt;/ref-type&gt;&lt;contributors&gt;&lt;authors&gt;&lt;author&gt;Teitelbaum, S. L.&lt;/author&gt;&lt;author&gt;Cao, X.&lt;/author&gt;&lt;author&gt;Mimura, H.&lt;/author&gt;&lt;author&gt;Chiba, M.&lt;/author&gt;&lt;author&gt;Ross, F. P.&lt;/author&gt;&lt;/authors&gt;&lt;/contributors&gt;&lt;auth-address&gt;Department of Pathology, Jewish Hospital, Washington University Medical Center, St. Louis, Mo., USA.&lt;/auth-address&gt;&lt;titles&gt;&lt;title&gt;Cellular and molecular mechanisms of bone resorption&lt;/title&gt;&lt;secondary-title&gt;Miner Electrolyte Metab&lt;/secondary-title&gt;&lt;alt-title&gt;Mineral and electrolyte metabolism&lt;/alt-title&gt;&lt;/titles&gt;&lt;periodical&gt;&lt;full-title&gt;Miner Electrolyte Metab&lt;/full-title&gt;&lt;abbr-1&gt;Mineral and electrolyte metabolism&lt;/abbr-1&gt;&lt;/periodical&gt;&lt;alt-periodical&gt;&lt;full-title&gt;Miner Electrolyte Metab&lt;/full-title&gt;&lt;abbr-1&gt;Mineral and electrolyte metabolism&lt;/abbr-1&gt;&lt;/alt-periodical&gt;&lt;pages&gt;193-6&lt;/pages&gt;&lt;volume&gt;21&lt;/volume&gt;&lt;number&gt;1-3&lt;/number&gt;&lt;edition&gt;1995/01/01&lt;/edition&gt;&lt;keywords&gt;&lt;keyword&gt;Animals&lt;/keyword&gt;&lt;keyword&gt;Bone Resorption/ metabolism/ pathology&lt;/keyword&gt;&lt;keyword&gt;Calcitriol/pharmacology&lt;/keyword&gt;&lt;keyword&gt;Integrins/biosynthesis&lt;/keyword&gt;&lt;keyword&gt;Nuclear Proteins/metabolism&lt;/keyword&gt;&lt;keyword&gt;Osteoclasts/drug effects/metabolism/ pathology&lt;/keyword&gt;&lt;keyword&gt;Receptors, Retinoic Acid/metabolism&lt;/keyword&gt;&lt;keyword&gt;Retinoid X Receptors&lt;/keyword&gt;&lt;keyword&gt;Transcription Factors/metabolism&lt;/keyword&gt;&lt;keyword&gt;Transcriptional Activation&lt;/keyword&gt;&lt;/keywords&gt;&lt;dates&gt;&lt;year&gt;1995&lt;/year&gt;&lt;/dates&gt;&lt;isbn&gt;0378-0392 (Print)&amp;#xD;0378-0392 (Linking)&lt;/isbn&gt;&lt;accession-num&gt;7565448&lt;/accession-num&gt;&lt;urls&gt;&lt;/urls&gt;&lt;remote-database-provider&gt;NLM&lt;/remote-database-provider&gt;&lt;language&gt;eng&lt;/language&gt;&lt;/record&gt;&lt;/Cite&gt;&lt;/EndNote&gt;</w:instrText>
      </w:r>
      <w:r w:rsidR="00B51C91">
        <w:rPr>
          <w:rFonts w:ascii="Arial" w:hAnsi="Arial" w:cs="Arial"/>
        </w:rPr>
        <w:fldChar w:fldCharType="separate"/>
      </w:r>
      <w:r w:rsidR="00EF6236">
        <w:rPr>
          <w:rFonts w:ascii="Arial" w:hAnsi="Arial" w:cs="Arial"/>
          <w:noProof/>
        </w:rPr>
        <w:t>(</w:t>
      </w:r>
      <w:hyperlink w:anchor="_ENREF_51" w:tooltip="Teitelbaum, 1995 #43" w:history="1">
        <w:r w:rsidR="003B725E">
          <w:rPr>
            <w:rFonts w:ascii="Arial" w:hAnsi="Arial" w:cs="Arial"/>
            <w:noProof/>
          </w:rPr>
          <w:t>51</w:t>
        </w:r>
      </w:hyperlink>
      <w:r w:rsidR="00EF6236">
        <w:rPr>
          <w:rFonts w:ascii="Arial" w:hAnsi="Arial" w:cs="Arial"/>
          <w:noProof/>
        </w:rPr>
        <w:t>)</w:t>
      </w:r>
      <w:r w:rsidR="00B51C91">
        <w:rPr>
          <w:rFonts w:ascii="Arial" w:hAnsi="Arial" w:cs="Arial"/>
        </w:rPr>
        <w:fldChar w:fldCharType="end"/>
      </w:r>
      <w:r w:rsidR="0034565E">
        <w:rPr>
          <w:rFonts w:ascii="Arial" w:hAnsi="Arial" w:cs="Arial"/>
        </w:rPr>
        <w:t>.</w:t>
      </w:r>
      <w:r w:rsidR="000B0553">
        <w:rPr>
          <w:rFonts w:ascii="Arial" w:hAnsi="Arial" w:cs="Arial"/>
        </w:rPr>
        <w:t xml:space="preserve"> O</w:t>
      </w:r>
      <w:r w:rsidR="0034565E">
        <w:rPr>
          <w:rFonts w:ascii="Arial" w:hAnsi="Arial" w:cs="Arial"/>
        </w:rPr>
        <w:t>nce secreted</w:t>
      </w:r>
      <w:r w:rsidR="00C14AD7">
        <w:rPr>
          <w:rFonts w:ascii="Arial" w:hAnsi="Arial" w:cs="Arial"/>
        </w:rPr>
        <w:t xml:space="preserve"> the acid dissolves the hydroxyapatite on the bone surface, the proteolytic enzymes degrades </w:t>
      </w:r>
      <w:r w:rsidR="000B0553">
        <w:rPr>
          <w:rFonts w:ascii="Arial" w:hAnsi="Arial" w:cs="Arial"/>
        </w:rPr>
        <w:t xml:space="preserve">the bone matrix and </w:t>
      </w:r>
      <w:r w:rsidR="00C14AD7">
        <w:rPr>
          <w:rFonts w:ascii="Arial" w:hAnsi="Arial" w:cs="Arial"/>
        </w:rPr>
        <w:t xml:space="preserve">cathepsin K degrades </w:t>
      </w:r>
      <w:r w:rsidR="00B51C91">
        <w:rPr>
          <w:rFonts w:ascii="Arial" w:hAnsi="Arial" w:cs="Arial"/>
        </w:rPr>
        <w:t xml:space="preserve">type I collagen </w:t>
      </w:r>
      <w:r w:rsidR="00B51C91">
        <w:rPr>
          <w:rFonts w:ascii="Arial" w:hAnsi="Arial" w:cs="Arial"/>
        </w:rPr>
        <w:fldChar w:fldCharType="begin">
          <w:fldData xml:space="preserve">PEVuZE5vdGU+PENpdGU+PEF1dGhvcj5Cb3lsZTwvQXV0aG9yPjxZZWFyPjIwMDM8L1llYXI+PFJl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PC9hbHQtcGVyaW9kaWNhbD48cGFnZXM+MzM3LTQyPC9wYWdlcz48dm9sdW1lPjQyMzwvdm9sdW1l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PEVuZE5vdGU+PENpdGU+PEF1dGhvcj5Cb3lsZTwvQXV0aG9yPjxZZWFyPjIwMDM8L1llYXI+PFJl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PC9hbHQtcGVyaW9kaWNhbD48cGFnZXM+MzM3LTQyPC9wYWdlcz48dm9sdW1lPjQyMzwvdm9sdW1l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B51C91">
        <w:rPr>
          <w:rFonts w:ascii="Arial" w:hAnsi="Arial" w:cs="Arial"/>
        </w:rPr>
      </w:r>
      <w:r w:rsidR="00B51C91">
        <w:rPr>
          <w:rFonts w:ascii="Arial" w:hAnsi="Arial" w:cs="Arial"/>
        </w:rPr>
        <w:fldChar w:fldCharType="separate"/>
      </w:r>
      <w:r w:rsidR="00EF6236">
        <w:rPr>
          <w:rFonts w:ascii="Arial" w:hAnsi="Arial" w:cs="Arial"/>
          <w:noProof/>
        </w:rPr>
        <w:t>(</w:t>
      </w:r>
      <w:hyperlink w:anchor="_ENREF_22" w:tooltip="Boyle, 2003 #23" w:history="1">
        <w:r w:rsidR="003B725E">
          <w:rPr>
            <w:rFonts w:ascii="Arial" w:hAnsi="Arial" w:cs="Arial"/>
            <w:noProof/>
          </w:rPr>
          <w:t>22</w:t>
        </w:r>
      </w:hyperlink>
      <w:r w:rsidR="00EF6236">
        <w:rPr>
          <w:rFonts w:ascii="Arial" w:hAnsi="Arial" w:cs="Arial"/>
          <w:noProof/>
        </w:rPr>
        <w:t xml:space="preserve">, </w:t>
      </w:r>
      <w:hyperlink w:anchor="_ENREF_52" w:tooltip="Ross, 2013 #291" w:history="1">
        <w:r w:rsidR="003B725E">
          <w:rPr>
            <w:rFonts w:ascii="Arial" w:hAnsi="Arial" w:cs="Arial"/>
            <w:noProof/>
          </w:rPr>
          <w:t>52</w:t>
        </w:r>
      </w:hyperlink>
      <w:r w:rsidR="00EF6236">
        <w:rPr>
          <w:rFonts w:ascii="Arial" w:hAnsi="Arial" w:cs="Arial"/>
          <w:noProof/>
        </w:rPr>
        <w:t>)</w:t>
      </w:r>
      <w:r w:rsidR="00B51C91">
        <w:rPr>
          <w:rFonts w:ascii="Arial" w:hAnsi="Arial" w:cs="Arial"/>
        </w:rPr>
        <w:fldChar w:fldCharType="end"/>
      </w:r>
    </w:p>
    <w:p w:rsidR="005956A8" w:rsidRDefault="005956A8" w:rsidP="00900F2C">
      <w:pPr>
        <w:keepNext/>
        <w:spacing w:line="360" w:lineRule="auto"/>
      </w:pPr>
      <w:r w:rsidRPr="005956A8">
        <w:rPr>
          <w:noProof/>
          <w:lang w:eastAsia="zh-CN"/>
        </w:rPr>
        <w:drawing>
          <wp:inline distT="0" distB="0" distL="0" distR="0" wp14:anchorId="3E51BA17" wp14:editId="605CD666">
            <wp:extent cx="2590800" cy="1980446"/>
            <wp:effectExtent l="0" t="0" r="0" b="1270"/>
            <wp:docPr id="18439" name="Picture 1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03286" cy="1989990"/>
                    </a:xfrm>
                    <a:prstGeom prst="rect">
                      <a:avLst/>
                    </a:prstGeom>
                    <a:noFill/>
                    <a:ln>
                      <a:noFill/>
                    </a:ln>
                  </pic:spPr>
                </pic:pic>
              </a:graphicData>
            </a:graphic>
          </wp:inline>
        </w:drawing>
      </w:r>
      <w:r w:rsidR="008E0012">
        <w:rPr>
          <w:noProof/>
          <w:lang w:eastAsia="zh-CN"/>
        </w:rPr>
        <w:drawing>
          <wp:inline distT="0" distB="0" distL="0" distR="0" wp14:anchorId="649A0349" wp14:editId="037CE782">
            <wp:extent cx="2733675" cy="2088084"/>
            <wp:effectExtent l="0" t="0" r="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37349" cy="2090890"/>
                    </a:xfrm>
                    <a:prstGeom prst="rect">
                      <a:avLst/>
                    </a:prstGeom>
                    <a:noFill/>
                  </pic:spPr>
                </pic:pic>
              </a:graphicData>
            </a:graphic>
          </wp:inline>
        </w:drawing>
      </w:r>
    </w:p>
    <w:p w:rsidR="005956A8" w:rsidRPr="00DA14FE" w:rsidRDefault="005956A8" w:rsidP="003B725E">
      <w:pPr>
        <w:pStyle w:val="Caption"/>
        <w:jc w:val="both"/>
        <w:rPr>
          <w:rFonts w:ascii="Arial" w:hAnsi="Arial" w:cs="Arial"/>
          <w:b w:val="0"/>
          <w:color w:val="auto"/>
        </w:rPr>
      </w:pPr>
      <w:bookmarkStart w:id="19" w:name="_Toc425419487"/>
      <w:r w:rsidRPr="00DA14FE">
        <w:rPr>
          <w:rFonts w:ascii="Arial" w:hAnsi="Arial" w:cs="Arial"/>
          <w:b w:val="0"/>
          <w:color w:val="auto"/>
        </w:rPr>
        <w:t xml:space="preserve">Figure </w:t>
      </w:r>
      <w:r w:rsidRPr="00DA14FE">
        <w:rPr>
          <w:rFonts w:ascii="Arial" w:hAnsi="Arial" w:cs="Arial"/>
          <w:b w:val="0"/>
          <w:color w:val="auto"/>
        </w:rPr>
        <w:fldChar w:fldCharType="begin"/>
      </w:r>
      <w:r w:rsidRPr="00DA14FE">
        <w:rPr>
          <w:rFonts w:ascii="Arial" w:hAnsi="Arial" w:cs="Arial"/>
          <w:b w:val="0"/>
          <w:color w:val="auto"/>
        </w:rPr>
        <w:instrText xml:space="preserve"> SEQ Figure \* ARABIC </w:instrText>
      </w:r>
      <w:r w:rsidRPr="00DA14FE">
        <w:rPr>
          <w:rFonts w:ascii="Arial" w:hAnsi="Arial" w:cs="Arial"/>
          <w:b w:val="0"/>
          <w:color w:val="auto"/>
        </w:rPr>
        <w:fldChar w:fldCharType="separate"/>
      </w:r>
      <w:r w:rsidR="0040369A">
        <w:rPr>
          <w:rFonts w:ascii="Arial" w:hAnsi="Arial" w:cs="Arial"/>
          <w:b w:val="0"/>
          <w:noProof/>
          <w:color w:val="auto"/>
        </w:rPr>
        <w:t>4</w:t>
      </w:r>
      <w:r w:rsidRPr="00DA14FE">
        <w:rPr>
          <w:rFonts w:ascii="Arial" w:hAnsi="Arial" w:cs="Arial"/>
          <w:b w:val="0"/>
          <w:color w:val="auto"/>
        </w:rPr>
        <w:fldChar w:fldCharType="end"/>
      </w:r>
      <w:r w:rsidR="00B07214" w:rsidRPr="00DA14FE">
        <w:rPr>
          <w:rFonts w:ascii="Arial" w:hAnsi="Arial" w:cs="Arial"/>
          <w:b w:val="0"/>
          <w:color w:val="auto"/>
        </w:rPr>
        <w:t xml:space="preserve">: The mechanism of bone resorption by the osteoclasts </w:t>
      </w:r>
      <w:r w:rsidR="00B07214" w:rsidRPr="00DA14FE">
        <w:rPr>
          <w:rFonts w:ascii="Arial" w:hAnsi="Arial" w:cs="Arial"/>
          <w:b w:val="0"/>
          <w:color w:val="auto"/>
        </w:rPr>
        <w:fldChar w:fldCharType="begin"/>
      </w:r>
      <w:r w:rsidR="00EF6236" w:rsidRPr="00DA14FE">
        <w:rPr>
          <w:rFonts w:ascii="Arial" w:hAnsi="Arial" w:cs="Arial"/>
          <w:b w:val="0"/>
          <w:color w:val="auto"/>
        </w:rPr>
        <w:instrText xml:space="preserve"> ADDIN EN.CITE &lt;EndNote&gt;&lt;Cite&gt;&lt;Author&gt;Ross&lt;/Author&gt;&lt;Year&gt;2013&lt;/Year&gt;&lt;RecNum&gt;291&lt;/RecNum&gt;&lt;DisplayText&gt;(52)&lt;/DisplayText&gt;&lt;record&gt;&lt;rec-number&gt;291&lt;/rec-number&gt;&lt;foreign-keys&gt;&lt;key app="EN" db-id="p9a5ttsvyvde9me5aw2x05fp5p55axf0wr90" timestamp="1431603901"&gt;291&lt;/key&gt;&lt;/foreign-keys&gt;&lt;ref-type name="Book Section"&gt;5&lt;/ref-type&gt;&lt;contributors&gt;&lt;authors&gt;&lt;author&gt;Ross, F. Patrick&lt;/author&gt;&lt;/authors&gt;&lt;/contributors&gt;&lt;titles&gt;&lt;title&gt;Osteoclast Biology and Bone Resorption&lt;/title&gt;&lt;secondary-title&gt;Primer on the Metabolic Bone Diseases and Disorders of Mineral Metabolism&lt;/secondary-title&gt;&lt;/titles&gt;&lt;pages&gt;25-33&lt;/pages&gt;&lt;keywords&gt;&lt;keyword&gt;bone marrow&lt;/keyword&gt;&lt;keyword&gt;bone resorption&lt;/keyword&gt;&lt;keyword&gt;GTPases&lt;/keyword&gt;&lt;keyword&gt;integrin signaling&lt;/keyword&gt;&lt;keyword&gt;intracellular signaling pathways&lt;/keyword&gt;&lt;keyword&gt;osteoclasts&lt;/keyword&gt;&lt;/keywords&gt;&lt;dates&gt;&lt;year&gt;2013&lt;/year&gt;&lt;/dates&gt;&lt;publisher&gt;John Wiley &amp;amp; Sons, Inc.&lt;/publisher&gt;&lt;isbn&gt;9781118453926&lt;/isbn&gt;&lt;urls&gt;&lt;related-urls&gt;&lt;url&gt;http://dx.doi.org/10.1002/9781118453926.ch3&lt;/url&gt;&lt;/related-urls&gt;&lt;/urls&gt;&lt;electronic-resource-num&gt;10.1002/9781118453926.ch3&lt;/electronic-resource-num&gt;&lt;/record&gt;&lt;/Cite&gt;&lt;/EndNote&gt;</w:instrText>
      </w:r>
      <w:r w:rsidR="00B07214" w:rsidRPr="00DA14FE">
        <w:rPr>
          <w:rFonts w:ascii="Arial" w:hAnsi="Arial" w:cs="Arial"/>
          <w:b w:val="0"/>
          <w:color w:val="auto"/>
        </w:rPr>
        <w:fldChar w:fldCharType="separate"/>
      </w:r>
      <w:r w:rsidR="00EF6236" w:rsidRPr="00DA14FE">
        <w:rPr>
          <w:rFonts w:ascii="Arial" w:hAnsi="Arial" w:cs="Arial"/>
          <w:b w:val="0"/>
          <w:noProof/>
          <w:color w:val="auto"/>
        </w:rPr>
        <w:t>(</w:t>
      </w:r>
      <w:hyperlink w:anchor="_ENREF_52" w:tooltip="Ross, 2013 #291" w:history="1">
        <w:r w:rsidR="003B725E" w:rsidRPr="00DA14FE">
          <w:rPr>
            <w:rFonts w:ascii="Arial" w:hAnsi="Arial" w:cs="Arial"/>
            <w:b w:val="0"/>
            <w:noProof/>
            <w:color w:val="auto"/>
          </w:rPr>
          <w:t>52</w:t>
        </w:r>
      </w:hyperlink>
      <w:r w:rsidR="00EF6236" w:rsidRPr="00DA14FE">
        <w:rPr>
          <w:rFonts w:ascii="Arial" w:hAnsi="Arial" w:cs="Arial"/>
          <w:b w:val="0"/>
          <w:noProof/>
          <w:color w:val="auto"/>
        </w:rPr>
        <w:t>)</w:t>
      </w:r>
      <w:r w:rsidR="00B07214" w:rsidRPr="00DA14FE">
        <w:rPr>
          <w:rFonts w:ascii="Arial" w:hAnsi="Arial" w:cs="Arial"/>
          <w:b w:val="0"/>
          <w:color w:val="auto"/>
        </w:rPr>
        <w:fldChar w:fldCharType="end"/>
      </w:r>
      <w:r w:rsidR="00B07214" w:rsidRPr="00DA14FE">
        <w:rPr>
          <w:rFonts w:ascii="Arial" w:hAnsi="Arial" w:cs="Arial"/>
          <w:b w:val="0"/>
          <w:color w:val="auto"/>
        </w:rPr>
        <w:t>.</w:t>
      </w:r>
      <w:r w:rsidR="00F83D2A" w:rsidRPr="00DA14FE">
        <w:rPr>
          <w:rFonts w:ascii="Arial" w:hAnsi="Arial" w:cs="Arial"/>
          <w:b w:val="0"/>
          <w:color w:val="auto"/>
        </w:rPr>
        <w:t xml:space="preserve"> Formation of the sealing zone via integrin αvβ3 and the creation of an acidic environment (left). </w:t>
      </w:r>
      <w:r w:rsidR="00E6010B" w:rsidRPr="00DA14FE">
        <w:rPr>
          <w:rFonts w:ascii="Arial" w:hAnsi="Arial" w:cs="Arial"/>
          <w:b w:val="0"/>
          <w:color w:val="auto"/>
        </w:rPr>
        <w:t xml:space="preserve">Vesicles containing MMPs and cathepsin K fuse with the plasma membrane, leading to the formation of the ruffled border and a polarised, </w:t>
      </w:r>
      <w:r w:rsidR="002A4272" w:rsidRPr="00DA14FE">
        <w:rPr>
          <w:rFonts w:ascii="Arial" w:hAnsi="Arial" w:cs="Arial"/>
          <w:b w:val="0"/>
          <w:color w:val="auto"/>
        </w:rPr>
        <w:t xml:space="preserve">mature </w:t>
      </w:r>
      <w:r w:rsidR="00E6010B" w:rsidRPr="00DA14FE">
        <w:rPr>
          <w:rFonts w:ascii="Arial" w:hAnsi="Arial" w:cs="Arial"/>
          <w:b w:val="0"/>
          <w:color w:val="auto"/>
        </w:rPr>
        <w:t>resorbing cell (right).</w:t>
      </w:r>
      <w:r w:rsidR="00DA14FE" w:rsidRPr="00DA14FE">
        <w:rPr>
          <w:rFonts w:ascii="Arial" w:hAnsi="Arial" w:cs="Arial"/>
          <w:b w:val="0"/>
          <w:color w:val="auto"/>
        </w:rPr>
        <w:t xml:space="preserve"> </w:t>
      </w:r>
      <w:r w:rsidR="00DA14FE" w:rsidRPr="00DA14FE">
        <w:rPr>
          <w:rFonts w:ascii="Arial" w:hAnsi="Arial" w:cs="Arial"/>
          <w:b w:val="0"/>
          <w:noProof/>
          <w:color w:val="auto"/>
        </w:rPr>
        <w:t xml:space="preserve">Copyright (2015) with permission from </w:t>
      </w:r>
      <w:r w:rsidR="00DA14FE" w:rsidRPr="00DA14FE">
        <w:rPr>
          <w:rFonts w:ascii="Arial" w:hAnsi="Arial" w:cs="Arial"/>
          <w:b w:val="0"/>
          <w:color w:val="auto"/>
        </w:rPr>
        <w:t>John Wiley and Sons</w:t>
      </w:r>
      <w:bookmarkEnd w:id="19"/>
    </w:p>
    <w:p w:rsidR="00117384" w:rsidRDefault="00D76ABF" w:rsidP="009143C3">
      <w:pPr>
        <w:pStyle w:val="Heading5"/>
        <w:jc w:val="both"/>
      </w:pPr>
      <w:r>
        <w:t>Regulators</w:t>
      </w:r>
      <w:r w:rsidR="00117384">
        <w:t xml:space="preserve"> of bone resorption</w:t>
      </w:r>
    </w:p>
    <w:p w:rsidR="00117384" w:rsidRDefault="00FE4CCA" w:rsidP="003B725E">
      <w:pPr>
        <w:spacing w:line="360" w:lineRule="auto"/>
        <w:jc w:val="both"/>
        <w:rPr>
          <w:rFonts w:ascii="Arial" w:hAnsi="Arial" w:cs="Arial"/>
        </w:rPr>
      </w:pPr>
      <w:r w:rsidRPr="000454B5">
        <w:rPr>
          <w:rFonts w:ascii="Arial" w:hAnsi="Arial" w:cs="Arial"/>
        </w:rPr>
        <w:t>The forma</w:t>
      </w:r>
      <w:r w:rsidR="00BF5BF0">
        <w:rPr>
          <w:rFonts w:ascii="Arial" w:hAnsi="Arial" w:cs="Arial"/>
        </w:rPr>
        <w:t xml:space="preserve">tion and activation of the </w:t>
      </w:r>
      <w:r w:rsidR="00B07214">
        <w:rPr>
          <w:rFonts w:ascii="Arial" w:hAnsi="Arial" w:cs="Arial"/>
        </w:rPr>
        <w:t>oste</w:t>
      </w:r>
      <w:r w:rsidR="00B07214" w:rsidRPr="000454B5">
        <w:rPr>
          <w:rFonts w:ascii="Arial" w:hAnsi="Arial" w:cs="Arial"/>
        </w:rPr>
        <w:t>oclast</w:t>
      </w:r>
      <w:r w:rsidRPr="000454B5">
        <w:rPr>
          <w:rFonts w:ascii="Arial" w:hAnsi="Arial" w:cs="Arial"/>
        </w:rPr>
        <w:t xml:space="preserve"> and</w:t>
      </w:r>
      <w:r w:rsidR="000454B5">
        <w:rPr>
          <w:rFonts w:ascii="Arial" w:hAnsi="Arial" w:cs="Arial"/>
        </w:rPr>
        <w:t xml:space="preserve"> the process of</w:t>
      </w:r>
      <w:r w:rsidRPr="000454B5">
        <w:rPr>
          <w:rFonts w:ascii="Arial" w:hAnsi="Arial" w:cs="Arial"/>
        </w:rPr>
        <w:t xml:space="preserve"> bone re</w:t>
      </w:r>
      <w:r w:rsidR="00C007B3" w:rsidRPr="000454B5">
        <w:rPr>
          <w:rFonts w:ascii="Arial" w:hAnsi="Arial" w:cs="Arial"/>
        </w:rPr>
        <w:t xml:space="preserve">sorption is regulated by RANKL, </w:t>
      </w:r>
      <w:r w:rsidRPr="000454B5">
        <w:rPr>
          <w:rFonts w:ascii="Arial" w:hAnsi="Arial" w:cs="Arial"/>
        </w:rPr>
        <w:t>osteoprotegerin (OPG), interleukin-1 (IL-1), IL-6, PTH, 1</w:t>
      </w:r>
      <w:r w:rsidR="00143C88" w:rsidRPr="000454B5">
        <w:rPr>
          <w:rFonts w:ascii="Arial" w:hAnsi="Arial" w:cs="Arial"/>
        </w:rPr>
        <w:t>, 25</w:t>
      </w:r>
      <w:r w:rsidRPr="000454B5">
        <w:rPr>
          <w:rFonts w:ascii="Arial" w:hAnsi="Arial" w:cs="Arial"/>
        </w:rPr>
        <w:t xml:space="preserve"> hydroxyvitamin D and calcitonin</w:t>
      </w:r>
      <w:r w:rsidR="00CB2674">
        <w:rPr>
          <w:rFonts w:ascii="Arial" w:hAnsi="Arial" w:cs="Arial"/>
        </w:rPr>
        <w:t xml:space="preserve"> </w:t>
      </w:r>
      <w:r w:rsidR="00CB2674">
        <w:rPr>
          <w:rFonts w:ascii="Arial" w:hAnsi="Arial" w:cs="Arial"/>
        </w:rPr>
        <w:fldChar w:fldCharType="begin"/>
      </w:r>
      <w:r w:rsidR="00EF6236">
        <w:rPr>
          <w:rFonts w:ascii="Arial" w:hAnsi="Arial" w:cs="Arial"/>
        </w:rPr>
        <w:instrText xml:space="preserve"> ADDIN EN.CITE &lt;EndNote&gt;&lt;Cite&gt;&lt;Author&gt;Zhao&lt;/Author&gt;&lt;Year&gt;2011&lt;/Year&gt;&lt;RecNum&gt;307&lt;/RecNum&gt;&lt;DisplayText&gt;(53)&lt;/DisplayText&gt;&lt;record&gt;&lt;rec-number&gt;307&lt;/rec-number&gt;&lt;foreign-keys&gt;&lt;key app="EN" db-id="p9a5ttsvyvde9me5aw2x05fp5p55axf0wr90" timestamp="1433945164"&gt;307&lt;/key&gt;&lt;/foreign-keys&gt;&lt;ref-type name="Journal Article"&gt;17&lt;/ref-type&gt;&lt;contributors&gt;&lt;authors&gt;&lt;author&gt;Zhao, B.&lt;/author&gt;&lt;author&gt;Ivashkiv, L. B.&lt;/author&gt;&lt;/authors&gt;&lt;/contributors&gt;&lt;auth-address&gt;Arthritis and Tissue Degeneration Program, Hospital for Special Surgery, New York, NY 10021, USA.&lt;/auth-address&gt;&lt;titles&gt;&lt;title&gt;Negative regulation of osteoclastogenesis and bone resorption by cytokines and transcriptional repressors&lt;/title&gt;&lt;secondary-title&gt;Arthritis Res Ther&lt;/secondary-title&gt;&lt;/titles&gt;&lt;periodical&gt;&lt;full-title&gt;Arthritis Res Ther&lt;/full-title&gt;&lt;/periodical&gt;&lt;pages&gt;234&lt;/pages&gt;&lt;volume&gt;13&lt;/volume&gt;&lt;number&gt;4&lt;/number&gt;&lt;edition&gt;2011/08/25&lt;/edition&gt;&lt;keywords&gt;&lt;keyword&gt;Animals&lt;/keyword&gt;&lt;keyword&gt;Bone Resorption/ immunology/metabolism&lt;/keyword&gt;&lt;keyword&gt;Cell Differentiation/immunology&lt;/keyword&gt;&lt;keyword&gt;Cytokines/ immunology/metabolism&lt;/keyword&gt;&lt;keyword&gt;Humans&lt;/keyword&gt;&lt;keyword&gt;Osteoclasts/ cytology/ immunology/metabolism&lt;/keyword&gt;&lt;keyword&gt;Signal Transduction/ immunology&lt;/keyword&gt;&lt;keyword&gt;Transcription, Genetic/immunology&lt;/keyword&gt;&lt;/keywords&gt;&lt;dates&gt;&lt;year&gt;2011&lt;/year&gt;&lt;/dates&gt;&lt;isbn&gt;1478-6362 (Electronic)&amp;#xD;1478-6354 (Linking)&lt;/isbn&gt;&lt;accession-num&gt;21861861&lt;/accession-num&gt;&lt;urls&gt;&lt;/urls&gt;&lt;custom2&gt;PMC3239342&lt;/custom2&gt;&lt;electronic-resource-num&gt;10.1186/ar3379&lt;/electronic-resource-num&gt;&lt;remote-database-provider&gt;NLM&lt;/remote-database-provider&gt;&lt;language&gt;eng&lt;/language&gt;&lt;/record&gt;&lt;/Cite&gt;&lt;/EndNote&gt;</w:instrText>
      </w:r>
      <w:r w:rsidR="00CB2674">
        <w:rPr>
          <w:rFonts w:ascii="Arial" w:hAnsi="Arial" w:cs="Arial"/>
        </w:rPr>
        <w:fldChar w:fldCharType="separate"/>
      </w:r>
      <w:r w:rsidR="00EF6236">
        <w:rPr>
          <w:rFonts w:ascii="Arial" w:hAnsi="Arial" w:cs="Arial"/>
          <w:noProof/>
        </w:rPr>
        <w:t>(</w:t>
      </w:r>
      <w:hyperlink w:anchor="_ENREF_53" w:tooltip="Zhao, 2011 #307" w:history="1">
        <w:r w:rsidR="003B725E">
          <w:rPr>
            <w:rFonts w:ascii="Arial" w:hAnsi="Arial" w:cs="Arial"/>
            <w:noProof/>
          </w:rPr>
          <w:t>53</w:t>
        </w:r>
      </w:hyperlink>
      <w:r w:rsidR="00EF6236">
        <w:rPr>
          <w:rFonts w:ascii="Arial" w:hAnsi="Arial" w:cs="Arial"/>
          <w:noProof/>
        </w:rPr>
        <w:t>)</w:t>
      </w:r>
      <w:r w:rsidR="00CB2674">
        <w:rPr>
          <w:rFonts w:ascii="Arial" w:hAnsi="Arial" w:cs="Arial"/>
        </w:rPr>
        <w:fldChar w:fldCharType="end"/>
      </w:r>
      <w:r w:rsidRPr="000454B5">
        <w:rPr>
          <w:rFonts w:ascii="Arial" w:hAnsi="Arial" w:cs="Arial"/>
        </w:rPr>
        <w:t xml:space="preserve">.  </w:t>
      </w:r>
      <w:r w:rsidR="005B0198">
        <w:rPr>
          <w:rFonts w:ascii="Arial" w:hAnsi="Arial" w:cs="Arial"/>
        </w:rPr>
        <w:t>RANKL and OPG are cytokines from the TNF superfamily</w:t>
      </w:r>
      <w:r w:rsidR="00CB2674">
        <w:rPr>
          <w:rFonts w:ascii="Arial" w:hAnsi="Arial" w:cs="Arial"/>
        </w:rPr>
        <w:t xml:space="preserve"> </w:t>
      </w:r>
      <w:r w:rsidR="004C20A7">
        <w:rPr>
          <w:rFonts w:ascii="Arial" w:hAnsi="Arial" w:cs="Arial"/>
        </w:rPr>
        <w:fldChar w:fldCharType="begin"/>
      </w:r>
      <w:r w:rsidR="00EF6236">
        <w:rPr>
          <w:rFonts w:ascii="Arial" w:hAnsi="Arial" w:cs="Arial"/>
        </w:rPr>
        <w:instrText xml:space="preserve"> ADDIN EN.CITE &lt;EndNote&gt;&lt;Cite&gt;&lt;Author&gt;Hofbauer&lt;/Author&gt;&lt;Year&gt;2000&lt;/Year&gt;&lt;RecNum&gt;309&lt;/RecNum&gt;&lt;DisplayText&gt;(54)&lt;/DisplayText&gt;&lt;record&gt;&lt;rec-number&gt;309&lt;/rec-number&gt;&lt;foreign-keys&gt;&lt;key app="EN" db-id="p9a5ttsvyvde9me5aw2x05fp5p55axf0wr90" timestamp="1433945405"&gt;309&lt;/key&gt;&lt;/foreign-keys&gt;&lt;ref-type name="Journal Article"&gt;17&lt;/ref-type&gt;&lt;contributors&gt;&lt;authors&gt;&lt;author&gt;Hofbauer, L. C.&lt;/author&gt;&lt;author&gt;Khosla, S.&lt;/author&gt;&lt;author&gt;Dunstan, C. R.&lt;/author&gt;&lt;author&gt;Lacey, D. L.&lt;/author&gt;&lt;author&gt;Boyle, W. J.&lt;/author&gt;&lt;author&gt;Riggs, B. L.&lt;/author&gt;&lt;/authors&gt;&lt;/contributors&gt;&lt;auth-address&gt;Endocrine Research Unit, Mayo Clinic, Rochester, Minnesota, USA.&lt;/auth-address&gt;&lt;titles&gt;&lt;title&gt;The roles of osteoprotegerin and osteoprotegerin ligand in the paracrine regulation of bone resorption&lt;/title&gt;&lt;secondary-title&gt;J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Research&lt;/abbr-1&gt;&lt;/periodical&gt;&lt;pages&gt;2-12&lt;/pages&gt;&lt;volume&gt;15&lt;/volume&gt;&lt;number&gt;1&lt;/number&gt;&lt;edition&gt;2000/01/26&lt;/edition&gt;&lt;keywords&gt;&lt;keyword&gt;Animals&lt;/keyword&gt;&lt;keyword&gt;Bone Resorption/ physiopathology&lt;/keyword&gt;&lt;keyword&gt;Carrier Proteins/ metabolism&lt;/keyword&gt;&lt;keyword&gt;Glycoproteins/genetics/metabolism/ physiology/therapeutic use&lt;/keyword&gt;&lt;keyword&gt;Humans&lt;/keyword&gt;&lt;keyword&gt;Membrane Glycoproteins/ metabolism&lt;/keyword&gt;&lt;keyword&gt;Osteoclasts/cytology&lt;/keyword&gt;&lt;keyword&gt;Osteoprotegerin&lt;/keyword&gt;&lt;keyword&gt;RANK Ligand&lt;/keyword&gt;&lt;keyword&gt;Receptor Activator of Nuclear Factor-kappa B&lt;/keyword&gt;&lt;keyword&gt;Receptors, Cytoplasmic and Nuclear&lt;/keyword&gt;&lt;keyword&gt;Receptors, Tumor Necrosis Factor&lt;/keyword&gt;&lt;/keywords&gt;&lt;dates&gt;&lt;year&gt;2000&lt;/year&gt;&lt;pub-dates&gt;&lt;date&gt;Jan&lt;/date&gt;&lt;/pub-dates&gt;&lt;/dates&gt;&lt;isbn&gt;0884-0431 (Print)&amp;#xD;0884-0431 (Linking)&lt;/isbn&gt;&lt;accession-num&gt;10646108&lt;/accession-num&gt;&lt;urls&gt;&lt;/urls&gt;&lt;electronic-resource-num&gt;10.1080/14041040009362546&lt;/electronic-resource-num&gt;&lt;remote-database-provider&gt;NLM&lt;/remote-database-provider&gt;&lt;language&gt;eng&lt;/language&gt;&lt;/record&gt;&lt;/Cite&gt;&lt;/EndNote&gt;</w:instrText>
      </w:r>
      <w:r w:rsidR="004C20A7">
        <w:rPr>
          <w:rFonts w:ascii="Arial" w:hAnsi="Arial" w:cs="Arial"/>
        </w:rPr>
        <w:fldChar w:fldCharType="separate"/>
      </w:r>
      <w:r w:rsidR="00EF6236">
        <w:rPr>
          <w:rFonts w:ascii="Arial" w:hAnsi="Arial" w:cs="Arial"/>
          <w:noProof/>
        </w:rPr>
        <w:t>(</w:t>
      </w:r>
      <w:hyperlink w:anchor="_ENREF_54" w:tooltip="Hofbauer, 2000 #309" w:history="1">
        <w:r w:rsidR="003B725E">
          <w:rPr>
            <w:rFonts w:ascii="Arial" w:hAnsi="Arial" w:cs="Arial"/>
            <w:noProof/>
          </w:rPr>
          <w:t>54</w:t>
        </w:r>
      </w:hyperlink>
      <w:r w:rsidR="00EF6236">
        <w:rPr>
          <w:rFonts w:ascii="Arial" w:hAnsi="Arial" w:cs="Arial"/>
          <w:noProof/>
        </w:rPr>
        <w:t>)</w:t>
      </w:r>
      <w:r w:rsidR="004C20A7">
        <w:rPr>
          <w:rFonts w:ascii="Arial" w:hAnsi="Arial" w:cs="Arial"/>
        </w:rPr>
        <w:fldChar w:fldCharType="end"/>
      </w:r>
      <w:r w:rsidR="005B0198">
        <w:rPr>
          <w:rFonts w:ascii="Arial" w:hAnsi="Arial" w:cs="Arial"/>
        </w:rPr>
        <w:t xml:space="preserve">. </w:t>
      </w:r>
      <w:r w:rsidR="00C007B3" w:rsidRPr="000454B5">
        <w:rPr>
          <w:rFonts w:ascii="Arial" w:hAnsi="Arial" w:cs="Arial"/>
        </w:rPr>
        <w:t xml:space="preserve">OPG is a secreted </w:t>
      </w:r>
      <w:r w:rsidR="000D3005">
        <w:rPr>
          <w:rFonts w:ascii="Arial" w:hAnsi="Arial" w:cs="Arial"/>
        </w:rPr>
        <w:t>glyco</w:t>
      </w:r>
      <w:r w:rsidR="00C007B3" w:rsidRPr="000454B5">
        <w:rPr>
          <w:rFonts w:ascii="Arial" w:hAnsi="Arial" w:cs="Arial"/>
        </w:rPr>
        <w:t xml:space="preserve">protein that </w:t>
      </w:r>
      <w:r w:rsidR="00E33782" w:rsidRPr="000454B5">
        <w:rPr>
          <w:rFonts w:ascii="Arial" w:hAnsi="Arial" w:cs="Arial"/>
        </w:rPr>
        <w:t>is produced by the osteoblasts</w:t>
      </w:r>
      <w:r w:rsidR="005B0198">
        <w:rPr>
          <w:rFonts w:ascii="Arial" w:hAnsi="Arial" w:cs="Arial"/>
        </w:rPr>
        <w:t xml:space="preserve"> and stromal cells</w:t>
      </w:r>
      <w:r w:rsidR="00E33782" w:rsidRPr="000454B5">
        <w:rPr>
          <w:rFonts w:ascii="Arial" w:hAnsi="Arial" w:cs="Arial"/>
        </w:rPr>
        <w:t xml:space="preserve">. It </w:t>
      </w:r>
      <w:r w:rsidR="0045098D">
        <w:rPr>
          <w:rFonts w:ascii="Arial" w:hAnsi="Arial" w:cs="Arial"/>
        </w:rPr>
        <w:t>acts as a decoy receptor by binding</w:t>
      </w:r>
      <w:r w:rsidR="00B51C91">
        <w:rPr>
          <w:rFonts w:ascii="Arial" w:hAnsi="Arial" w:cs="Arial"/>
        </w:rPr>
        <w:t xml:space="preserve"> RANK</w:t>
      </w:r>
      <w:r w:rsidR="00C007B3" w:rsidRPr="000454B5">
        <w:rPr>
          <w:rFonts w:ascii="Arial" w:hAnsi="Arial" w:cs="Arial"/>
        </w:rPr>
        <w:t xml:space="preserve"> </w:t>
      </w:r>
      <w:r w:rsidR="0045098D">
        <w:rPr>
          <w:rFonts w:ascii="Arial" w:hAnsi="Arial" w:cs="Arial"/>
        </w:rPr>
        <w:t>and preventing RANK</w:t>
      </w:r>
      <w:r w:rsidR="00B51C91">
        <w:rPr>
          <w:rFonts w:ascii="Arial" w:hAnsi="Arial" w:cs="Arial"/>
        </w:rPr>
        <w:t>L</w:t>
      </w:r>
      <w:r w:rsidR="0045098D">
        <w:rPr>
          <w:rFonts w:ascii="Arial" w:hAnsi="Arial" w:cs="Arial"/>
        </w:rPr>
        <w:t xml:space="preserve"> binding </w:t>
      </w:r>
      <w:r w:rsidR="00C007B3" w:rsidRPr="000454B5">
        <w:rPr>
          <w:rFonts w:ascii="Arial" w:hAnsi="Arial" w:cs="Arial"/>
        </w:rPr>
        <w:t xml:space="preserve">and </w:t>
      </w:r>
      <w:r w:rsidR="0045098D">
        <w:rPr>
          <w:rFonts w:ascii="Arial" w:hAnsi="Arial" w:cs="Arial"/>
        </w:rPr>
        <w:t>thus inhibiting</w:t>
      </w:r>
      <w:r w:rsidR="005B0198">
        <w:rPr>
          <w:rFonts w:ascii="Arial" w:hAnsi="Arial" w:cs="Arial"/>
        </w:rPr>
        <w:t xml:space="preserve"> </w:t>
      </w:r>
      <w:r w:rsidR="00143C88">
        <w:rPr>
          <w:rFonts w:ascii="Arial" w:hAnsi="Arial" w:cs="Arial"/>
        </w:rPr>
        <w:t xml:space="preserve">osteoclast proliferation, </w:t>
      </w:r>
      <w:r w:rsidR="0045098D">
        <w:rPr>
          <w:rFonts w:ascii="Arial" w:hAnsi="Arial" w:cs="Arial"/>
        </w:rPr>
        <w:t>differentiation and preventing bone resorption</w:t>
      </w:r>
      <w:r w:rsidR="004C20A7">
        <w:rPr>
          <w:rFonts w:ascii="Arial" w:hAnsi="Arial" w:cs="Arial"/>
        </w:rPr>
        <w:t xml:space="preserve"> </w:t>
      </w:r>
      <w:r w:rsidR="004C20A7">
        <w:rPr>
          <w:rFonts w:ascii="Arial" w:hAnsi="Arial" w:cs="Arial"/>
        </w:rPr>
        <w:fldChar w:fldCharType="begin"/>
      </w:r>
      <w:r w:rsidR="00EF6236">
        <w:rPr>
          <w:rFonts w:ascii="Arial" w:hAnsi="Arial" w:cs="Arial"/>
        </w:rPr>
        <w:instrText xml:space="preserve"> ADDIN EN.CITE &lt;EndNote&gt;&lt;Cite&gt;&lt;Author&gt;Eriksen&lt;/Author&gt;&lt;Year&gt;2010&lt;/Year&gt;&lt;RecNum&gt;310&lt;/RecNum&gt;&lt;DisplayText&gt;(55)&lt;/DisplayText&gt;&lt;record&gt;&lt;rec-number&gt;310&lt;/rec-number&gt;&lt;foreign-keys&gt;&lt;key app="EN" db-id="p9a5ttsvyvde9me5aw2x05fp5p55axf0wr90" timestamp="1433945921"&gt;310&lt;/key&gt;&lt;/foreign-keys&gt;&lt;ref-type name="Journal Article"&gt;17&lt;/ref-type&gt;&lt;contributors&gt;&lt;authors&gt;&lt;author&gt;Eriksen, E. F.&lt;/author&gt;&lt;/authors&gt;&lt;/contributors&gt;&lt;auth-address&gt;Department Of Clinical Endocrinology, Oslo University Hospital, Aker, Trondheimsveien 235, 0514 Oslo, Norway. e.f.eriksen@medisin.uio.no&lt;/auth-address&gt;&lt;titles&gt;&lt;title&gt;Cellular mechanisms of bone remodeling&lt;/title&gt;&lt;secondary-title&gt;Rev Endocr Metab Disord&lt;/secondary-title&gt;&lt;/titles&gt;&lt;periodical&gt;&lt;full-title&gt;Rev Endocr Metab Disord&lt;/full-title&gt;&lt;abbr-1&gt;Reviews in endocrine &amp;amp; metabolic disorders&lt;/abbr-1&gt;&lt;/periodical&gt;&lt;pages&gt;219-27&lt;/pages&gt;&lt;volume&gt;11&lt;/volume&gt;&lt;number&gt;4&lt;/number&gt;&lt;edition&gt;2010/12/29&lt;/edition&gt;&lt;keywords&gt;&lt;keyword&gt;Bone Remodeling/ physiology&lt;/keyword&gt;&lt;keyword&gt;Bone and Bones/ physiology&lt;/keyword&gt;&lt;keyword&gt;Humans&lt;/keyword&gt;&lt;keyword&gt;Osteoblasts/ physiology&lt;/keyword&gt;&lt;keyword&gt;Osteoclasts/ physiology&lt;/keyword&gt;&lt;keyword&gt;Osteoporosis/ physiopathology&lt;/keyword&gt;&lt;/keywords&gt;&lt;dates&gt;&lt;year&gt;2010&lt;/year&gt;&lt;pub-dates&gt;&lt;date&gt;Dec&lt;/date&gt;&lt;/pub-dates&gt;&lt;/dates&gt;&lt;isbn&gt;1573-2606 (Electronic)&amp;#xD;1389-9155 (Linking)&lt;/isbn&gt;&lt;accession-num&gt;21188536&lt;/accession-num&gt;&lt;urls&gt;&lt;/urls&gt;&lt;custom2&gt;PMC3028072&lt;/custom2&gt;&lt;electronic-resource-num&gt;10.1007/s11154-010-9153-1&lt;/electronic-resource-num&gt;&lt;remote-database-provider&gt;NLM&lt;/remote-database-provider&gt;&lt;language&gt;eng&lt;/language&gt;&lt;/record&gt;&lt;/Cite&gt;&lt;/EndNote&gt;</w:instrText>
      </w:r>
      <w:r w:rsidR="004C20A7">
        <w:rPr>
          <w:rFonts w:ascii="Arial" w:hAnsi="Arial" w:cs="Arial"/>
        </w:rPr>
        <w:fldChar w:fldCharType="separate"/>
      </w:r>
      <w:r w:rsidR="00EF6236">
        <w:rPr>
          <w:rFonts w:ascii="Arial" w:hAnsi="Arial" w:cs="Arial"/>
          <w:noProof/>
        </w:rPr>
        <w:t>(</w:t>
      </w:r>
      <w:hyperlink w:anchor="_ENREF_55" w:tooltip="Eriksen, 2010 #310" w:history="1">
        <w:r w:rsidR="003B725E">
          <w:rPr>
            <w:rFonts w:ascii="Arial" w:hAnsi="Arial" w:cs="Arial"/>
            <w:noProof/>
          </w:rPr>
          <w:t>55</w:t>
        </w:r>
      </w:hyperlink>
      <w:r w:rsidR="00EF6236">
        <w:rPr>
          <w:rFonts w:ascii="Arial" w:hAnsi="Arial" w:cs="Arial"/>
          <w:noProof/>
        </w:rPr>
        <w:t>)</w:t>
      </w:r>
      <w:r w:rsidR="004C20A7">
        <w:rPr>
          <w:rFonts w:ascii="Arial" w:hAnsi="Arial" w:cs="Arial"/>
        </w:rPr>
        <w:fldChar w:fldCharType="end"/>
      </w:r>
      <w:r w:rsidR="005B0198">
        <w:rPr>
          <w:rFonts w:ascii="Arial" w:hAnsi="Arial" w:cs="Arial"/>
        </w:rPr>
        <w:t>. Thus, the ratio of RANKL and OPG in the bone marrow regulates the amount of bone resorbed and has a main role in determining bone mass and strength</w:t>
      </w:r>
      <w:r w:rsidR="00B51C91">
        <w:rPr>
          <w:rFonts w:ascii="Arial" w:hAnsi="Arial" w:cs="Arial"/>
        </w:rPr>
        <w:t xml:space="preserve"> </w:t>
      </w:r>
      <w:r w:rsidR="00B51C91">
        <w:rPr>
          <w:rFonts w:ascii="Arial" w:hAnsi="Arial" w:cs="Arial"/>
        </w:rPr>
        <w:fldChar w:fldCharType="begin">
          <w:fldData xml:space="preserve">PEVuZE5vdGU+PENpdGU+PEF1dGhvcj5TdHVzczwvQXV0aG9yPjxZZWFyPjIwMTM8L1llYXI+PFJl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==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PEVuZE5vdGU+PENpdGU+PEF1dGhvcj5TdHVzczwvQXV0aG9yPjxZZWFyPjIwMTM8L1llYXI+PFJl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==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B51C91">
        <w:rPr>
          <w:rFonts w:ascii="Arial" w:hAnsi="Arial" w:cs="Arial"/>
        </w:rPr>
      </w:r>
      <w:r w:rsidR="00B51C91">
        <w:rPr>
          <w:rFonts w:ascii="Arial" w:hAnsi="Arial" w:cs="Arial"/>
        </w:rPr>
        <w:fldChar w:fldCharType="separate"/>
      </w:r>
      <w:r w:rsidR="00EF6236">
        <w:rPr>
          <w:rFonts w:ascii="Arial" w:hAnsi="Arial" w:cs="Arial"/>
          <w:noProof/>
        </w:rPr>
        <w:t>(</w:t>
      </w:r>
      <w:hyperlink w:anchor="_ENREF_56" w:tooltip="Stuss, 2013 #44" w:history="1">
        <w:r w:rsidR="003B725E">
          <w:rPr>
            <w:rFonts w:ascii="Arial" w:hAnsi="Arial" w:cs="Arial"/>
            <w:noProof/>
          </w:rPr>
          <w:t>56-58</w:t>
        </w:r>
      </w:hyperlink>
      <w:r w:rsidR="00EF6236">
        <w:rPr>
          <w:rFonts w:ascii="Arial" w:hAnsi="Arial" w:cs="Arial"/>
          <w:noProof/>
        </w:rPr>
        <w:t>)</w:t>
      </w:r>
      <w:r w:rsidR="00B51C91">
        <w:rPr>
          <w:rFonts w:ascii="Arial" w:hAnsi="Arial" w:cs="Arial"/>
        </w:rPr>
        <w:fldChar w:fldCharType="end"/>
      </w:r>
      <w:r w:rsidR="00B51C91">
        <w:rPr>
          <w:rFonts w:ascii="Arial" w:hAnsi="Arial" w:cs="Arial"/>
        </w:rPr>
        <w:t xml:space="preserve">. </w:t>
      </w:r>
      <w:r w:rsidR="000D3005">
        <w:rPr>
          <w:rFonts w:ascii="Arial" w:hAnsi="Arial" w:cs="Arial"/>
        </w:rPr>
        <w:t xml:space="preserve">The RANKL/OPG system has </w:t>
      </w:r>
      <w:r w:rsidR="00B51C91">
        <w:rPr>
          <w:rFonts w:ascii="Arial" w:hAnsi="Arial" w:cs="Arial"/>
        </w:rPr>
        <w:t>led</w:t>
      </w:r>
      <w:r w:rsidR="000D3005">
        <w:rPr>
          <w:rFonts w:ascii="Arial" w:hAnsi="Arial" w:cs="Arial"/>
        </w:rPr>
        <w:t xml:space="preserve"> to the development of therapies </w:t>
      </w:r>
      <w:r w:rsidR="00EF2105">
        <w:rPr>
          <w:rFonts w:ascii="Arial" w:hAnsi="Arial" w:cs="Arial"/>
        </w:rPr>
        <w:t xml:space="preserve">aimed </w:t>
      </w:r>
      <w:r w:rsidR="000D3005">
        <w:rPr>
          <w:rFonts w:ascii="Arial" w:hAnsi="Arial" w:cs="Arial"/>
        </w:rPr>
        <w:t xml:space="preserve">to reduce bone resorption in disease states such as </w:t>
      </w:r>
      <w:r w:rsidR="007D3AC9">
        <w:rPr>
          <w:rFonts w:ascii="Arial" w:hAnsi="Arial" w:cs="Arial"/>
        </w:rPr>
        <w:t xml:space="preserve">postmenopausal </w:t>
      </w:r>
      <w:r w:rsidR="000D3005">
        <w:rPr>
          <w:rFonts w:ascii="Arial" w:hAnsi="Arial" w:cs="Arial"/>
        </w:rPr>
        <w:t xml:space="preserve">osteoporosis </w:t>
      </w:r>
      <w:r w:rsidR="00B51C91">
        <w:rPr>
          <w:rFonts w:ascii="Arial" w:hAnsi="Arial" w:cs="Arial"/>
        </w:rPr>
        <w:fldChar w:fldCharType="begin">
          <w:fldData xml:space="preserve">PEVuZE5vdGU+PENpdGU+PEF1dGhvcj5FZ2hiYWxpLUZhdG91cmVjaGk8L0F1dGhvcj48WWVhcj4y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YWw+PHBhZ2VzPjEyMjEtMzA8L3BhZ2VzPjx2b2x1bWU+MTExPC92b2x1bWU+PG51bWJlcj44PC9u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PEVuZE5vdGU+PENpdGU+PEF1dGhvcj5FZ2hiYWxpLUZhdG91cmVjaGk8L0F1dGhvcj48WWVhcj4y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YWw+PHBhZ2VzPjEyMjEtMzA8L3BhZ2VzPjx2b2x1bWU+MTExPC92b2x1bWU+PG51bWJlcj44PC9u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B51C91">
        <w:rPr>
          <w:rFonts w:ascii="Arial" w:hAnsi="Arial" w:cs="Arial"/>
        </w:rPr>
      </w:r>
      <w:r w:rsidR="00B51C91">
        <w:rPr>
          <w:rFonts w:ascii="Arial" w:hAnsi="Arial" w:cs="Arial"/>
        </w:rPr>
        <w:fldChar w:fldCharType="separate"/>
      </w:r>
      <w:r w:rsidR="00EF6236">
        <w:rPr>
          <w:rFonts w:ascii="Arial" w:hAnsi="Arial" w:cs="Arial"/>
          <w:noProof/>
        </w:rPr>
        <w:t>(</w:t>
      </w:r>
      <w:hyperlink w:anchor="_ENREF_59" w:tooltip="Eghbali-Fatourechi, 2003 #47" w:history="1">
        <w:r w:rsidR="003B725E">
          <w:rPr>
            <w:rFonts w:ascii="Arial" w:hAnsi="Arial" w:cs="Arial"/>
            <w:noProof/>
          </w:rPr>
          <w:t>59</w:t>
        </w:r>
      </w:hyperlink>
      <w:r w:rsidR="00EF6236">
        <w:rPr>
          <w:rFonts w:ascii="Arial" w:hAnsi="Arial" w:cs="Arial"/>
          <w:noProof/>
        </w:rPr>
        <w:t>)</w:t>
      </w:r>
      <w:r w:rsidR="00B51C91">
        <w:rPr>
          <w:rFonts w:ascii="Arial" w:hAnsi="Arial" w:cs="Arial"/>
        </w:rPr>
        <w:fldChar w:fldCharType="end"/>
      </w:r>
      <w:r w:rsidR="00B51C91">
        <w:rPr>
          <w:rFonts w:ascii="Arial" w:hAnsi="Arial" w:cs="Arial"/>
        </w:rPr>
        <w:t>,</w:t>
      </w:r>
      <w:r w:rsidR="007D3AC9">
        <w:rPr>
          <w:rFonts w:ascii="Arial" w:hAnsi="Arial" w:cs="Arial"/>
        </w:rPr>
        <w:t xml:space="preserve"> for example</w:t>
      </w:r>
      <w:r w:rsidR="00EF2105">
        <w:rPr>
          <w:rFonts w:ascii="Arial" w:hAnsi="Arial" w:cs="Arial"/>
        </w:rPr>
        <w:t xml:space="preserve"> </w:t>
      </w:r>
      <w:r w:rsidR="00B51C91">
        <w:rPr>
          <w:rFonts w:ascii="Arial" w:hAnsi="Arial" w:cs="Arial"/>
        </w:rPr>
        <w:t xml:space="preserve">Denosumab </w:t>
      </w:r>
      <w:r w:rsidR="00B51C91">
        <w:rPr>
          <w:rFonts w:ascii="Arial" w:hAnsi="Arial" w:cs="Arial"/>
        </w:rPr>
        <w:fldChar w:fldCharType="begin">
          <w:fldData xml:space="preserve">PEVuZE5vdGU+PENpdGU+PEF1dGhvcj5TY2hpZWZlcmRlY2tlcjwvQXV0aG9yPjxZZWFyPjIwMTQ8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PEVuZE5vdGU+PENpdGU+PEF1dGhvcj5TY2hpZWZlcmRlY2tlcjwvQXV0aG9yPjxZZWFyPjIwMTQ8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B51C91">
        <w:rPr>
          <w:rFonts w:ascii="Arial" w:hAnsi="Arial" w:cs="Arial"/>
        </w:rPr>
      </w:r>
      <w:r w:rsidR="00B51C91">
        <w:rPr>
          <w:rFonts w:ascii="Arial" w:hAnsi="Arial" w:cs="Arial"/>
        </w:rPr>
        <w:fldChar w:fldCharType="separate"/>
      </w:r>
      <w:r w:rsidR="00EF6236">
        <w:rPr>
          <w:rFonts w:ascii="Arial" w:hAnsi="Arial" w:cs="Arial"/>
          <w:noProof/>
        </w:rPr>
        <w:t>(</w:t>
      </w:r>
      <w:hyperlink w:anchor="_ENREF_60" w:tooltip="Schieferdecker, 2014 #48" w:history="1">
        <w:r w:rsidR="003B725E">
          <w:rPr>
            <w:rFonts w:ascii="Arial" w:hAnsi="Arial" w:cs="Arial"/>
            <w:noProof/>
          </w:rPr>
          <w:t>60</w:t>
        </w:r>
      </w:hyperlink>
      <w:r w:rsidR="00EF6236">
        <w:rPr>
          <w:rFonts w:ascii="Arial" w:hAnsi="Arial" w:cs="Arial"/>
          <w:noProof/>
        </w:rPr>
        <w:t>)</w:t>
      </w:r>
      <w:r w:rsidR="00B51C91">
        <w:rPr>
          <w:rFonts w:ascii="Arial" w:hAnsi="Arial" w:cs="Arial"/>
        </w:rPr>
        <w:fldChar w:fldCharType="end"/>
      </w:r>
      <w:r w:rsidR="00B51C91">
        <w:rPr>
          <w:rFonts w:ascii="Arial" w:hAnsi="Arial" w:cs="Arial"/>
        </w:rPr>
        <w:t>.</w:t>
      </w:r>
    </w:p>
    <w:p w:rsidR="001A5497" w:rsidRDefault="001A5497" w:rsidP="009143C3">
      <w:pPr>
        <w:pStyle w:val="Heading4"/>
        <w:jc w:val="both"/>
      </w:pPr>
      <w:r>
        <w:lastRenderedPageBreak/>
        <w:t>Osteoblasts</w:t>
      </w:r>
      <w:r w:rsidR="0063407D">
        <w:t xml:space="preserve"> and bone formation</w:t>
      </w:r>
    </w:p>
    <w:p w:rsidR="00BD4803" w:rsidRDefault="00491714" w:rsidP="003B725E">
      <w:pPr>
        <w:tabs>
          <w:tab w:val="right" w:pos="9026"/>
        </w:tabs>
        <w:spacing w:line="360" w:lineRule="auto"/>
        <w:jc w:val="both"/>
        <w:rPr>
          <w:rFonts w:ascii="Arial" w:hAnsi="Arial" w:cs="Arial"/>
        </w:rPr>
      </w:pPr>
      <w:r w:rsidRPr="00E47F29">
        <w:rPr>
          <w:rFonts w:ascii="Arial" w:hAnsi="Arial" w:cs="Arial"/>
        </w:rPr>
        <w:t>Osteoblast</w:t>
      </w:r>
      <w:r w:rsidR="00B51C91">
        <w:rPr>
          <w:rFonts w:ascii="Arial" w:hAnsi="Arial" w:cs="Arial"/>
        </w:rPr>
        <w:t>s</w:t>
      </w:r>
      <w:r w:rsidRPr="00E47F29">
        <w:rPr>
          <w:rFonts w:ascii="Arial" w:hAnsi="Arial" w:cs="Arial"/>
        </w:rPr>
        <w:t xml:space="preserve"> are</w:t>
      </w:r>
      <w:r w:rsidR="0000335C" w:rsidRPr="00E47F29">
        <w:rPr>
          <w:rFonts w:ascii="Arial" w:hAnsi="Arial" w:cs="Arial"/>
        </w:rPr>
        <w:t xml:space="preserve"> specialised mononuclear cells</w:t>
      </w:r>
      <w:r w:rsidR="00A87223" w:rsidRPr="00E47F29">
        <w:rPr>
          <w:rFonts w:ascii="Arial" w:hAnsi="Arial" w:cs="Arial"/>
        </w:rPr>
        <w:t xml:space="preserve"> </w:t>
      </w:r>
      <w:r w:rsidR="0063407D">
        <w:rPr>
          <w:rFonts w:ascii="Arial" w:hAnsi="Arial" w:cs="Arial"/>
        </w:rPr>
        <w:t xml:space="preserve">derived from mesenchymal progenitors in the bone marrow </w:t>
      </w:r>
      <w:r w:rsidR="00382957">
        <w:rPr>
          <w:rFonts w:ascii="Arial" w:hAnsi="Arial" w:cs="Arial"/>
        </w:rPr>
        <w:t>stroma, making up 4-6% of all bone cells</w:t>
      </w:r>
      <w:r w:rsidR="00B5685D" w:rsidRPr="00EC0B3C">
        <w:rPr>
          <w:rFonts w:ascii="Arial" w:hAnsi="Arial" w:cs="Arial"/>
          <w:color w:val="000000" w:themeColor="text1"/>
        </w:rPr>
        <w:t xml:space="preserve">, </w:t>
      </w:r>
      <w:r w:rsidR="004F77FB">
        <w:rPr>
          <w:rFonts w:ascii="Arial" w:hAnsi="Arial" w:cs="Arial"/>
          <w:color w:val="000000" w:themeColor="text1"/>
        </w:rPr>
        <w:t>(Figure 5</w:t>
      </w:r>
      <w:r w:rsidR="00EC0B3C" w:rsidRPr="00EC0B3C">
        <w:rPr>
          <w:rFonts w:ascii="Arial" w:hAnsi="Arial" w:cs="Arial"/>
          <w:color w:val="000000" w:themeColor="text1"/>
        </w:rPr>
        <w:t xml:space="preserve">). </w:t>
      </w:r>
      <w:r w:rsidR="0063407D">
        <w:rPr>
          <w:rFonts w:ascii="Arial" w:hAnsi="Arial" w:cs="Arial"/>
        </w:rPr>
        <w:t xml:space="preserve">They are </w:t>
      </w:r>
      <w:r w:rsidR="00A87223" w:rsidRPr="00E47F29">
        <w:rPr>
          <w:rFonts w:ascii="Arial" w:hAnsi="Arial" w:cs="Arial"/>
        </w:rPr>
        <w:t>respo</w:t>
      </w:r>
      <w:r w:rsidR="00DF2FBA">
        <w:rPr>
          <w:rFonts w:ascii="Arial" w:hAnsi="Arial" w:cs="Arial"/>
        </w:rPr>
        <w:t>nsible for the formation and dep</w:t>
      </w:r>
      <w:r w:rsidR="00A87223" w:rsidRPr="00E47F29">
        <w:rPr>
          <w:rFonts w:ascii="Arial" w:hAnsi="Arial" w:cs="Arial"/>
        </w:rPr>
        <w:t xml:space="preserve">osition of newly mineralised </w:t>
      </w:r>
      <w:r w:rsidR="00B51C91">
        <w:rPr>
          <w:rFonts w:ascii="Arial" w:hAnsi="Arial" w:cs="Arial"/>
        </w:rPr>
        <w:t xml:space="preserve">bone collagen matrix </w:t>
      </w:r>
      <w:r w:rsidR="00B51C91">
        <w:rPr>
          <w:rFonts w:ascii="Arial" w:hAnsi="Arial" w:cs="Arial"/>
        </w:rPr>
        <w:fldChar w:fldCharType="begin"/>
      </w:r>
      <w:r w:rsidR="00EF6236">
        <w:rPr>
          <w:rFonts w:ascii="Arial" w:hAnsi="Arial" w:cs="Arial"/>
        </w:rPr>
        <w:instrText xml:space="preserve"> ADDIN EN.CITE &lt;EndNote&gt;&lt;Cite&gt;&lt;Author&gt;Mackie&lt;/Author&gt;&lt;Year&gt;2003&lt;/Year&gt;&lt;RecNum&gt;49&lt;/RecNum&gt;&lt;DisplayText&gt;(61)&lt;/DisplayText&gt;&lt;record&gt;&lt;rec-number&gt;49&lt;/rec-number&gt;&lt;foreign-keys&gt;&lt;key app="EN" db-id="p9a5ttsvyvde9me5aw2x05fp5p55axf0wr90" timestamp="1417714997"&gt;49&lt;/key&gt;&lt;/foreign-keys&gt;&lt;ref-type name="Journal Article"&gt;17&lt;/ref-type&gt;&lt;contributors&gt;&lt;authors&gt;&lt;author&gt;Mackie, E. J.&lt;/author&gt;&lt;/authors&gt;&lt;/contributors&gt;&lt;auth-address&gt;School of Veterinary Science, University of Melbourne, Parkville, Victoria 3010, Australia. ejmackie@unimelb.edu.au&lt;/auth-address&gt;&lt;titles&gt;&lt;title&gt;Osteoblasts: novel roles in orchestration of skeletal architecture&lt;/title&gt;&lt;secondary-title&gt;Int J Biochem Cell Biol&lt;/secondary-title&gt;&lt;alt-title&gt;The international journal of biochemistry &amp;amp; cell biology&lt;/alt-title&gt;&lt;/titles&gt;&lt;periodical&gt;&lt;full-title&gt;Int J Biochem Cell Biol&lt;/full-title&gt;&lt;abbr-1&gt;The international journal of biochemistry &amp;amp; cell biology&lt;/abbr-1&gt;&lt;/periodical&gt;&lt;alt-periodical&gt;&lt;full-title&gt;Int J Biochem Cell Biol&lt;/full-title&gt;&lt;abbr-1&gt;The international journal of biochemistry &amp;amp; cell biology&lt;/abbr-1&gt;&lt;/alt-periodical&gt;&lt;pages&gt;1301-5&lt;/pages&gt;&lt;volume&gt;35&lt;/volume&gt;&lt;number&gt;9&lt;/number&gt;&lt;edition&gt;2003/06/12&lt;/edition&gt;&lt;keywords&gt;&lt;keyword&gt;Animals&lt;/keyword&gt;&lt;keyword&gt;Bone Matrix/growth &amp;amp; development&lt;/keyword&gt;&lt;keyword&gt;Bone Resorption/physiopathology&lt;/keyword&gt;&lt;keyword&gt;Calcification, Physiologic/ physiology&lt;/keyword&gt;&lt;keyword&gt;Glycoproteins/biosynthesis&lt;/keyword&gt;&lt;keyword&gt;Humans&lt;/keyword&gt;&lt;keyword&gt;Osteoblasts/ physiology&lt;/keyword&gt;&lt;keyword&gt;Osteoclasts/physiology&lt;/keyword&gt;&lt;keyword&gt;Osteogenesis/ physiology&lt;/keyword&gt;&lt;keyword&gt;Proteoglycans/biosynthesis&lt;/keyword&gt;&lt;keyword&gt;Swine&lt;/keyword&gt;&lt;/keywords&gt;&lt;dates&gt;&lt;year&gt;2003&lt;/year&gt;&lt;pub-dates&gt;&lt;date&gt;Sep&lt;/date&gt;&lt;/pub-dates&gt;&lt;/dates&gt;&lt;isbn&gt;1357-2725 (Print)&amp;#xD;1357-2725 (Linking)&lt;/isbn&gt;&lt;accession-num&gt;12798343&lt;/accession-num&gt;&lt;urls&gt;&lt;/urls&gt;&lt;remote-database-provider&gt;NLM&lt;/remote-database-provider&gt;&lt;language&gt;eng&lt;/language&gt;&lt;/record&gt;&lt;/Cite&gt;&lt;/EndNote&gt;</w:instrText>
      </w:r>
      <w:r w:rsidR="00B51C91">
        <w:rPr>
          <w:rFonts w:ascii="Arial" w:hAnsi="Arial" w:cs="Arial"/>
        </w:rPr>
        <w:fldChar w:fldCharType="separate"/>
      </w:r>
      <w:r w:rsidR="00EF6236">
        <w:rPr>
          <w:rFonts w:ascii="Arial" w:hAnsi="Arial" w:cs="Arial"/>
          <w:noProof/>
        </w:rPr>
        <w:t>(</w:t>
      </w:r>
      <w:hyperlink w:anchor="_ENREF_61" w:tooltip="Mackie, 2003 #49" w:history="1">
        <w:r w:rsidR="003B725E">
          <w:rPr>
            <w:rFonts w:ascii="Arial" w:hAnsi="Arial" w:cs="Arial"/>
            <w:noProof/>
          </w:rPr>
          <w:t>61</w:t>
        </w:r>
      </w:hyperlink>
      <w:r w:rsidR="00EF6236">
        <w:rPr>
          <w:rFonts w:ascii="Arial" w:hAnsi="Arial" w:cs="Arial"/>
          <w:noProof/>
        </w:rPr>
        <w:t>)</w:t>
      </w:r>
      <w:r w:rsidR="00B51C91">
        <w:rPr>
          <w:rFonts w:ascii="Arial" w:hAnsi="Arial" w:cs="Arial"/>
        </w:rPr>
        <w:fldChar w:fldCharType="end"/>
      </w:r>
      <w:r w:rsidR="00A87223" w:rsidRPr="00E47F29">
        <w:rPr>
          <w:rFonts w:ascii="Arial" w:hAnsi="Arial" w:cs="Arial"/>
        </w:rPr>
        <w:t xml:space="preserve">. </w:t>
      </w:r>
      <w:r w:rsidR="00BA5FD4" w:rsidRPr="00E47F29">
        <w:rPr>
          <w:rFonts w:ascii="Arial" w:hAnsi="Arial" w:cs="Arial"/>
        </w:rPr>
        <w:t>They originate from the osteochondrial progenitor cell lineage, which is common to the osteoblasts and chondrocytes</w:t>
      </w:r>
      <w:r w:rsidR="004F77FB">
        <w:rPr>
          <w:rFonts w:ascii="Arial" w:hAnsi="Arial" w:cs="Arial"/>
        </w:rPr>
        <w:t>, (Figure 6</w:t>
      </w:r>
      <w:r w:rsidR="00397C78">
        <w:rPr>
          <w:rFonts w:ascii="Arial" w:hAnsi="Arial" w:cs="Arial"/>
        </w:rPr>
        <w:t>)</w:t>
      </w:r>
      <w:r w:rsidR="00591C17" w:rsidRPr="00E47F29">
        <w:rPr>
          <w:rFonts w:ascii="Arial" w:hAnsi="Arial" w:cs="Arial"/>
        </w:rPr>
        <w:t>.</w:t>
      </w:r>
      <w:r w:rsidR="00BA5FD4" w:rsidRPr="00E47F29">
        <w:rPr>
          <w:rFonts w:ascii="Arial" w:hAnsi="Arial" w:cs="Arial"/>
        </w:rPr>
        <w:t xml:space="preserve"> </w:t>
      </w:r>
      <w:r w:rsidR="00653B10" w:rsidRPr="00E47F29">
        <w:rPr>
          <w:rFonts w:ascii="Arial" w:hAnsi="Arial" w:cs="Arial"/>
        </w:rPr>
        <w:t>These cell lineages are determined</w:t>
      </w:r>
      <w:r w:rsidR="00BA7B95" w:rsidRPr="00E47F29">
        <w:rPr>
          <w:rFonts w:ascii="Arial" w:hAnsi="Arial" w:cs="Arial"/>
        </w:rPr>
        <w:t xml:space="preserve"> and</w:t>
      </w:r>
      <w:r w:rsidR="000B1F3D" w:rsidRPr="00E47F29">
        <w:rPr>
          <w:rFonts w:ascii="Arial" w:hAnsi="Arial" w:cs="Arial"/>
        </w:rPr>
        <w:t xml:space="preserve"> regulated by several cytokines and transcription factors</w:t>
      </w:r>
      <w:r w:rsidR="00BA7B95" w:rsidRPr="00E47F29">
        <w:rPr>
          <w:rFonts w:ascii="Arial" w:hAnsi="Arial" w:cs="Arial"/>
        </w:rPr>
        <w:t xml:space="preserve"> that mediate signalling pathways required for cell proliferation, maturation and survival</w:t>
      </w:r>
      <w:r w:rsidR="00653B10" w:rsidRPr="00E47F29">
        <w:rPr>
          <w:rFonts w:ascii="Arial" w:hAnsi="Arial" w:cs="Arial"/>
        </w:rPr>
        <w:t>. The ones that are responsible for osteobl</w:t>
      </w:r>
      <w:r w:rsidR="00FB646F">
        <w:rPr>
          <w:rFonts w:ascii="Arial" w:hAnsi="Arial" w:cs="Arial"/>
        </w:rPr>
        <w:t>ast differentiation include as r</w:t>
      </w:r>
      <w:r w:rsidR="00653B10" w:rsidRPr="00E47F29">
        <w:rPr>
          <w:rFonts w:ascii="Arial" w:hAnsi="Arial" w:cs="Arial"/>
        </w:rPr>
        <w:t>unx2</w:t>
      </w:r>
      <w:r w:rsidR="00173854">
        <w:rPr>
          <w:rFonts w:ascii="Arial" w:hAnsi="Arial" w:cs="Arial"/>
        </w:rPr>
        <w:t xml:space="preserve"> (core-binding factor α subunit Cbfa1)</w:t>
      </w:r>
      <w:r w:rsidR="00653B10" w:rsidRPr="00E47F29">
        <w:rPr>
          <w:rFonts w:ascii="Arial" w:hAnsi="Arial" w:cs="Arial"/>
        </w:rPr>
        <w:t>,</w:t>
      </w:r>
      <w:r w:rsidR="000B1F3D" w:rsidRPr="00E47F29">
        <w:rPr>
          <w:rFonts w:ascii="Arial" w:hAnsi="Arial" w:cs="Arial"/>
        </w:rPr>
        <w:t xml:space="preserve"> bone morphogenetic proteins (BMPs)</w:t>
      </w:r>
      <w:r w:rsidR="00653B10" w:rsidRPr="00E47F29">
        <w:rPr>
          <w:rFonts w:ascii="Arial" w:hAnsi="Arial" w:cs="Arial"/>
        </w:rPr>
        <w:t xml:space="preserve">, Hedgehogs, transforming growth factor β (TGF-β), Wnts and </w:t>
      </w:r>
      <w:r w:rsidR="00B51C91">
        <w:rPr>
          <w:rFonts w:ascii="Arial" w:hAnsi="Arial" w:cs="Arial"/>
        </w:rPr>
        <w:t>parathyroid hormone (PTH)</w:t>
      </w:r>
      <w:r w:rsidR="00A8360A">
        <w:rPr>
          <w:rFonts w:ascii="Arial" w:hAnsi="Arial" w:cs="Arial"/>
        </w:rPr>
        <w:t xml:space="preserve"> </w:t>
      </w:r>
      <w:r w:rsidR="00A8360A">
        <w:rPr>
          <w:rFonts w:ascii="Arial" w:hAnsi="Arial" w:cs="Arial"/>
        </w:rPr>
        <w:fldChar w:fldCharType="begin">
          <w:fldData xml:space="preserve">PEVuZE5vdGU+PENpdGU+PEF1dGhvcj5IZXNzZTwvQXV0aG9yPjxZZWFyPjIwMTA8L1llYXI+PFJl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PEVuZE5vdGU+PENpdGU+PEF1dGhvcj5IZXNzZTwvQXV0aG9yPjxZZWFyPjIwMTA8L1llYXI+PFJl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8360A">
        <w:rPr>
          <w:rFonts w:ascii="Arial" w:hAnsi="Arial" w:cs="Arial"/>
        </w:rPr>
      </w:r>
      <w:r w:rsidR="00A8360A">
        <w:rPr>
          <w:rFonts w:ascii="Arial" w:hAnsi="Arial" w:cs="Arial"/>
        </w:rPr>
        <w:fldChar w:fldCharType="separate"/>
      </w:r>
      <w:r w:rsidR="00EF6236">
        <w:rPr>
          <w:rFonts w:ascii="Arial" w:hAnsi="Arial" w:cs="Arial"/>
          <w:noProof/>
        </w:rPr>
        <w:t>(</w:t>
      </w:r>
      <w:hyperlink w:anchor="_ENREF_62" w:tooltip="Hesse, 2010 #50" w:history="1">
        <w:r w:rsidR="003B725E">
          <w:rPr>
            <w:rFonts w:ascii="Arial" w:hAnsi="Arial" w:cs="Arial"/>
            <w:noProof/>
          </w:rPr>
          <w:t>62</w:t>
        </w:r>
      </w:hyperlink>
      <w:r w:rsidR="00EF6236">
        <w:rPr>
          <w:rFonts w:ascii="Arial" w:hAnsi="Arial" w:cs="Arial"/>
          <w:noProof/>
        </w:rPr>
        <w:t>)</w:t>
      </w:r>
      <w:r w:rsidR="00A8360A">
        <w:rPr>
          <w:rFonts w:ascii="Arial" w:hAnsi="Arial" w:cs="Arial"/>
        </w:rPr>
        <w:fldChar w:fldCharType="end"/>
      </w:r>
      <w:r w:rsidR="00173854">
        <w:rPr>
          <w:rFonts w:ascii="Arial" w:hAnsi="Arial" w:cs="Arial"/>
        </w:rPr>
        <w:t xml:space="preserve">. </w:t>
      </w:r>
      <w:r w:rsidR="00FA3EC1">
        <w:rPr>
          <w:rFonts w:ascii="Arial" w:hAnsi="Arial" w:cs="Arial"/>
        </w:rPr>
        <w:t xml:space="preserve">Once the progenitor commits to the osteoblast lineage, it expresses runx2 and collagen type I. It proliferates in to osteoblast precursor cells and becomes a larger cuboidal cell with a high activity of alkaline phosphatase. </w:t>
      </w:r>
      <w:r w:rsidR="00400691" w:rsidRPr="00E47F29">
        <w:rPr>
          <w:rFonts w:ascii="Arial" w:hAnsi="Arial" w:cs="Arial"/>
        </w:rPr>
        <w:t xml:space="preserve">The Sox transcription factors regulate chondrocyte differentiation and cartilage formation </w:t>
      </w:r>
      <w:r w:rsidR="00A8360A">
        <w:rPr>
          <w:rFonts w:ascii="Arial" w:hAnsi="Arial" w:cs="Arial"/>
        </w:rPr>
        <w:fldChar w:fldCharType="begin">
          <w:fldData xml:space="preserve">PEVuZE5vdGU+PENpdGU+PEF1dGhvcj5CaTwvQXV0aG9yPjxZZWFyPjE5OTk8L1llYXI+PFJlY051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PEVuZE5vdGU+PENpdGU+PEF1dGhvcj5CaTwvQXV0aG9yPjxZZWFyPjE5OTk8L1llYXI+PFJlY051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8360A">
        <w:rPr>
          <w:rFonts w:ascii="Arial" w:hAnsi="Arial" w:cs="Arial"/>
        </w:rPr>
      </w:r>
      <w:r w:rsidR="00A8360A">
        <w:rPr>
          <w:rFonts w:ascii="Arial" w:hAnsi="Arial" w:cs="Arial"/>
        </w:rPr>
        <w:fldChar w:fldCharType="separate"/>
      </w:r>
      <w:r w:rsidR="00EF6236">
        <w:rPr>
          <w:rFonts w:ascii="Arial" w:hAnsi="Arial" w:cs="Arial"/>
          <w:noProof/>
        </w:rPr>
        <w:t>(</w:t>
      </w:r>
      <w:hyperlink w:anchor="_ENREF_63" w:tooltip="Bi, 1999 #51" w:history="1">
        <w:r w:rsidR="003B725E">
          <w:rPr>
            <w:rFonts w:ascii="Arial" w:hAnsi="Arial" w:cs="Arial"/>
            <w:noProof/>
          </w:rPr>
          <w:t>63</w:t>
        </w:r>
      </w:hyperlink>
      <w:r w:rsidR="00EF6236">
        <w:rPr>
          <w:rFonts w:ascii="Arial" w:hAnsi="Arial" w:cs="Arial"/>
          <w:noProof/>
        </w:rPr>
        <w:t xml:space="preserve">, </w:t>
      </w:r>
      <w:hyperlink w:anchor="_ENREF_64" w:tooltip="Akiyama, 2002 #52" w:history="1">
        <w:r w:rsidR="003B725E">
          <w:rPr>
            <w:rFonts w:ascii="Arial" w:hAnsi="Arial" w:cs="Arial"/>
            <w:noProof/>
          </w:rPr>
          <w:t>64</w:t>
        </w:r>
      </w:hyperlink>
      <w:r w:rsidR="00EF6236">
        <w:rPr>
          <w:rFonts w:ascii="Arial" w:hAnsi="Arial" w:cs="Arial"/>
          <w:noProof/>
        </w:rPr>
        <w:t>)</w:t>
      </w:r>
      <w:r w:rsidR="00A8360A">
        <w:rPr>
          <w:rFonts w:ascii="Arial" w:hAnsi="Arial" w:cs="Arial"/>
        </w:rPr>
        <w:fldChar w:fldCharType="end"/>
      </w:r>
      <w:r w:rsidR="00A8360A">
        <w:rPr>
          <w:rFonts w:ascii="Arial" w:hAnsi="Arial" w:cs="Arial"/>
        </w:rPr>
        <w:t>.</w:t>
      </w:r>
    </w:p>
    <w:p w:rsidR="00EC0B3C" w:rsidRDefault="00EC0B3C" w:rsidP="00C273D9">
      <w:pPr>
        <w:keepNext/>
        <w:tabs>
          <w:tab w:val="right" w:pos="9026"/>
        </w:tabs>
        <w:spacing w:line="360" w:lineRule="auto"/>
        <w:jc w:val="center"/>
      </w:pPr>
      <w:r>
        <w:rPr>
          <w:rFonts w:ascii="Arial" w:hAnsi="Arial" w:cs="Arial"/>
          <w:noProof/>
          <w:lang w:eastAsia="zh-CN"/>
        </w:rPr>
        <w:drawing>
          <wp:inline distT="0" distB="0" distL="0" distR="0" wp14:anchorId="69CA0D7D" wp14:editId="07745525">
            <wp:extent cx="3800475" cy="2845484"/>
            <wp:effectExtent l="0" t="0" r="0" b="0"/>
            <wp:docPr id="18703" name="Picture 1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29900" cy="2867515"/>
                    </a:xfrm>
                    <a:prstGeom prst="rect">
                      <a:avLst/>
                    </a:prstGeom>
                    <a:noFill/>
                  </pic:spPr>
                </pic:pic>
              </a:graphicData>
            </a:graphic>
          </wp:inline>
        </w:drawing>
      </w:r>
    </w:p>
    <w:p w:rsidR="00941F18" w:rsidRPr="00EC0B3C" w:rsidRDefault="00EC0B3C" w:rsidP="009143C3">
      <w:pPr>
        <w:pStyle w:val="Caption"/>
        <w:jc w:val="both"/>
        <w:rPr>
          <w:rFonts w:ascii="Arial" w:hAnsi="Arial" w:cs="Arial"/>
          <w:b w:val="0"/>
          <w:color w:val="000000" w:themeColor="text1"/>
        </w:rPr>
      </w:pPr>
      <w:bookmarkStart w:id="20" w:name="_Toc425419488"/>
      <w:r w:rsidRPr="00EC0B3C">
        <w:rPr>
          <w:rFonts w:ascii="Arial" w:hAnsi="Arial" w:cs="Arial"/>
          <w:b w:val="0"/>
          <w:color w:val="000000" w:themeColor="text1"/>
        </w:rPr>
        <w:t xml:space="preserve">Figure </w:t>
      </w:r>
      <w:r w:rsidRPr="00EC0B3C">
        <w:rPr>
          <w:rFonts w:ascii="Arial" w:hAnsi="Arial" w:cs="Arial"/>
          <w:b w:val="0"/>
          <w:color w:val="000000" w:themeColor="text1"/>
        </w:rPr>
        <w:fldChar w:fldCharType="begin"/>
      </w:r>
      <w:r w:rsidRPr="00EC0B3C">
        <w:rPr>
          <w:rFonts w:ascii="Arial" w:hAnsi="Arial" w:cs="Arial"/>
          <w:b w:val="0"/>
          <w:color w:val="000000" w:themeColor="text1"/>
        </w:rPr>
        <w:instrText xml:space="preserve"> SEQ Figure \* ARABIC </w:instrText>
      </w:r>
      <w:r w:rsidRPr="00EC0B3C">
        <w:rPr>
          <w:rFonts w:ascii="Arial" w:hAnsi="Arial" w:cs="Arial"/>
          <w:b w:val="0"/>
          <w:color w:val="000000" w:themeColor="text1"/>
        </w:rPr>
        <w:fldChar w:fldCharType="separate"/>
      </w:r>
      <w:r w:rsidR="0040369A">
        <w:rPr>
          <w:rFonts w:ascii="Arial" w:hAnsi="Arial" w:cs="Arial"/>
          <w:b w:val="0"/>
          <w:noProof/>
          <w:color w:val="000000" w:themeColor="text1"/>
        </w:rPr>
        <w:t>5</w:t>
      </w:r>
      <w:r w:rsidRPr="00EC0B3C">
        <w:rPr>
          <w:rFonts w:ascii="Arial" w:hAnsi="Arial" w:cs="Arial"/>
          <w:b w:val="0"/>
          <w:color w:val="000000" w:themeColor="text1"/>
        </w:rPr>
        <w:fldChar w:fldCharType="end"/>
      </w:r>
      <w:r w:rsidRPr="00EC0B3C">
        <w:rPr>
          <w:rFonts w:ascii="Arial" w:hAnsi="Arial" w:cs="Arial"/>
          <w:b w:val="0"/>
          <w:color w:val="000000" w:themeColor="text1"/>
        </w:rPr>
        <w:t>: Cuboidal shaped osteoblast</w:t>
      </w:r>
      <w:r w:rsidR="00DA5856">
        <w:rPr>
          <w:rFonts w:ascii="Arial" w:hAnsi="Arial" w:cs="Arial"/>
          <w:b w:val="0"/>
          <w:color w:val="000000" w:themeColor="text1"/>
        </w:rPr>
        <w:t>s</w:t>
      </w:r>
      <w:r w:rsidRPr="00EC0B3C">
        <w:rPr>
          <w:rFonts w:ascii="Arial" w:hAnsi="Arial" w:cs="Arial"/>
          <w:b w:val="0"/>
          <w:color w:val="000000" w:themeColor="text1"/>
        </w:rPr>
        <w:t xml:space="preserve"> stacked on the red osteoid unmineralised human bone. Goldner’s trichrome, 40x magnification. Image obtained from the Bone Analysis Laboratory, University of Sheffield,</w:t>
      </w:r>
      <w:bookmarkEnd w:id="20"/>
      <w:r w:rsidRPr="00EC0B3C">
        <w:rPr>
          <w:rFonts w:ascii="Arial" w:hAnsi="Arial" w:cs="Arial"/>
          <w:b w:val="0"/>
          <w:color w:val="000000" w:themeColor="text1"/>
        </w:rPr>
        <w:t xml:space="preserve"> </w:t>
      </w:r>
    </w:p>
    <w:p w:rsidR="00F376F4" w:rsidRDefault="00FD16AA" w:rsidP="003B725E">
      <w:pPr>
        <w:tabs>
          <w:tab w:val="right" w:pos="9026"/>
        </w:tabs>
        <w:spacing w:line="360" w:lineRule="auto"/>
        <w:jc w:val="both"/>
        <w:rPr>
          <w:rFonts w:ascii="Arial" w:hAnsi="Arial" w:cs="Arial"/>
        </w:rPr>
      </w:pPr>
      <w:r>
        <w:rPr>
          <w:rFonts w:ascii="Arial" w:hAnsi="Arial" w:cs="Arial"/>
        </w:rPr>
        <w:t>During</w:t>
      </w:r>
      <w:r w:rsidR="00FA3EC1">
        <w:rPr>
          <w:rFonts w:ascii="Arial" w:hAnsi="Arial" w:cs="Arial"/>
        </w:rPr>
        <w:t xml:space="preserve"> the later stages of osteoblast formation </w:t>
      </w:r>
      <w:r>
        <w:rPr>
          <w:rFonts w:ascii="Arial" w:hAnsi="Arial" w:cs="Arial"/>
        </w:rPr>
        <w:t>r</w:t>
      </w:r>
      <w:r w:rsidR="00173854">
        <w:rPr>
          <w:rFonts w:ascii="Arial" w:hAnsi="Arial" w:cs="Arial"/>
        </w:rPr>
        <w:t xml:space="preserve">unx2 </w:t>
      </w:r>
      <w:r>
        <w:rPr>
          <w:rFonts w:ascii="Arial" w:hAnsi="Arial" w:cs="Arial"/>
        </w:rPr>
        <w:t xml:space="preserve">binds </w:t>
      </w:r>
      <w:r w:rsidR="00173854">
        <w:rPr>
          <w:rFonts w:ascii="Arial" w:hAnsi="Arial" w:cs="Arial"/>
        </w:rPr>
        <w:t xml:space="preserve">to the promoter of several osteoblast-specific genes </w:t>
      </w:r>
      <w:r>
        <w:rPr>
          <w:rFonts w:ascii="Arial" w:hAnsi="Arial" w:cs="Arial"/>
        </w:rPr>
        <w:t>and is the main switch</w:t>
      </w:r>
      <w:r w:rsidR="00155C44">
        <w:rPr>
          <w:rFonts w:ascii="Arial" w:hAnsi="Arial" w:cs="Arial"/>
        </w:rPr>
        <w:t xml:space="preserve"> for the </w:t>
      </w:r>
      <w:r w:rsidR="00173854">
        <w:rPr>
          <w:rFonts w:ascii="Arial" w:hAnsi="Arial" w:cs="Arial"/>
        </w:rPr>
        <w:t>differentiation</w:t>
      </w:r>
      <w:r w:rsidR="00155C44">
        <w:rPr>
          <w:rFonts w:ascii="Arial" w:hAnsi="Arial" w:cs="Arial"/>
        </w:rPr>
        <w:t xml:space="preserve"> of osteoblast precursor into mature osteoblasts. The</w:t>
      </w:r>
      <w:r w:rsidR="00173854">
        <w:rPr>
          <w:rFonts w:ascii="Arial" w:hAnsi="Arial" w:cs="Arial"/>
        </w:rPr>
        <w:t xml:space="preserve"> genes </w:t>
      </w:r>
      <w:r w:rsidR="00155C44">
        <w:rPr>
          <w:rFonts w:ascii="Arial" w:hAnsi="Arial" w:cs="Arial"/>
        </w:rPr>
        <w:t xml:space="preserve">that are expressed </w:t>
      </w:r>
      <w:r w:rsidR="00173854">
        <w:rPr>
          <w:rFonts w:ascii="Arial" w:hAnsi="Arial" w:cs="Arial"/>
        </w:rPr>
        <w:t>include</w:t>
      </w:r>
      <w:r w:rsidR="00155C44">
        <w:rPr>
          <w:rFonts w:ascii="Arial" w:hAnsi="Arial" w:cs="Arial"/>
        </w:rPr>
        <w:t xml:space="preserve"> osteocalcin, alkaline phosphatase, t</w:t>
      </w:r>
      <w:r w:rsidR="005F51B1">
        <w:rPr>
          <w:rFonts w:ascii="Arial" w:hAnsi="Arial" w:cs="Arial"/>
        </w:rPr>
        <w:t xml:space="preserve">ype I collagen, osteopontin, </w:t>
      </w:r>
      <w:r w:rsidR="00155C44">
        <w:rPr>
          <w:rFonts w:ascii="Arial" w:hAnsi="Arial" w:cs="Arial"/>
        </w:rPr>
        <w:t>osteonectin</w:t>
      </w:r>
      <w:r w:rsidR="005F51B1">
        <w:rPr>
          <w:rFonts w:ascii="Arial" w:hAnsi="Arial" w:cs="Arial"/>
        </w:rPr>
        <w:t xml:space="preserve"> and proteoglycans (such as decorin and biglycan)</w:t>
      </w:r>
      <w:r w:rsidR="00155C44">
        <w:rPr>
          <w:rFonts w:ascii="Arial" w:hAnsi="Arial" w:cs="Arial"/>
        </w:rPr>
        <w:t>. This process either positively or negatively promotes the osteoblast-like phenotype</w:t>
      </w:r>
      <w:r w:rsidR="00A648AA">
        <w:rPr>
          <w:rFonts w:ascii="Arial" w:hAnsi="Arial" w:cs="Arial"/>
        </w:rPr>
        <w:t xml:space="preserve"> </w:t>
      </w:r>
      <w:r w:rsidR="00A648AA">
        <w:rPr>
          <w:rFonts w:ascii="Arial" w:hAnsi="Arial" w:cs="Arial"/>
        </w:rPr>
        <w:fldChar w:fldCharType="begin">
          <w:fldData xml:space="preserve">PEVuZE5vdGU+PENpdGU+PEF1dGhvcj5IYXJhZGE8L0F1dGhvcj48WWVhcj4xOTk5PC9ZZWFyPjxS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Y2FsIGNoZW1pc3RyeTwvYWJici0xPjwvYWx0LXBlcmlvZGljYWw+PHBhZ2VzPjY5NzItODwvcGFn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PC9hYmJyLTE+PC9hbHQtcGVyaW9kaWNhbD48cGFnZXM+NzEwMS03PC9wYWdlcz48dm9sdW1lPjI3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PEVuZE5vdGU+PENpdGU+PEF1dGhvcj5IYXJhZGE8L0F1dGhvcj48WWVhcj4xOTk5PC9ZZWFyPjxS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Y2FsIGNoZW1pc3RyeTwvYWJici0xPjwvYWx0LXBlcmlvZGljYWw+PHBhZ2VzPjY5NzItODwvcGFn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PC9hYmJyLTE+PC9hbHQtcGVyaW9kaWNhbD48cGFnZXM+NzEwMS03PC9wYWdlcz48dm9sdW1lPjI3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648AA">
        <w:rPr>
          <w:rFonts w:ascii="Arial" w:hAnsi="Arial" w:cs="Arial"/>
        </w:rPr>
      </w:r>
      <w:r w:rsidR="00A648AA">
        <w:rPr>
          <w:rFonts w:ascii="Arial" w:hAnsi="Arial" w:cs="Arial"/>
        </w:rPr>
        <w:fldChar w:fldCharType="separate"/>
      </w:r>
      <w:r w:rsidR="00EF6236">
        <w:rPr>
          <w:rFonts w:ascii="Arial" w:hAnsi="Arial" w:cs="Arial"/>
          <w:noProof/>
        </w:rPr>
        <w:t>(</w:t>
      </w:r>
      <w:hyperlink w:anchor="_ENREF_65" w:tooltip="Harada, 1999 #53" w:history="1">
        <w:r w:rsidR="003B725E">
          <w:rPr>
            <w:rFonts w:ascii="Arial" w:hAnsi="Arial" w:cs="Arial"/>
            <w:noProof/>
          </w:rPr>
          <w:t>65</w:t>
        </w:r>
      </w:hyperlink>
      <w:r w:rsidR="00EF6236">
        <w:rPr>
          <w:rFonts w:ascii="Arial" w:hAnsi="Arial" w:cs="Arial"/>
          <w:noProof/>
        </w:rPr>
        <w:t xml:space="preserve">, </w:t>
      </w:r>
      <w:hyperlink w:anchor="_ENREF_66" w:tooltip="Kern, 2001 #54" w:history="1">
        <w:r w:rsidR="003B725E">
          <w:rPr>
            <w:rFonts w:ascii="Arial" w:hAnsi="Arial" w:cs="Arial"/>
            <w:noProof/>
          </w:rPr>
          <w:t>66</w:t>
        </w:r>
      </w:hyperlink>
      <w:r w:rsidR="00EF6236">
        <w:rPr>
          <w:rFonts w:ascii="Arial" w:hAnsi="Arial" w:cs="Arial"/>
          <w:noProof/>
        </w:rPr>
        <w:t>)</w:t>
      </w:r>
      <w:r w:rsidR="00A648AA">
        <w:rPr>
          <w:rFonts w:ascii="Arial" w:hAnsi="Arial" w:cs="Arial"/>
        </w:rPr>
        <w:fldChar w:fldCharType="end"/>
      </w:r>
      <w:r w:rsidR="00155C44">
        <w:rPr>
          <w:rFonts w:ascii="Arial" w:hAnsi="Arial" w:cs="Arial"/>
        </w:rPr>
        <w:t xml:space="preserve">. </w:t>
      </w:r>
      <w:r w:rsidR="00732479" w:rsidRPr="00E47F29">
        <w:rPr>
          <w:rFonts w:ascii="Arial" w:hAnsi="Arial" w:cs="Arial"/>
        </w:rPr>
        <w:t xml:space="preserve">The </w:t>
      </w:r>
      <w:r w:rsidR="00FB646F">
        <w:rPr>
          <w:rFonts w:ascii="Arial" w:hAnsi="Arial" w:cs="Arial"/>
        </w:rPr>
        <w:t>absence of mineralised bone in r</w:t>
      </w:r>
      <w:r w:rsidR="00732479" w:rsidRPr="00E47F29">
        <w:rPr>
          <w:rFonts w:ascii="Arial" w:hAnsi="Arial" w:cs="Arial"/>
        </w:rPr>
        <w:t xml:space="preserve">unx2 deficient mice has previously been demonstrated </w:t>
      </w:r>
      <w:r w:rsidR="00A648AA">
        <w:rPr>
          <w:rFonts w:ascii="Arial" w:hAnsi="Arial" w:cs="Arial"/>
        </w:rPr>
        <w:fldChar w:fldCharType="begin">
          <w:fldData xml:space="preserve">PEVuZE5vdGU+PENpdGU+PEF1dGhvcj5PdHRvPC9BdXRob3I+PFllYXI+MTk5NzwvWWVhcj48UmVj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cGFnZXM+NzY1LTcxPC9wYWdlcz48dm9sdW1lPjg5PC92b2x1bWU+PG51bWJlcj41PC9udW1iZXI+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PEVuZE5vdGU+PENpdGU+PEF1dGhvcj5PdHRvPC9BdXRob3I+PFllYXI+MTk5NzwvWWVhcj48UmVj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cGFnZXM+NzY1LTcxPC9wYWdlcz48dm9sdW1lPjg5PC92b2x1bWU+PG51bWJlcj41PC9udW1iZXI+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648AA">
        <w:rPr>
          <w:rFonts w:ascii="Arial" w:hAnsi="Arial" w:cs="Arial"/>
        </w:rPr>
      </w:r>
      <w:r w:rsidR="00A648AA">
        <w:rPr>
          <w:rFonts w:ascii="Arial" w:hAnsi="Arial" w:cs="Arial"/>
        </w:rPr>
        <w:fldChar w:fldCharType="separate"/>
      </w:r>
      <w:r w:rsidR="00EF6236">
        <w:rPr>
          <w:rFonts w:ascii="Arial" w:hAnsi="Arial" w:cs="Arial"/>
          <w:noProof/>
        </w:rPr>
        <w:t>(</w:t>
      </w:r>
      <w:hyperlink w:anchor="_ENREF_67" w:tooltip="Otto, 1997 #55" w:history="1">
        <w:r w:rsidR="003B725E">
          <w:rPr>
            <w:rFonts w:ascii="Arial" w:hAnsi="Arial" w:cs="Arial"/>
            <w:noProof/>
          </w:rPr>
          <w:t>67</w:t>
        </w:r>
      </w:hyperlink>
      <w:r w:rsidR="00EF6236">
        <w:rPr>
          <w:rFonts w:ascii="Arial" w:hAnsi="Arial" w:cs="Arial"/>
          <w:noProof/>
        </w:rPr>
        <w:t>)</w:t>
      </w:r>
      <w:r w:rsidR="00A648AA">
        <w:rPr>
          <w:rFonts w:ascii="Arial" w:hAnsi="Arial" w:cs="Arial"/>
        </w:rPr>
        <w:fldChar w:fldCharType="end"/>
      </w:r>
      <w:r w:rsidR="00A648AA">
        <w:rPr>
          <w:rFonts w:ascii="Arial" w:hAnsi="Arial" w:cs="Arial"/>
        </w:rPr>
        <w:t>.</w:t>
      </w:r>
      <w:r w:rsidR="00653B10" w:rsidRPr="00E47F29">
        <w:rPr>
          <w:rFonts w:ascii="Arial" w:hAnsi="Arial" w:cs="Arial"/>
        </w:rPr>
        <w:t xml:space="preserve"> </w:t>
      </w:r>
    </w:p>
    <w:p w:rsidR="0063407D" w:rsidRDefault="00CD17C0" w:rsidP="003B725E">
      <w:pPr>
        <w:tabs>
          <w:tab w:val="right" w:pos="9026"/>
        </w:tabs>
        <w:spacing w:line="360" w:lineRule="auto"/>
        <w:jc w:val="both"/>
        <w:rPr>
          <w:rFonts w:ascii="Arial" w:hAnsi="Arial" w:cs="Arial"/>
        </w:rPr>
      </w:pPr>
      <w:r>
        <w:rPr>
          <w:rFonts w:ascii="Arial" w:hAnsi="Arial" w:cs="Arial"/>
        </w:rPr>
        <w:t xml:space="preserve">The BMP and TGF-β signalling </w:t>
      </w:r>
      <w:r w:rsidR="00A07CC2">
        <w:rPr>
          <w:rFonts w:ascii="Arial" w:hAnsi="Arial" w:cs="Arial"/>
        </w:rPr>
        <w:t>pathways involve</w:t>
      </w:r>
      <w:r>
        <w:rPr>
          <w:rFonts w:ascii="Arial" w:hAnsi="Arial" w:cs="Arial"/>
        </w:rPr>
        <w:t xml:space="preserve"> the binding of BMPs to type-1 and type-2 serine/threonine receptor kinases</w:t>
      </w:r>
      <w:r w:rsidR="00365DF7">
        <w:rPr>
          <w:rFonts w:ascii="Arial" w:hAnsi="Arial" w:cs="Arial"/>
        </w:rPr>
        <w:t xml:space="preserve"> and other specific receptors. The complexes which </w:t>
      </w:r>
      <w:r w:rsidR="00365DF7">
        <w:rPr>
          <w:rFonts w:ascii="Arial" w:hAnsi="Arial" w:cs="Arial"/>
        </w:rPr>
        <w:lastRenderedPageBreak/>
        <w:t xml:space="preserve">are formed interact with other transcription </w:t>
      </w:r>
      <w:r w:rsidR="00FB646F">
        <w:rPr>
          <w:rFonts w:ascii="Arial" w:hAnsi="Arial" w:cs="Arial"/>
        </w:rPr>
        <w:t>factors such as r</w:t>
      </w:r>
      <w:r w:rsidR="00036B66">
        <w:rPr>
          <w:rFonts w:ascii="Arial" w:hAnsi="Arial" w:cs="Arial"/>
        </w:rPr>
        <w:t xml:space="preserve">unx2 </w:t>
      </w:r>
      <w:r w:rsidR="00260A6C">
        <w:rPr>
          <w:rFonts w:ascii="Arial" w:hAnsi="Arial" w:cs="Arial"/>
        </w:rPr>
        <w:t xml:space="preserve">and </w:t>
      </w:r>
      <w:r w:rsidR="00A07CC2">
        <w:rPr>
          <w:rFonts w:ascii="Arial" w:hAnsi="Arial" w:cs="Arial"/>
        </w:rPr>
        <w:t>stimulate</w:t>
      </w:r>
      <w:r w:rsidR="00260A6C">
        <w:rPr>
          <w:rFonts w:ascii="Arial" w:hAnsi="Arial" w:cs="Arial"/>
        </w:rPr>
        <w:t xml:space="preserve"> gene transcription</w:t>
      </w:r>
      <w:r w:rsidR="00A648AA">
        <w:rPr>
          <w:rFonts w:ascii="Arial" w:hAnsi="Arial" w:cs="Arial"/>
        </w:rPr>
        <w:t xml:space="preserve"> </w:t>
      </w:r>
      <w:r w:rsidR="00A648AA">
        <w:rPr>
          <w:rFonts w:ascii="Arial" w:hAnsi="Arial" w:cs="Arial"/>
        </w:rPr>
        <w:fldChar w:fldCharType="begin">
          <w:fldData xml:space="preserve">PEVuZE5vdGU+PENpdGU+PEF1dGhvcj5OYWthc2hpbWE8L0F1dGhvcj48WWVhcj4yMDAyPC9ZZWFy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YWdlcz4xNy0yOTwvcGFnZXM+PHZvbHVtZT4xMDg8L3ZvbHVtZT48bnVtYmVyPjE8L251bWJlcj48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PEVuZE5vdGU+PENpdGU+PEF1dGhvcj5OYWthc2hpbWE8L0F1dGhvcj48WWVhcj4yMDAyPC9ZZWFy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YWdlcz4xNy0yOTwvcGFnZXM+PHZvbHVtZT4xMDg8L3ZvbHVtZT48bnVtYmVyPjE8L251bWJlcj48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648AA">
        <w:rPr>
          <w:rFonts w:ascii="Arial" w:hAnsi="Arial" w:cs="Arial"/>
        </w:rPr>
      </w:r>
      <w:r w:rsidR="00A648AA">
        <w:rPr>
          <w:rFonts w:ascii="Arial" w:hAnsi="Arial" w:cs="Arial"/>
        </w:rPr>
        <w:fldChar w:fldCharType="separate"/>
      </w:r>
      <w:r w:rsidR="00EF6236">
        <w:rPr>
          <w:rFonts w:ascii="Arial" w:hAnsi="Arial" w:cs="Arial"/>
          <w:noProof/>
        </w:rPr>
        <w:t>(</w:t>
      </w:r>
      <w:hyperlink w:anchor="_ENREF_68" w:tooltip="Nakashima, 2002 #56" w:history="1">
        <w:r w:rsidR="003B725E">
          <w:rPr>
            <w:rFonts w:ascii="Arial" w:hAnsi="Arial" w:cs="Arial"/>
            <w:noProof/>
          </w:rPr>
          <w:t>68</w:t>
        </w:r>
      </w:hyperlink>
      <w:r w:rsidR="00EF6236">
        <w:rPr>
          <w:rFonts w:ascii="Arial" w:hAnsi="Arial" w:cs="Arial"/>
          <w:noProof/>
        </w:rPr>
        <w:t>)</w:t>
      </w:r>
      <w:r w:rsidR="00A648AA">
        <w:rPr>
          <w:rFonts w:ascii="Arial" w:hAnsi="Arial" w:cs="Arial"/>
        </w:rPr>
        <w:fldChar w:fldCharType="end"/>
      </w:r>
      <w:r w:rsidR="00260A6C">
        <w:rPr>
          <w:rFonts w:ascii="Arial" w:hAnsi="Arial" w:cs="Arial"/>
        </w:rPr>
        <w:t xml:space="preserve">. These interactions </w:t>
      </w:r>
      <w:r w:rsidR="00036B66">
        <w:rPr>
          <w:rFonts w:ascii="Arial" w:hAnsi="Arial" w:cs="Arial"/>
        </w:rPr>
        <w:t>mediate the</w:t>
      </w:r>
      <w:r w:rsidR="00365DF7">
        <w:rPr>
          <w:rFonts w:ascii="Arial" w:hAnsi="Arial" w:cs="Arial"/>
        </w:rPr>
        <w:t xml:space="preserve"> development and maintenance of bone </w:t>
      </w:r>
      <w:r w:rsidR="00260A6C">
        <w:rPr>
          <w:rFonts w:ascii="Arial" w:hAnsi="Arial" w:cs="Arial"/>
        </w:rPr>
        <w:t>homeostasis</w:t>
      </w:r>
      <w:r w:rsidR="00365DF7">
        <w:rPr>
          <w:rFonts w:ascii="Arial" w:hAnsi="Arial" w:cs="Arial"/>
        </w:rPr>
        <w:t xml:space="preserve">, cartilage and bone metabolism and overall skeletal development </w:t>
      </w:r>
      <w:r w:rsidR="00E811EC">
        <w:rPr>
          <w:rFonts w:ascii="Arial" w:hAnsi="Arial" w:cs="Arial"/>
        </w:rPr>
        <w:fldChar w:fldCharType="begin">
          <w:fldData xml:space="preserve">PEVuZE5vdGU+PENpdGU+PEF1dGhvcj5DaGVuPC9BdXRob3I+PFllYXI+MjAwNDwvWWVhcj48UmVj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PEVuZE5vdGU+PENpdGU+PEF1dGhvcj5DaGVuPC9BdXRob3I+PFllYXI+MjAwNDwvWWVhcj48UmVj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E811EC">
        <w:rPr>
          <w:rFonts w:ascii="Arial" w:hAnsi="Arial" w:cs="Arial"/>
        </w:rPr>
      </w:r>
      <w:r w:rsidR="00E811EC">
        <w:rPr>
          <w:rFonts w:ascii="Arial" w:hAnsi="Arial" w:cs="Arial"/>
        </w:rPr>
        <w:fldChar w:fldCharType="separate"/>
      </w:r>
      <w:r w:rsidR="00EF6236">
        <w:rPr>
          <w:rFonts w:ascii="Arial" w:hAnsi="Arial" w:cs="Arial"/>
          <w:noProof/>
        </w:rPr>
        <w:t>(</w:t>
      </w:r>
      <w:hyperlink w:anchor="_ENREF_69" w:tooltip="Chen, 2004 #57" w:history="1">
        <w:r w:rsidR="003B725E">
          <w:rPr>
            <w:rFonts w:ascii="Arial" w:hAnsi="Arial" w:cs="Arial"/>
            <w:noProof/>
          </w:rPr>
          <w:t>69-71</w:t>
        </w:r>
      </w:hyperlink>
      <w:r w:rsidR="00EF6236">
        <w:rPr>
          <w:rFonts w:ascii="Arial" w:hAnsi="Arial" w:cs="Arial"/>
          <w:noProof/>
        </w:rPr>
        <w:t>)</w:t>
      </w:r>
      <w:r w:rsidR="00E811EC">
        <w:rPr>
          <w:rFonts w:ascii="Arial" w:hAnsi="Arial" w:cs="Arial"/>
        </w:rPr>
        <w:fldChar w:fldCharType="end"/>
      </w:r>
      <w:r w:rsidR="00E811EC">
        <w:rPr>
          <w:rFonts w:ascii="Arial" w:hAnsi="Arial" w:cs="Arial"/>
        </w:rPr>
        <w:t>.</w:t>
      </w:r>
    </w:p>
    <w:p w:rsidR="00C81C33" w:rsidRDefault="00955C72" w:rsidP="003B725E">
      <w:pPr>
        <w:tabs>
          <w:tab w:val="right" w:pos="9026"/>
        </w:tabs>
        <w:spacing w:line="360" w:lineRule="auto"/>
        <w:jc w:val="both"/>
        <w:rPr>
          <w:rFonts w:ascii="Arial" w:hAnsi="Arial" w:cs="Arial"/>
        </w:rPr>
      </w:pPr>
      <w:r>
        <w:rPr>
          <w:noProof/>
          <w:lang w:eastAsia="zh-CN"/>
        </w:rPr>
        <mc:AlternateContent>
          <mc:Choice Requires="wps">
            <w:drawing>
              <wp:anchor distT="0" distB="0" distL="114300" distR="114300" simplePos="0" relativeHeight="250224128" behindDoc="0" locked="0" layoutInCell="1" allowOverlap="1" wp14:anchorId="4E2E9015" wp14:editId="6B5A5A1B">
                <wp:simplePos x="0" y="0"/>
                <wp:positionH relativeFrom="column">
                  <wp:posOffset>1617081</wp:posOffset>
                </wp:positionH>
                <wp:positionV relativeFrom="paragraph">
                  <wp:posOffset>889000</wp:posOffset>
                </wp:positionV>
                <wp:extent cx="1029335" cy="461645"/>
                <wp:effectExtent l="0" t="0" r="0" b="0"/>
                <wp:wrapNone/>
                <wp:docPr id="110" name="TextBox 109"/>
                <wp:cNvGraphicFramePr/>
                <a:graphic xmlns:a="http://schemas.openxmlformats.org/drawingml/2006/main">
                  <a:graphicData uri="http://schemas.microsoft.com/office/word/2010/wordprocessingShape">
                    <wps:wsp>
                      <wps:cNvSpPr txBox="1"/>
                      <wps:spPr>
                        <a:xfrm>
                          <a:off x="0" y="0"/>
                          <a:ext cx="1029335" cy="461645"/>
                        </a:xfrm>
                        <a:prstGeom prst="rect">
                          <a:avLst/>
                        </a:prstGeom>
                        <a:noFill/>
                        <a:ln>
                          <a:noFill/>
                        </a:ln>
                      </wps:spPr>
                      <wps:txbx>
                        <w:txbxContent>
                          <w:p w:rsidR="004166BC" w:rsidRDefault="004166BC" w:rsidP="00955C72">
                            <w:pPr>
                              <w:pStyle w:val="NormalWeb"/>
                              <w:spacing w:before="0" w:beforeAutospacing="0" w:after="0" w:afterAutospacing="0"/>
                              <w:textAlignment w:val="baseline"/>
                            </w:pPr>
                          </w:p>
                        </w:txbxContent>
                      </wps:txbx>
                      <wps:bodyPr wrap="none" rtlCol="0">
                        <a:spAutoFit/>
                      </wps:bodyPr>
                    </wps:wsp>
                  </a:graphicData>
                </a:graphic>
              </wp:anchor>
            </w:drawing>
          </mc:Choice>
          <mc:Fallback>
            <w:pict>
              <v:shape w14:anchorId="4E2E9015" id="TextBox 109" o:spid="_x0000_s1027" type="#_x0000_t202" style="position:absolute;left:0;text-align:left;margin-left:127.35pt;margin-top:70pt;width:81.05pt;height:36.35pt;z-index:2502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" filled="f" stroked="f">
                <v:textbox style="mso-fit-shape-to-text:t">
                  <w:txbxContent>
                    <w:p w:rsidR="004166BC" w:rsidRDefault="004166BC" w:rsidP="00955C72">
                      <w:pPr>
                        <w:pStyle w:val="NormalWeb"/>
                        <w:spacing w:before="0" w:beforeAutospacing="0" w:after="0" w:afterAutospacing="0"/>
                        <w:textAlignment w:val="baseline"/>
                      </w:pPr>
                    </w:p>
                  </w:txbxContent>
                </v:textbox>
              </v:shape>
            </w:pict>
          </mc:Fallback>
        </mc:AlternateContent>
      </w:r>
      <w:r w:rsidR="00C0278E">
        <w:rPr>
          <w:rFonts w:ascii="Arial" w:hAnsi="Arial" w:cs="Arial"/>
        </w:rPr>
        <w:t>Once the re</w:t>
      </w:r>
      <w:r w:rsidR="00491482">
        <w:rPr>
          <w:rFonts w:ascii="Arial" w:hAnsi="Arial" w:cs="Arial"/>
        </w:rPr>
        <w:t>sorption process is complete</w:t>
      </w:r>
      <w:r w:rsidR="00C0278E">
        <w:rPr>
          <w:rFonts w:ascii="Arial" w:hAnsi="Arial" w:cs="Arial"/>
        </w:rPr>
        <w:t xml:space="preserve"> the oste</w:t>
      </w:r>
      <w:r w:rsidR="00FD16AA">
        <w:rPr>
          <w:rFonts w:ascii="Arial" w:hAnsi="Arial" w:cs="Arial"/>
        </w:rPr>
        <w:t>oc</w:t>
      </w:r>
      <w:r w:rsidR="00491482">
        <w:rPr>
          <w:rFonts w:ascii="Arial" w:hAnsi="Arial" w:cs="Arial"/>
        </w:rPr>
        <w:t>last undergoes apoptosis and</w:t>
      </w:r>
      <w:r w:rsidR="00FD16AA">
        <w:rPr>
          <w:rFonts w:ascii="Arial" w:hAnsi="Arial" w:cs="Arial"/>
        </w:rPr>
        <w:t xml:space="preserve"> </w:t>
      </w:r>
      <w:r w:rsidR="00C0278E">
        <w:rPr>
          <w:rFonts w:ascii="Arial" w:hAnsi="Arial" w:cs="Arial"/>
        </w:rPr>
        <w:t>mature osteoblasts migrate to the site that has been resorbed and lays down un</w:t>
      </w:r>
      <w:r w:rsidR="004453DB">
        <w:rPr>
          <w:rFonts w:ascii="Arial" w:hAnsi="Arial" w:cs="Arial"/>
        </w:rPr>
        <w:t>-</w:t>
      </w:r>
      <w:r w:rsidR="00C0278E">
        <w:rPr>
          <w:rFonts w:ascii="Arial" w:hAnsi="Arial" w:cs="Arial"/>
        </w:rPr>
        <w:t xml:space="preserve">calcified bone matrix, </w:t>
      </w:r>
      <w:r w:rsidR="00491482">
        <w:rPr>
          <w:rFonts w:ascii="Arial" w:hAnsi="Arial" w:cs="Arial"/>
        </w:rPr>
        <w:t xml:space="preserve">namely </w:t>
      </w:r>
      <w:r w:rsidR="00C0278E">
        <w:rPr>
          <w:rFonts w:ascii="Arial" w:hAnsi="Arial" w:cs="Arial"/>
        </w:rPr>
        <w:t>the osteoid</w:t>
      </w:r>
      <w:r w:rsidR="008B7B49">
        <w:rPr>
          <w:rFonts w:ascii="Arial" w:hAnsi="Arial" w:cs="Arial"/>
        </w:rPr>
        <w:t xml:space="preserve"> </w:t>
      </w:r>
      <w:r w:rsidR="008B7B49">
        <w:rPr>
          <w:rFonts w:ascii="Arial" w:hAnsi="Arial" w:cs="Arial"/>
        </w:rPr>
        <w:fldChar w:fldCharType="begin">
          <w:fldData xml:space="preserve">PEVuZE5vdGU+PENpdGU+PEF1dGhvcj5TaW1zPC9BdXRob3I+PFllYXI+MjAxNDwvWWVhcj48UmVj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==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PEVuZE5vdGU+PENpdGU+PEF1dGhvcj5TaW1zPC9BdXRob3I+PFllYXI+MjAxNDwvWWVhcj48UmVj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==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8B7B49">
        <w:rPr>
          <w:rFonts w:ascii="Arial" w:hAnsi="Arial" w:cs="Arial"/>
        </w:rPr>
      </w:r>
      <w:r w:rsidR="008B7B49">
        <w:rPr>
          <w:rFonts w:ascii="Arial" w:hAnsi="Arial" w:cs="Arial"/>
        </w:rPr>
        <w:fldChar w:fldCharType="separate"/>
      </w:r>
      <w:r w:rsidR="00EF6236">
        <w:rPr>
          <w:rFonts w:ascii="Arial" w:hAnsi="Arial" w:cs="Arial"/>
          <w:noProof/>
        </w:rPr>
        <w:t>(</w:t>
      </w:r>
      <w:hyperlink w:anchor="_ENREF_72" w:tooltip="Sims, 2014 #368" w:history="1">
        <w:r w:rsidR="003B725E">
          <w:rPr>
            <w:rFonts w:ascii="Arial" w:hAnsi="Arial" w:cs="Arial"/>
            <w:noProof/>
          </w:rPr>
          <w:t>72</w:t>
        </w:r>
      </w:hyperlink>
      <w:r w:rsidR="00EF6236">
        <w:rPr>
          <w:rFonts w:ascii="Arial" w:hAnsi="Arial" w:cs="Arial"/>
          <w:noProof/>
        </w:rPr>
        <w:t xml:space="preserve">, </w:t>
      </w:r>
      <w:hyperlink w:anchor="_ENREF_73" w:tooltip="Capulli, 2014 #371" w:history="1">
        <w:r w:rsidR="003B725E">
          <w:rPr>
            <w:rFonts w:ascii="Arial" w:hAnsi="Arial" w:cs="Arial"/>
            <w:noProof/>
          </w:rPr>
          <w:t>73</w:t>
        </w:r>
      </w:hyperlink>
      <w:r w:rsidR="00EF6236">
        <w:rPr>
          <w:rFonts w:ascii="Arial" w:hAnsi="Arial" w:cs="Arial"/>
          <w:noProof/>
        </w:rPr>
        <w:t>)</w:t>
      </w:r>
      <w:r w:rsidR="008B7B49">
        <w:rPr>
          <w:rFonts w:ascii="Arial" w:hAnsi="Arial" w:cs="Arial"/>
        </w:rPr>
        <w:fldChar w:fldCharType="end"/>
      </w:r>
      <w:r w:rsidR="00C0278E">
        <w:rPr>
          <w:rFonts w:ascii="Arial" w:hAnsi="Arial" w:cs="Arial"/>
        </w:rPr>
        <w:t xml:space="preserve">. </w:t>
      </w:r>
      <w:r w:rsidR="00E47088">
        <w:rPr>
          <w:rFonts w:ascii="Arial" w:hAnsi="Arial" w:cs="Arial"/>
        </w:rPr>
        <w:t>A</w:t>
      </w:r>
      <w:r w:rsidR="00C0278E">
        <w:rPr>
          <w:rFonts w:ascii="Arial" w:hAnsi="Arial" w:cs="Arial"/>
        </w:rPr>
        <w:t>lkaline phosphate</w:t>
      </w:r>
      <w:r w:rsidR="00E47088">
        <w:rPr>
          <w:rFonts w:ascii="Arial" w:hAnsi="Arial" w:cs="Arial"/>
        </w:rPr>
        <w:t xml:space="preserve"> then</w:t>
      </w:r>
      <w:r w:rsidR="00C0278E">
        <w:rPr>
          <w:rFonts w:ascii="Arial" w:hAnsi="Arial" w:cs="Arial"/>
        </w:rPr>
        <w:t xml:space="preserve"> degrades pyrophosphate</w:t>
      </w:r>
      <w:r w:rsidR="00B258A0">
        <w:rPr>
          <w:rFonts w:ascii="Arial" w:hAnsi="Arial" w:cs="Arial"/>
        </w:rPr>
        <w:t xml:space="preserve"> and proteoglycans</w:t>
      </w:r>
      <w:r w:rsidR="00B75437">
        <w:rPr>
          <w:rFonts w:ascii="Arial" w:hAnsi="Arial" w:cs="Arial"/>
        </w:rPr>
        <w:t xml:space="preserve"> </w:t>
      </w:r>
      <w:r w:rsidR="00E53998">
        <w:rPr>
          <w:rFonts w:ascii="Arial" w:hAnsi="Arial" w:cs="Arial"/>
        </w:rPr>
        <w:fldChar w:fldCharType="begin">
          <w:fldData xml:space="preserve">PEVuZE5vdGU+PENpdGU+PEF1dGhvcj5SdXNzZWxsPC9BdXRob3I+PFllYXI+MTk3NTwvWWVhcj48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PEVuZE5vdGU+PENpdGU+PEF1dGhvcj5SdXNzZWxsPC9BdXRob3I+PFllYXI+MTk3NTwvWWVhcj48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E53998">
        <w:rPr>
          <w:rFonts w:ascii="Arial" w:hAnsi="Arial" w:cs="Arial"/>
        </w:rPr>
      </w:r>
      <w:r w:rsidR="00E53998">
        <w:rPr>
          <w:rFonts w:ascii="Arial" w:hAnsi="Arial" w:cs="Arial"/>
        </w:rPr>
        <w:fldChar w:fldCharType="separate"/>
      </w:r>
      <w:r w:rsidR="00EF6236">
        <w:rPr>
          <w:rFonts w:ascii="Arial" w:hAnsi="Arial" w:cs="Arial"/>
          <w:noProof/>
        </w:rPr>
        <w:t>(</w:t>
      </w:r>
      <w:hyperlink w:anchor="_ENREF_74" w:tooltip="Russell, 1975 #370" w:history="1">
        <w:r w:rsidR="003B725E">
          <w:rPr>
            <w:rFonts w:ascii="Arial" w:hAnsi="Arial" w:cs="Arial"/>
            <w:noProof/>
          </w:rPr>
          <w:t>74</w:t>
        </w:r>
      </w:hyperlink>
      <w:r w:rsidR="00EF6236">
        <w:rPr>
          <w:rFonts w:ascii="Arial" w:hAnsi="Arial" w:cs="Arial"/>
          <w:noProof/>
        </w:rPr>
        <w:t>)</w:t>
      </w:r>
      <w:r w:rsidR="00E53998">
        <w:rPr>
          <w:rFonts w:ascii="Arial" w:hAnsi="Arial" w:cs="Arial"/>
        </w:rPr>
        <w:fldChar w:fldCharType="end"/>
      </w:r>
      <w:r w:rsidR="00B75437">
        <w:rPr>
          <w:rFonts w:ascii="Arial" w:hAnsi="Arial" w:cs="Arial"/>
        </w:rPr>
        <w:t>. The osteoid</w:t>
      </w:r>
      <w:r w:rsidR="00C0278E">
        <w:rPr>
          <w:rFonts w:ascii="Arial" w:hAnsi="Arial" w:cs="Arial"/>
        </w:rPr>
        <w:t xml:space="preserve"> calcifies and the bone is mineralised</w:t>
      </w:r>
      <w:r w:rsidR="00E47088">
        <w:rPr>
          <w:rFonts w:ascii="Arial" w:hAnsi="Arial" w:cs="Arial"/>
        </w:rPr>
        <w:t xml:space="preserve"> approximately 10 days later</w:t>
      </w:r>
      <w:r w:rsidR="00C0278E">
        <w:rPr>
          <w:rFonts w:ascii="Arial" w:hAnsi="Arial" w:cs="Arial"/>
        </w:rPr>
        <w:t>.</w:t>
      </w:r>
      <w:r w:rsidR="00FD16AA">
        <w:rPr>
          <w:rFonts w:ascii="Arial" w:hAnsi="Arial" w:cs="Arial"/>
        </w:rPr>
        <w:t xml:space="preserve"> The osteobl</w:t>
      </w:r>
      <w:r w:rsidR="0089403D">
        <w:rPr>
          <w:rFonts w:ascii="Arial" w:hAnsi="Arial" w:cs="Arial"/>
        </w:rPr>
        <w:t>ast then has 3 possible fates: i</w:t>
      </w:r>
      <w:r w:rsidR="00FD16AA">
        <w:rPr>
          <w:rFonts w:ascii="Arial" w:hAnsi="Arial" w:cs="Arial"/>
        </w:rPr>
        <w:t>)</w:t>
      </w:r>
      <w:r w:rsidR="00B258A0">
        <w:rPr>
          <w:rFonts w:ascii="Arial" w:hAnsi="Arial" w:cs="Arial"/>
        </w:rPr>
        <w:t xml:space="preserve"> 50 to 70%</w:t>
      </w:r>
      <w:r w:rsidR="00FD16AA">
        <w:rPr>
          <w:rFonts w:ascii="Arial" w:hAnsi="Arial" w:cs="Arial"/>
        </w:rPr>
        <w:t xml:space="preserve"> </w:t>
      </w:r>
      <w:r w:rsidR="00B258A0">
        <w:rPr>
          <w:rFonts w:ascii="Arial" w:hAnsi="Arial" w:cs="Arial"/>
        </w:rPr>
        <w:t>of the</w:t>
      </w:r>
      <w:r w:rsidR="00A24ADC">
        <w:rPr>
          <w:rFonts w:ascii="Arial" w:hAnsi="Arial" w:cs="Arial"/>
        </w:rPr>
        <w:t>m</w:t>
      </w:r>
      <w:r w:rsidR="00B258A0">
        <w:rPr>
          <w:rFonts w:ascii="Arial" w:hAnsi="Arial" w:cs="Arial"/>
        </w:rPr>
        <w:t xml:space="preserve"> undergo</w:t>
      </w:r>
      <w:r w:rsidR="00491482">
        <w:rPr>
          <w:rFonts w:ascii="Arial" w:hAnsi="Arial" w:cs="Arial"/>
        </w:rPr>
        <w:t xml:space="preserve"> apoptosis or</w:t>
      </w:r>
      <w:r w:rsidR="00FD16AA">
        <w:rPr>
          <w:rFonts w:ascii="Arial" w:hAnsi="Arial" w:cs="Arial"/>
        </w:rPr>
        <w:t xml:space="preserve"> ii) </w:t>
      </w:r>
      <w:r w:rsidR="00A24ADC">
        <w:rPr>
          <w:rFonts w:ascii="Arial" w:hAnsi="Arial" w:cs="Arial"/>
        </w:rPr>
        <w:t xml:space="preserve">it </w:t>
      </w:r>
      <w:r w:rsidR="00FB0429">
        <w:rPr>
          <w:rFonts w:ascii="Arial" w:hAnsi="Arial" w:cs="Arial"/>
        </w:rPr>
        <w:t>becomes a bone-lining cell</w:t>
      </w:r>
      <w:r w:rsidR="006E1957">
        <w:rPr>
          <w:rFonts w:ascii="Arial" w:hAnsi="Arial" w:cs="Arial"/>
        </w:rPr>
        <w:t xml:space="preserve"> or iii) it </w:t>
      </w:r>
      <w:r w:rsidR="00491482">
        <w:rPr>
          <w:rFonts w:ascii="Arial" w:hAnsi="Arial" w:cs="Arial"/>
        </w:rPr>
        <w:t>embeds</w:t>
      </w:r>
      <w:r w:rsidR="006E1957">
        <w:rPr>
          <w:rFonts w:ascii="Arial" w:hAnsi="Arial" w:cs="Arial"/>
        </w:rPr>
        <w:t xml:space="preserve"> in to the bone matrix and becomes an osteocyte</w:t>
      </w:r>
      <w:r w:rsidR="003F3F7E">
        <w:rPr>
          <w:rFonts w:ascii="Arial" w:hAnsi="Arial" w:cs="Arial"/>
        </w:rPr>
        <w:t xml:space="preserve"> </w:t>
      </w:r>
      <w:r w:rsidR="003F3F7E">
        <w:rPr>
          <w:rFonts w:ascii="Arial" w:hAnsi="Arial" w:cs="Arial"/>
        </w:rPr>
        <w:fldChar w:fldCharType="begin"/>
      </w:r>
      <w:r w:rsidR="00EF6236">
        <w:rPr>
          <w:rFonts w:ascii="Arial" w:hAnsi="Arial" w:cs="Arial"/>
        </w:rPr>
        <w:instrText xml:space="preserve"> ADDIN EN.CITE &lt;EndNote&gt;&lt;Cite&gt;&lt;Author&gt;Capulli&lt;/Author&gt;&lt;Year&gt;2014&lt;/Year&gt;&lt;RecNum&gt;371&lt;/RecNum&gt;&lt;DisplayText&gt;(73)&lt;/DisplayText&gt;&lt;record&gt;&lt;rec-number&gt;371&lt;/rec-number&gt;&lt;foreign-keys&gt;&lt;key app="EN" db-id="p9a5ttsvyvde9me5aw2x05fp5p55axf0wr90" timestamp="1435750173"&gt;371&lt;/key&gt;&lt;/foreign-keys&gt;&lt;ref-type name="Journal Article"&gt;17&lt;/ref-type&gt;&lt;contributors&gt;&lt;authors&gt;&lt;author&gt;Capulli, M.&lt;/author&gt;&lt;author&gt;Paone, R.&lt;/author&gt;&lt;author&gt;Rucci, N.&lt;/author&gt;&lt;/authors&gt;&lt;/contributors&gt;&lt;auth-address&gt;Department of Biotechnological and Applied Clinical Sciences, University of L&amp;apos;Aquila, Italy.&amp;#xD;Department of Biotechnological and Applied Clinical Sciences, University of L&amp;apos;Aquila, Italy. Electronic address: rucci@univaq.it.&lt;/auth-address&gt;&lt;titles&gt;&lt;title&gt;Osteoblast and osteocyte: games without frontiers&lt;/title&gt;&lt;secondary-title&gt;Arch Biochem Biophys&lt;/secondary-title&gt;&lt;/titles&gt;&lt;periodical&gt;&lt;full-title&gt;Arch Biochem Biophys&lt;/full-title&gt;&lt;abbr-1&gt;Archives of biochemistry and biophysics&lt;/abbr-1&gt;&lt;/periodical&gt;&lt;pages&gt;3-12&lt;/pages&gt;&lt;volume&gt;561&lt;/volume&gt;&lt;edition&gt;2014/05/17&lt;/edition&gt;&lt;keywords&gt;&lt;keyword&gt;Animals&lt;/keyword&gt;&lt;keyword&gt;Bone and Bones/ cytology/ physiology&lt;/keyword&gt;&lt;keyword&gt;Calcification, Physiologic/ physiology&lt;/keyword&gt;&lt;keyword&gt;Cell Differentiation&lt;/keyword&gt;&lt;keyword&gt;Hormones/ metabolism&lt;/keyword&gt;&lt;keyword&gt;Humans&lt;/keyword&gt;&lt;keyword&gt;Models, Biological&lt;/keyword&gt;&lt;keyword&gt;Osteoblasts/ cytology/ physiology&lt;/keyword&gt;&lt;keyword&gt;Osteocytes/cytology/physiology&lt;/keyword&gt;&lt;keyword&gt;Osteogenesis/ physiology&lt;/keyword&gt;&lt;keyword&gt;Bone remodelling&lt;/keyword&gt;&lt;keyword&gt;Hormonal regulation&lt;/keyword&gt;&lt;keyword&gt;Mechanosensing&lt;/keyword&gt;&lt;keyword&gt;Osteoblast&lt;/keyword&gt;&lt;keyword&gt;Osteocyte&lt;/keyword&gt;&lt;/keywords&gt;&lt;dates&gt;&lt;year&gt;2014&lt;/year&gt;&lt;pub-dates&gt;&lt;date&gt;Nov 1&lt;/date&gt;&lt;/pub-dates&gt;&lt;/dates&gt;&lt;isbn&gt;1096-0384 (Electronic)&amp;#xD;0003-9861 (Linking)&lt;/isbn&gt;&lt;accession-num&gt;24832390&lt;/accession-num&gt;&lt;urls&gt;&lt;/urls&gt;&lt;electronic-resource-num&gt;10.1016/j.abb.2014.05.003&lt;/electronic-resource-num&gt;&lt;remote-database-provider&gt;NLM&lt;/remote-database-provider&gt;&lt;language&gt;eng&lt;/language&gt;&lt;/record&gt;&lt;/Cite&gt;&lt;/EndNote&gt;</w:instrText>
      </w:r>
      <w:r w:rsidR="003F3F7E">
        <w:rPr>
          <w:rFonts w:ascii="Arial" w:hAnsi="Arial" w:cs="Arial"/>
        </w:rPr>
        <w:fldChar w:fldCharType="separate"/>
      </w:r>
      <w:r w:rsidR="00EF6236">
        <w:rPr>
          <w:rFonts w:ascii="Arial" w:hAnsi="Arial" w:cs="Arial"/>
          <w:noProof/>
        </w:rPr>
        <w:t>(</w:t>
      </w:r>
      <w:hyperlink w:anchor="_ENREF_73" w:tooltip="Capulli, 2014 #371" w:history="1">
        <w:r w:rsidR="003B725E">
          <w:rPr>
            <w:rFonts w:ascii="Arial" w:hAnsi="Arial" w:cs="Arial"/>
            <w:noProof/>
          </w:rPr>
          <w:t>73</w:t>
        </w:r>
      </w:hyperlink>
      <w:r w:rsidR="00EF6236">
        <w:rPr>
          <w:rFonts w:ascii="Arial" w:hAnsi="Arial" w:cs="Arial"/>
          <w:noProof/>
        </w:rPr>
        <w:t>)</w:t>
      </w:r>
      <w:r w:rsidR="003F3F7E">
        <w:rPr>
          <w:rFonts w:ascii="Arial" w:hAnsi="Arial" w:cs="Arial"/>
        </w:rPr>
        <w:fldChar w:fldCharType="end"/>
      </w:r>
      <w:r w:rsidR="007D504C">
        <w:rPr>
          <w:rFonts w:ascii="Arial" w:hAnsi="Arial" w:cs="Arial"/>
        </w:rPr>
        <w:t>, (Figure 8).</w:t>
      </w:r>
    </w:p>
    <w:p w:rsidR="0037266A" w:rsidRDefault="00C273D9" w:rsidP="00900F2C">
      <w:pPr>
        <w:keepNext/>
        <w:tabs>
          <w:tab w:val="right" w:pos="9026"/>
        </w:tabs>
        <w:spacing w:line="360" w:lineRule="auto"/>
      </w:pPr>
      <w:r>
        <w:rPr>
          <w:rFonts w:ascii="Arial" w:hAnsi="Arial" w:cs="Arial"/>
          <w:noProof/>
          <w:color w:val="C00000"/>
          <w:lang w:eastAsia="zh-CN"/>
        </w:rPr>
        <mc:AlternateContent>
          <mc:Choice Requires="wps">
            <w:drawing>
              <wp:anchor distT="0" distB="0" distL="114300" distR="114300" simplePos="0" relativeHeight="252738048" behindDoc="0" locked="0" layoutInCell="1" allowOverlap="1" wp14:anchorId="740E7702" wp14:editId="69F87B0A">
                <wp:simplePos x="0" y="0"/>
                <wp:positionH relativeFrom="column">
                  <wp:posOffset>-1905</wp:posOffset>
                </wp:positionH>
                <wp:positionV relativeFrom="paragraph">
                  <wp:posOffset>-168910</wp:posOffset>
                </wp:positionV>
                <wp:extent cx="5562600" cy="2428240"/>
                <wp:effectExtent l="0" t="0" r="19050" b="10160"/>
                <wp:wrapNone/>
                <wp:docPr id="73" name="Rectangle 73"/>
                <wp:cNvGraphicFramePr/>
                <a:graphic xmlns:a="http://schemas.openxmlformats.org/drawingml/2006/main">
                  <a:graphicData uri="http://schemas.microsoft.com/office/word/2010/wordprocessingShape">
                    <wps:wsp>
                      <wps:cNvSpPr/>
                      <wps:spPr>
                        <a:xfrm>
                          <a:off x="0" y="0"/>
                          <a:ext cx="5562600" cy="242824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58FF4" id="Rectangle 73" o:spid="_x0000_s1026" style="position:absolute;margin-left:-.15pt;margin-top:-13.3pt;width:438pt;height:191.2pt;z-index:2527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" filled="f" strokecolor="black [3213]" strokeweight=".5pt"/>
            </w:pict>
          </mc:Fallback>
        </mc:AlternateContent>
      </w:r>
      <w:r w:rsidR="003F3F7E">
        <w:rPr>
          <w:rFonts w:ascii="Arial" w:hAnsi="Arial" w:cs="Arial"/>
          <w:noProof/>
          <w:lang w:eastAsia="zh-CN"/>
        </w:rPr>
        <mc:AlternateContent>
          <mc:Choice Requires="wps">
            <w:drawing>
              <wp:anchor distT="0" distB="0" distL="114300" distR="114300" simplePos="0" relativeHeight="252557824" behindDoc="0" locked="0" layoutInCell="1" allowOverlap="1" wp14:anchorId="0648965C" wp14:editId="29BD004B">
                <wp:simplePos x="0" y="0"/>
                <wp:positionH relativeFrom="column">
                  <wp:posOffset>4379595</wp:posOffset>
                </wp:positionH>
                <wp:positionV relativeFrom="paragraph">
                  <wp:posOffset>1841501</wp:posOffset>
                </wp:positionV>
                <wp:extent cx="1057275" cy="228600"/>
                <wp:effectExtent l="0" t="0" r="9525" b="0"/>
                <wp:wrapNone/>
                <wp:docPr id="298" name="Text Box 298"/>
                <wp:cNvGraphicFramePr/>
                <a:graphic xmlns:a="http://schemas.openxmlformats.org/drawingml/2006/main">
                  <a:graphicData uri="http://schemas.microsoft.com/office/word/2010/wordprocessingShape">
                    <wps:wsp>
                      <wps:cNvSpPr txBox="1"/>
                      <wps:spPr>
                        <a:xfrm>
                          <a:off x="0" y="0"/>
                          <a:ext cx="1057275" cy="228600"/>
                        </a:xfrm>
                        <a:prstGeom prst="rect">
                          <a:avLst/>
                        </a:prstGeom>
                        <a:solidFill>
                          <a:srgbClr val="F6F4A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6BC" w:rsidRPr="0037266A" w:rsidRDefault="004166BC">
                            <w:pPr>
                              <w:rPr>
                                <w:color w:val="31849B" w:themeColor="accent5" w:themeShade="BF"/>
                                <w:sz w:val="16"/>
                                <w:szCs w:val="16"/>
                              </w:rPr>
                            </w:pPr>
                            <w:r>
                              <w:rPr>
                                <w:color w:val="31849B" w:themeColor="accent5" w:themeShade="BF"/>
                                <w:sz w:val="16"/>
                                <w:szCs w:val="16"/>
                              </w:rPr>
                              <w:t xml:space="preserve">Newly synthesised </w:t>
                            </w:r>
                            <w:r w:rsidRPr="0037266A">
                              <w:rPr>
                                <w:color w:val="31849B" w:themeColor="accent5" w:themeShade="BF"/>
                                <w:sz w:val="16"/>
                                <w:szCs w:val="16"/>
                              </w:rPr>
                              <w:t>bone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8965C" id="Text Box 298" o:spid="_x0000_s1028" type="#_x0000_t202" style="position:absolute;margin-left:344.85pt;margin-top:145pt;width:83.25pt;height:18pt;z-index:2525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" fillcolor="#f6f4a6" stroked="f" strokeweight=".5pt">
                <v:textbox>
                  <w:txbxContent>
                    <w:p w:rsidR="004166BC" w:rsidRPr="0037266A" w:rsidRDefault="004166BC">
                      <w:pPr>
                        <w:rPr>
                          <w:color w:val="31849B" w:themeColor="accent5" w:themeShade="BF"/>
                          <w:sz w:val="16"/>
                          <w:szCs w:val="16"/>
                        </w:rPr>
                      </w:pPr>
                      <w:r>
                        <w:rPr>
                          <w:color w:val="31849B" w:themeColor="accent5" w:themeShade="BF"/>
                          <w:sz w:val="16"/>
                          <w:szCs w:val="16"/>
                        </w:rPr>
                        <w:t xml:space="preserve">Newly synthesised </w:t>
                      </w:r>
                      <w:r w:rsidRPr="0037266A">
                        <w:rPr>
                          <w:color w:val="31849B" w:themeColor="accent5" w:themeShade="BF"/>
                          <w:sz w:val="16"/>
                          <w:szCs w:val="16"/>
                        </w:rPr>
                        <w:t>bone</w:t>
                      </w:r>
                    </w:p>
                  </w:txbxContent>
                </v:textbox>
              </v:shape>
            </w:pict>
          </mc:Fallback>
        </mc:AlternateContent>
      </w:r>
      <w:r w:rsidR="003F3F7E">
        <w:rPr>
          <w:rFonts w:ascii="Arial" w:hAnsi="Arial" w:cs="Arial"/>
          <w:noProof/>
          <w:lang w:eastAsia="zh-CN"/>
        </w:rPr>
        <mc:AlternateContent>
          <mc:Choice Requires="wps">
            <w:drawing>
              <wp:anchor distT="0" distB="0" distL="114300" distR="114300" simplePos="0" relativeHeight="252703232" behindDoc="0" locked="0" layoutInCell="1" allowOverlap="1" wp14:anchorId="52C111EA" wp14:editId="53D92196">
                <wp:simplePos x="0" y="0"/>
                <wp:positionH relativeFrom="column">
                  <wp:posOffset>4882515</wp:posOffset>
                </wp:positionH>
                <wp:positionV relativeFrom="paragraph">
                  <wp:posOffset>1393825</wp:posOffset>
                </wp:positionV>
                <wp:extent cx="171961" cy="166247"/>
                <wp:effectExtent l="0" t="0" r="0" b="5715"/>
                <wp:wrapNone/>
                <wp:docPr id="300" name="Oval 300"/>
                <wp:cNvGraphicFramePr/>
                <a:graphic xmlns:a="http://schemas.openxmlformats.org/drawingml/2006/main">
                  <a:graphicData uri="http://schemas.microsoft.com/office/word/2010/wordprocessingShape">
                    <wps:wsp>
                      <wps:cNvSpPr/>
                      <wps:spPr>
                        <a:xfrm>
                          <a:off x="0" y="0"/>
                          <a:ext cx="171961" cy="166247"/>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4DB65" id="Oval 300" o:spid="_x0000_s1026" style="position:absolute;margin-left:384.45pt;margin-top:109.75pt;width:13.55pt;height:13.1pt;z-index:2527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" fillcolor="#5a5a5a [2109]" stroked="f" strokeweight="2pt"/>
            </w:pict>
          </mc:Fallback>
        </mc:AlternateContent>
      </w:r>
      <w:r w:rsidR="003F3F7E">
        <w:rPr>
          <w:rFonts w:ascii="Arial" w:hAnsi="Arial" w:cs="Arial"/>
          <w:noProof/>
          <w:lang w:eastAsia="zh-CN"/>
        </w:rPr>
        <mc:AlternateContent>
          <mc:Choice Requires="wps">
            <w:drawing>
              <wp:anchor distT="0" distB="0" distL="114300" distR="114300" simplePos="0" relativeHeight="252666368" behindDoc="0" locked="0" layoutInCell="1" allowOverlap="1" wp14:anchorId="4BEA60B1" wp14:editId="798C4109">
                <wp:simplePos x="0" y="0"/>
                <wp:positionH relativeFrom="column">
                  <wp:posOffset>3743960</wp:posOffset>
                </wp:positionH>
                <wp:positionV relativeFrom="paragraph">
                  <wp:posOffset>1482725</wp:posOffset>
                </wp:positionV>
                <wp:extent cx="171961" cy="166247"/>
                <wp:effectExtent l="0" t="0" r="0" b="5715"/>
                <wp:wrapNone/>
                <wp:docPr id="299" name="Oval 299"/>
                <wp:cNvGraphicFramePr/>
                <a:graphic xmlns:a="http://schemas.openxmlformats.org/drawingml/2006/main">
                  <a:graphicData uri="http://schemas.microsoft.com/office/word/2010/wordprocessingShape">
                    <wps:wsp>
                      <wps:cNvSpPr/>
                      <wps:spPr>
                        <a:xfrm>
                          <a:off x="0" y="0"/>
                          <a:ext cx="171961" cy="166247"/>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9ED13F" id="Oval 299" o:spid="_x0000_s1026" style="position:absolute;margin-left:294.8pt;margin-top:116.75pt;width:13.55pt;height:13.1pt;z-index:2526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" fillcolor="#5a5a5a [2109]" stroked="f" strokeweight="2pt"/>
            </w:pict>
          </mc:Fallback>
        </mc:AlternateContent>
      </w:r>
      <w:r w:rsidR="0037266A">
        <w:rPr>
          <w:rFonts w:ascii="Arial" w:hAnsi="Arial" w:cs="Arial"/>
          <w:noProof/>
          <w:lang w:eastAsia="zh-CN"/>
        </w:rPr>
        <w:drawing>
          <wp:inline distT="0" distB="0" distL="0" distR="0" wp14:anchorId="14A7F533" wp14:editId="0A7673FB">
            <wp:extent cx="5229225" cy="215398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41425" cy="2159006"/>
                    </a:xfrm>
                    <a:prstGeom prst="rect">
                      <a:avLst/>
                    </a:prstGeom>
                    <a:noFill/>
                  </pic:spPr>
                </pic:pic>
              </a:graphicData>
            </a:graphic>
          </wp:inline>
        </w:drawing>
      </w:r>
    </w:p>
    <w:p w:rsidR="003F3F7E" w:rsidRDefault="003F3F7E" w:rsidP="00900F2C">
      <w:pPr>
        <w:pStyle w:val="Caption"/>
        <w:rPr>
          <w:rFonts w:ascii="Arial" w:hAnsi="Arial" w:cs="Arial"/>
          <w:b w:val="0"/>
          <w:color w:val="000000" w:themeColor="text1"/>
        </w:rPr>
      </w:pPr>
    </w:p>
    <w:p w:rsidR="009F6DD4" w:rsidRPr="006E1957" w:rsidRDefault="0037266A" w:rsidP="009143C3">
      <w:pPr>
        <w:pStyle w:val="Caption"/>
        <w:jc w:val="center"/>
        <w:rPr>
          <w:rFonts w:ascii="Arial" w:hAnsi="Arial" w:cs="Arial"/>
          <w:b w:val="0"/>
          <w:color w:val="000000" w:themeColor="text1"/>
        </w:rPr>
      </w:pPr>
      <w:bookmarkStart w:id="21" w:name="_Toc425419489"/>
      <w:r w:rsidRPr="006E1957">
        <w:rPr>
          <w:rFonts w:ascii="Arial" w:hAnsi="Arial" w:cs="Arial"/>
          <w:b w:val="0"/>
          <w:color w:val="000000" w:themeColor="text1"/>
        </w:rPr>
        <w:t xml:space="preserve">Figure </w:t>
      </w:r>
      <w:r w:rsidR="009C7F15" w:rsidRPr="006E1957">
        <w:rPr>
          <w:rFonts w:ascii="Arial" w:hAnsi="Arial" w:cs="Arial"/>
          <w:b w:val="0"/>
          <w:color w:val="000000" w:themeColor="text1"/>
        </w:rPr>
        <w:fldChar w:fldCharType="begin"/>
      </w:r>
      <w:r w:rsidR="009C7F15" w:rsidRPr="006E1957">
        <w:rPr>
          <w:rFonts w:ascii="Arial" w:hAnsi="Arial" w:cs="Arial"/>
          <w:b w:val="0"/>
          <w:color w:val="000000" w:themeColor="text1"/>
        </w:rPr>
        <w:instrText xml:space="preserve"> SEQ Figure \* ARABIC </w:instrText>
      </w:r>
      <w:r w:rsidR="009C7F15" w:rsidRPr="006E1957">
        <w:rPr>
          <w:rFonts w:ascii="Arial" w:hAnsi="Arial" w:cs="Arial"/>
          <w:b w:val="0"/>
          <w:color w:val="000000" w:themeColor="text1"/>
        </w:rPr>
        <w:fldChar w:fldCharType="separate"/>
      </w:r>
      <w:r w:rsidR="0040369A">
        <w:rPr>
          <w:rFonts w:ascii="Arial" w:hAnsi="Arial" w:cs="Arial"/>
          <w:b w:val="0"/>
          <w:noProof/>
          <w:color w:val="000000" w:themeColor="text1"/>
        </w:rPr>
        <w:t>6</w:t>
      </w:r>
      <w:r w:rsidR="009C7F15" w:rsidRPr="006E1957">
        <w:rPr>
          <w:rFonts w:ascii="Arial" w:hAnsi="Arial" w:cs="Arial"/>
          <w:b w:val="0"/>
          <w:noProof/>
          <w:color w:val="000000" w:themeColor="text1"/>
        </w:rPr>
        <w:fldChar w:fldCharType="end"/>
      </w:r>
      <w:r w:rsidRPr="006E1957">
        <w:rPr>
          <w:rFonts w:ascii="Arial" w:hAnsi="Arial" w:cs="Arial"/>
          <w:b w:val="0"/>
          <w:color w:val="000000" w:themeColor="text1"/>
        </w:rPr>
        <w:t xml:space="preserve">: </w:t>
      </w:r>
      <w:r w:rsidR="00480D47">
        <w:rPr>
          <w:rFonts w:ascii="Arial" w:hAnsi="Arial" w:cs="Arial"/>
          <w:b w:val="0"/>
          <w:color w:val="000000" w:themeColor="text1"/>
        </w:rPr>
        <w:t>The process of o</w:t>
      </w:r>
      <w:r w:rsidRPr="006E1957">
        <w:rPr>
          <w:rFonts w:ascii="Arial" w:hAnsi="Arial" w:cs="Arial"/>
          <w:b w:val="0"/>
          <w:color w:val="000000" w:themeColor="text1"/>
        </w:rPr>
        <w:t>steoblast</w:t>
      </w:r>
      <w:r w:rsidR="00480D47">
        <w:rPr>
          <w:rFonts w:ascii="Arial" w:hAnsi="Arial" w:cs="Arial"/>
          <w:b w:val="0"/>
          <w:color w:val="000000" w:themeColor="text1"/>
        </w:rPr>
        <w:t xml:space="preserve"> differentiation and</w:t>
      </w:r>
      <w:r w:rsidRPr="006E1957">
        <w:rPr>
          <w:rFonts w:ascii="Arial" w:hAnsi="Arial" w:cs="Arial"/>
          <w:b w:val="0"/>
          <w:color w:val="000000" w:themeColor="text1"/>
        </w:rPr>
        <w:t xml:space="preserve"> formation</w:t>
      </w:r>
      <w:bookmarkEnd w:id="21"/>
    </w:p>
    <w:p w:rsidR="00382957" w:rsidRPr="00382957" w:rsidRDefault="001A5497" w:rsidP="009143C3">
      <w:pPr>
        <w:pStyle w:val="Heading4"/>
        <w:jc w:val="both"/>
      </w:pPr>
      <w:r>
        <w:t>Osteocytes</w:t>
      </w:r>
    </w:p>
    <w:p w:rsidR="00A27C15" w:rsidRPr="00397C78" w:rsidRDefault="00A27C15" w:rsidP="003B725E">
      <w:pPr>
        <w:spacing w:line="360" w:lineRule="auto"/>
        <w:jc w:val="both"/>
        <w:rPr>
          <w:rFonts w:ascii="Arial" w:hAnsi="Arial" w:cs="Arial"/>
        </w:rPr>
      </w:pPr>
      <w:r>
        <w:rPr>
          <w:rFonts w:ascii="Arial" w:hAnsi="Arial" w:cs="Arial"/>
        </w:rPr>
        <w:t xml:space="preserve">Osteocytes </w:t>
      </w:r>
      <w:r w:rsidR="005D2113" w:rsidRPr="00384B3A">
        <w:rPr>
          <w:rFonts w:ascii="Arial" w:hAnsi="Arial" w:cs="Arial"/>
        </w:rPr>
        <w:t xml:space="preserve">are terminally differentiated osteoblasts, </w:t>
      </w:r>
      <w:r w:rsidR="00BA2B17" w:rsidRPr="00384B3A">
        <w:rPr>
          <w:rFonts w:ascii="Arial" w:hAnsi="Arial" w:cs="Arial"/>
        </w:rPr>
        <w:t>originating from the mesenchymal stem cell lineage</w:t>
      </w:r>
      <w:r w:rsidR="009F60AE">
        <w:rPr>
          <w:rFonts w:ascii="Arial" w:hAnsi="Arial" w:cs="Arial"/>
        </w:rPr>
        <w:t xml:space="preserve"> </w:t>
      </w:r>
      <w:r w:rsidR="009F60AE">
        <w:rPr>
          <w:rFonts w:ascii="Arial" w:hAnsi="Arial" w:cs="Arial"/>
        </w:rPr>
        <w:fldChar w:fldCharType="begin">
          <w:fldData xml:space="preserve">PEVuZE5vdGU+PENpdGU+PEF1dGhvcj5Ob2JsZTwvQXV0aG9yPjxZZWFyPjIwMDg8L1llYXI+PFJl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PEVuZE5vdGU+PENpdGU+PEF1dGhvcj5Ob2JsZTwvQXV0aG9yPjxZZWFyPjIwMDg8L1llYXI+PFJl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9F60AE">
        <w:rPr>
          <w:rFonts w:ascii="Arial" w:hAnsi="Arial" w:cs="Arial"/>
        </w:rPr>
      </w:r>
      <w:r w:rsidR="009F60AE">
        <w:rPr>
          <w:rFonts w:ascii="Arial" w:hAnsi="Arial" w:cs="Arial"/>
        </w:rPr>
        <w:fldChar w:fldCharType="separate"/>
      </w:r>
      <w:r w:rsidR="00EF6236">
        <w:rPr>
          <w:rFonts w:ascii="Arial" w:hAnsi="Arial" w:cs="Arial"/>
          <w:noProof/>
        </w:rPr>
        <w:t>(</w:t>
      </w:r>
      <w:hyperlink w:anchor="_ENREF_75" w:tooltip="Noble, 2008 #78" w:history="1">
        <w:r w:rsidR="003B725E">
          <w:rPr>
            <w:rFonts w:ascii="Arial" w:hAnsi="Arial" w:cs="Arial"/>
            <w:noProof/>
          </w:rPr>
          <w:t>75</w:t>
        </w:r>
      </w:hyperlink>
      <w:r w:rsidR="00EF6236">
        <w:rPr>
          <w:rFonts w:ascii="Arial" w:hAnsi="Arial" w:cs="Arial"/>
          <w:noProof/>
        </w:rPr>
        <w:t xml:space="preserve">, </w:t>
      </w:r>
      <w:hyperlink w:anchor="_ENREF_76" w:tooltip="Bonewald, 2013 #79" w:history="1">
        <w:r w:rsidR="003B725E">
          <w:rPr>
            <w:rFonts w:ascii="Arial" w:hAnsi="Arial" w:cs="Arial"/>
            <w:noProof/>
          </w:rPr>
          <w:t>76</w:t>
        </w:r>
      </w:hyperlink>
      <w:r w:rsidR="00EF6236">
        <w:rPr>
          <w:rFonts w:ascii="Arial" w:hAnsi="Arial" w:cs="Arial"/>
          <w:noProof/>
        </w:rPr>
        <w:t>)</w:t>
      </w:r>
      <w:r w:rsidR="009F60AE">
        <w:rPr>
          <w:rFonts w:ascii="Arial" w:hAnsi="Arial" w:cs="Arial"/>
        </w:rPr>
        <w:fldChar w:fldCharType="end"/>
      </w:r>
      <w:r w:rsidR="00D0607E">
        <w:rPr>
          <w:rFonts w:ascii="Arial" w:hAnsi="Arial" w:cs="Arial"/>
        </w:rPr>
        <w:t>, (F</w:t>
      </w:r>
      <w:r w:rsidR="005B373B">
        <w:rPr>
          <w:rFonts w:ascii="Arial" w:hAnsi="Arial" w:cs="Arial"/>
        </w:rPr>
        <w:t xml:space="preserve">igure </w:t>
      </w:r>
      <w:r w:rsidR="002520AF">
        <w:rPr>
          <w:rFonts w:ascii="Arial" w:hAnsi="Arial" w:cs="Arial"/>
        </w:rPr>
        <w:t>7</w:t>
      </w:r>
      <w:r w:rsidR="00D0607E">
        <w:rPr>
          <w:rFonts w:ascii="Arial" w:hAnsi="Arial" w:cs="Arial"/>
        </w:rPr>
        <w:t>)</w:t>
      </w:r>
      <w:r w:rsidR="009F60AE">
        <w:rPr>
          <w:rFonts w:ascii="Arial" w:hAnsi="Arial" w:cs="Arial"/>
        </w:rPr>
        <w:t xml:space="preserve">. </w:t>
      </w:r>
      <w:r w:rsidR="00BA2B17" w:rsidRPr="00384B3A">
        <w:rPr>
          <w:rFonts w:ascii="Arial" w:hAnsi="Arial" w:cs="Arial"/>
        </w:rPr>
        <w:t>They</w:t>
      </w:r>
      <w:r w:rsidR="005D2113" w:rsidRPr="00384B3A">
        <w:rPr>
          <w:rFonts w:ascii="Arial" w:hAnsi="Arial" w:cs="Arial"/>
        </w:rPr>
        <w:t xml:space="preserve"> make up 90 to 95% of all bone cells and have a life span of up to 25 years. </w:t>
      </w:r>
      <w:r w:rsidR="00417B2A">
        <w:rPr>
          <w:rFonts w:ascii="Arial" w:hAnsi="Arial" w:cs="Arial"/>
        </w:rPr>
        <w:t xml:space="preserve">It has been previously demonstrated that it takes three days for an osteoblast to become an osteocyte </w:t>
      </w:r>
      <w:r w:rsidR="009F60AE">
        <w:rPr>
          <w:rFonts w:ascii="Arial" w:hAnsi="Arial" w:cs="Arial"/>
        </w:rPr>
        <w:fldChar w:fldCharType="begin"/>
      </w:r>
      <w:r w:rsidR="00EF6236">
        <w:rPr>
          <w:rFonts w:ascii="Arial" w:hAnsi="Arial" w:cs="Arial"/>
        </w:rPr>
        <w:instrText xml:space="preserve"> ADDIN EN.CITE &lt;EndNote&gt;&lt;Cite&gt;&lt;Author&gt;Owen&lt;/Author&gt;&lt;Year&gt;1967&lt;/Year&gt;&lt;RecNum&gt;80&lt;/RecNum&gt;&lt;DisplayText&gt;(77)&lt;/DisplayText&gt;&lt;record&gt;&lt;rec-number&gt;80&lt;/rec-number&gt;&lt;foreign-keys&gt;&lt;key app="EN" db-id="p9a5ttsvyvde9me5aw2x05fp5p55axf0wr90" timestamp="1417715001"&gt;80&lt;/key&gt;&lt;/foreign-keys&gt;&lt;ref-type name="Journal Article"&gt;17&lt;/ref-type&gt;&lt;contributors&gt;&lt;authors&gt;&lt;author&gt;Owen, M.&lt;/author&gt;&lt;/authors&gt;&lt;/contributors&gt;&lt;titles&gt;&lt;title&gt;Uptake of [3H] uridine into precursor pools and RNA in osteogenic cells&lt;/title&gt;&lt;secondary-title&gt;J Cell Sci&lt;/secondary-title&gt;&lt;alt-title&gt;Journal of cell science&lt;/alt-title&gt;&lt;/titles&gt;&lt;periodical&gt;&lt;full-title&gt;J Cell Sci&lt;/full-title&gt;&lt;abbr-1&gt;Journal of cell science&lt;/abbr-1&gt;&lt;/periodical&gt;&lt;alt-periodical&gt;&lt;full-title&gt;J Cell Sci&lt;/full-title&gt;&lt;abbr-1&gt;Journal of cell science&lt;/abbr-1&gt;&lt;/alt-periodical&gt;&lt;pages&gt;39-56&lt;/pages&gt;&lt;volume&gt;2&lt;/volume&gt;&lt;number&gt;1&lt;/number&gt;&lt;edition&gt;1967/03/01&lt;/edition&gt;&lt;keywords&gt;&lt;keyword&gt;Animals&lt;/keyword&gt;&lt;keyword&gt;Autoradiography&lt;/keyword&gt;&lt;keyword&gt;Bone and Bones/ metabolism&lt;/keyword&gt;&lt;keyword&gt;Cell Nucleus/metabolism&lt;/keyword&gt;&lt;keyword&gt;Cytoplasm/metabolism&lt;/keyword&gt;&lt;keyword&gt;Femur&lt;/keyword&gt;&lt;keyword&gt;Microtomy&lt;/keyword&gt;&lt;keyword&gt;Osteoblasts/ metabolism&lt;/keyword&gt;&lt;keyword&gt;Osteocytes/metabolism&lt;/keyword&gt;&lt;keyword&gt;Osteogenesis&lt;/keyword&gt;&lt;keyword&gt;RNA/ biosynthesis&lt;/keyword&gt;&lt;keyword&gt;Rabbits&lt;/keyword&gt;&lt;keyword&gt;Tritium&lt;/keyword&gt;&lt;keyword&gt;Uridine/ metabolism&lt;/keyword&gt;&lt;/keywords&gt;&lt;dates&gt;&lt;year&gt;1967&lt;/year&gt;&lt;pub-dates&gt;&lt;date&gt;Mar&lt;/date&gt;&lt;/pub-dates&gt;&lt;/dates&gt;&lt;isbn&gt;0021-9533 (Print)&amp;#xD;0021-9533 (Linking)&lt;/isbn&gt;&lt;accession-num&gt;6031006&lt;/accession-num&gt;&lt;urls&gt;&lt;/urls&gt;&lt;remote-database-provider&gt;NLM&lt;/remote-database-provider&gt;&lt;language&gt;eng&lt;/language&gt;&lt;/record&gt;&lt;/Cite&gt;&lt;/EndNote&gt;</w:instrText>
      </w:r>
      <w:r w:rsidR="009F60AE">
        <w:rPr>
          <w:rFonts w:ascii="Arial" w:hAnsi="Arial" w:cs="Arial"/>
        </w:rPr>
        <w:fldChar w:fldCharType="separate"/>
      </w:r>
      <w:r w:rsidR="00EF6236">
        <w:rPr>
          <w:rFonts w:ascii="Arial" w:hAnsi="Arial" w:cs="Arial"/>
          <w:noProof/>
        </w:rPr>
        <w:t>(</w:t>
      </w:r>
      <w:hyperlink w:anchor="_ENREF_77" w:tooltip="Owen, 1967 #80" w:history="1">
        <w:r w:rsidR="003B725E">
          <w:rPr>
            <w:rFonts w:ascii="Arial" w:hAnsi="Arial" w:cs="Arial"/>
            <w:noProof/>
          </w:rPr>
          <w:t>77</w:t>
        </w:r>
      </w:hyperlink>
      <w:r w:rsidR="00EF6236">
        <w:rPr>
          <w:rFonts w:ascii="Arial" w:hAnsi="Arial" w:cs="Arial"/>
          <w:noProof/>
        </w:rPr>
        <w:t>)</w:t>
      </w:r>
      <w:r w:rsidR="009F60AE">
        <w:rPr>
          <w:rFonts w:ascii="Arial" w:hAnsi="Arial" w:cs="Arial"/>
        </w:rPr>
        <w:fldChar w:fldCharType="end"/>
      </w:r>
      <w:r w:rsidR="009F60AE">
        <w:rPr>
          <w:rFonts w:ascii="Arial" w:hAnsi="Arial" w:cs="Arial"/>
        </w:rPr>
        <w:t>.</w:t>
      </w:r>
      <w:r w:rsidR="00417B2A">
        <w:rPr>
          <w:rFonts w:ascii="Arial" w:hAnsi="Arial" w:cs="Arial"/>
        </w:rPr>
        <w:t xml:space="preserve"> Once the osteobla</w:t>
      </w:r>
      <w:r w:rsidR="005F4B8C">
        <w:rPr>
          <w:rFonts w:ascii="Arial" w:hAnsi="Arial" w:cs="Arial"/>
        </w:rPr>
        <w:t>st differentiates in to</w:t>
      </w:r>
      <w:r w:rsidR="00417B2A">
        <w:rPr>
          <w:rFonts w:ascii="Arial" w:hAnsi="Arial" w:cs="Arial"/>
        </w:rPr>
        <w:t xml:space="preserve"> a preosteocyte then a mature osteocyte the expression of osteoblast markers (osteocalcin, type I collagen, alkaline phosphatase </w:t>
      </w:r>
      <w:r w:rsidR="005F4B8C">
        <w:rPr>
          <w:rFonts w:ascii="Arial" w:hAnsi="Arial" w:cs="Arial"/>
        </w:rPr>
        <w:t>etc.</w:t>
      </w:r>
      <w:r w:rsidR="00417B2A">
        <w:rPr>
          <w:rFonts w:ascii="Arial" w:hAnsi="Arial" w:cs="Arial"/>
        </w:rPr>
        <w:t xml:space="preserve">) is switched off and </w:t>
      </w:r>
      <w:r w:rsidR="004B6739">
        <w:rPr>
          <w:rFonts w:ascii="Arial" w:hAnsi="Arial" w:cs="Arial"/>
        </w:rPr>
        <w:t>osteocyte markers such as sclerostin, dentine matrix protein 1 (DMP1) are highly expressed</w:t>
      </w:r>
      <w:r w:rsidR="007D7284">
        <w:rPr>
          <w:rFonts w:ascii="Arial" w:hAnsi="Arial" w:cs="Arial"/>
        </w:rPr>
        <w:t xml:space="preserve"> </w:t>
      </w:r>
      <w:r w:rsidR="001F6DCE">
        <w:rPr>
          <w:rFonts w:ascii="Arial" w:hAnsi="Arial" w:cs="Arial"/>
        </w:rPr>
        <w:fldChar w:fldCharType="begin">
          <w:fldData xml:space="preserve">PEVuZE5vdGU+PENpdGU+PEF1dGhvcj5Qb29sZTwvQXV0aG9yPjxZZWFyPjIwMDU8L1llYXI+PFJl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PHBhZ2VzPjIwMTctMjY8L3BhZ2VzPjx2b2x1bWU+MTY8L3ZvbHVtZT48bnVtYmVyPjExPC9udW1i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PEVuZE5vdGU+PENpdGU+PEF1dGhvcj5Qb29sZTwvQXV0aG9yPjxZZWFyPjIwMDU8L1llYXI+PFJl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PHBhZ2VzPjIwMTctMjY8L3BhZ2VzPjx2b2x1bWU+MTY8L3ZvbHVtZT48bnVtYmVyPjExPC9udW1i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F6DCE">
        <w:rPr>
          <w:rFonts w:ascii="Arial" w:hAnsi="Arial" w:cs="Arial"/>
        </w:rPr>
      </w:r>
      <w:r w:rsidR="001F6DCE">
        <w:rPr>
          <w:rFonts w:ascii="Arial" w:hAnsi="Arial" w:cs="Arial"/>
        </w:rPr>
        <w:fldChar w:fldCharType="separate"/>
      </w:r>
      <w:r w:rsidR="00EF6236">
        <w:rPr>
          <w:rFonts w:ascii="Arial" w:hAnsi="Arial" w:cs="Arial"/>
          <w:noProof/>
        </w:rPr>
        <w:t>(</w:t>
      </w:r>
      <w:hyperlink w:anchor="_ENREF_78" w:tooltip="Poole, 2005 #254" w:history="1">
        <w:r w:rsidR="003B725E">
          <w:rPr>
            <w:rFonts w:ascii="Arial" w:hAnsi="Arial" w:cs="Arial"/>
            <w:noProof/>
          </w:rPr>
          <w:t>78</w:t>
        </w:r>
      </w:hyperlink>
      <w:r w:rsidR="00EF6236">
        <w:rPr>
          <w:rFonts w:ascii="Arial" w:hAnsi="Arial" w:cs="Arial"/>
          <w:noProof/>
        </w:rPr>
        <w:t xml:space="preserve">, </w:t>
      </w:r>
      <w:hyperlink w:anchor="_ENREF_79" w:tooltip="Toyosawa, 2001 #373" w:history="1">
        <w:r w:rsidR="003B725E">
          <w:rPr>
            <w:rFonts w:ascii="Arial" w:hAnsi="Arial" w:cs="Arial"/>
            <w:noProof/>
          </w:rPr>
          <w:t>79</w:t>
        </w:r>
      </w:hyperlink>
      <w:r w:rsidR="00EF6236">
        <w:rPr>
          <w:rFonts w:ascii="Arial" w:hAnsi="Arial" w:cs="Arial"/>
          <w:noProof/>
        </w:rPr>
        <w:t>)</w:t>
      </w:r>
      <w:r w:rsidR="001F6DCE">
        <w:rPr>
          <w:rFonts w:ascii="Arial" w:hAnsi="Arial" w:cs="Arial"/>
        </w:rPr>
        <w:fldChar w:fldCharType="end"/>
      </w:r>
      <w:r w:rsidR="005B373B">
        <w:rPr>
          <w:rFonts w:ascii="Arial" w:hAnsi="Arial" w:cs="Arial"/>
        </w:rPr>
        <w:t xml:space="preserve">, </w:t>
      </w:r>
      <w:r w:rsidR="00820D16">
        <w:rPr>
          <w:rFonts w:ascii="Arial" w:hAnsi="Arial" w:cs="Arial"/>
        </w:rPr>
        <w:t>(F</w:t>
      </w:r>
      <w:r>
        <w:rPr>
          <w:rFonts w:ascii="Arial" w:hAnsi="Arial" w:cs="Arial"/>
        </w:rPr>
        <w:t>igure 8</w:t>
      </w:r>
      <w:r w:rsidR="00820D16">
        <w:rPr>
          <w:rFonts w:ascii="Arial" w:hAnsi="Arial" w:cs="Arial"/>
        </w:rPr>
        <w:t>)</w:t>
      </w:r>
      <w:r w:rsidR="00397C78">
        <w:rPr>
          <w:rFonts w:ascii="Arial" w:hAnsi="Arial" w:cs="Arial"/>
        </w:rPr>
        <w:t xml:space="preserve">. </w:t>
      </w:r>
    </w:p>
    <w:p w:rsidR="00A27C15" w:rsidRPr="00A27C15" w:rsidRDefault="00A27C15" w:rsidP="003B725E">
      <w:pPr>
        <w:spacing w:line="360" w:lineRule="auto"/>
        <w:jc w:val="both"/>
        <w:rPr>
          <w:rFonts w:ascii="Arial" w:hAnsi="Arial" w:cs="Arial"/>
          <w:color w:val="C00000"/>
        </w:rPr>
      </w:pPr>
      <w:r>
        <w:rPr>
          <w:rFonts w:ascii="Arial" w:hAnsi="Arial" w:cs="Arial"/>
        </w:rPr>
        <w:t xml:space="preserve">Osteocytes </w:t>
      </w:r>
      <w:r w:rsidRPr="00384B3A">
        <w:rPr>
          <w:rFonts w:ascii="Arial" w:hAnsi="Arial" w:cs="Arial"/>
        </w:rPr>
        <w:t xml:space="preserve">are </w:t>
      </w:r>
      <w:r>
        <w:rPr>
          <w:rFonts w:ascii="Arial" w:hAnsi="Arial" w:cs="Arial"/>
        </w:rPr>
        <w:t xml:space="preserve">deeply </w:t>
      </w:r>
      <w:r w:rsidRPr="00384B3A">
        <w:rPr>
          <w:rFonts w:ascii="Arial" w:hAnsi="Arial" w:cs="Arial"/>
        </w:rPr>
        <w:t>embedded in the mineralised bone matrix and possess up to 50 long, branched dendrites</w:t>
      </w:r>
      <w:r w:rsidR="007D7284">
        <w:rPr>
          <w:rFonts w:ascii="Arial" w:hAnsi="Arial" w:cs="Arial"/>
        </w:rPr>
        <w:t xml:space="preserve"> </w:t>
      </w:r>
      <w:r w:rsidR="007D7284">
        <w:rPr>
          <w:rFonts w:ascii="Arial" w:hAnsi="Arial" w:cs="Arial"/>
        </w:rPr>
        <w:fldChar w:fldCharType="begin"/>
      </w:r>
      <w:r w:rsidR="00EF6236">
        <w:rPr>
          <w:rFonts w:ascii="Arial" w:hAnsi="Arial" w:cs="Arial"/>
        </w:rPr>
        <w:instrText xml:space="preserve"> ADDIN EN.CITE &lt;EndNote&gt;&lt;Cite&gt;&lt;Author&gt;Burra&lt;/Author&gt;&lt;Year&gt;2011&lt;/Year&gt;&lt;RecNum&gt;372&lt;/RecNum&gt;&lt;DisplayText&gt;(80)&lt;/DisplayText&gt;&lt;record&gt;&lt;rec-number&gt;372&lt;/rec-number&gt;&lt;foreign-keys&gt;&lt;key app="EN" db-id="p9a5ttsvyvde9me5aw2x05fp5p55axf0wr90" timestamp="1435750702"&gt;372&lt;/key&gt;&lt;/foreign-keys&gt;&lt;ref-type name="Journal Article"&gt;17&lt;/ref-type&gt;&lt;contributors&gt;&lt;authors&gt;&lt;author&gt;Burra, S.&lt;/author&gt;&lt;author&gt;Nicolella, D. P.&lt;/author&gt;&lt;author&gt;Jiang, J. X.&lt;/author&gt;&lt;/authors&gt;&lt;/contributors&gt;&lt;auth-address&gt;Department of Biochemistry; University of Texas Health Science Center; San Antonio, TX USA.&lt;/auth-address&gt;&lt;titles&gt;&lt;title&gt;Dark horse in osteocyte biology: Glycocalyx around the dendrites is critical for osteocyte mechanosensing&lt;/title&gt;&lt;secondary-title&gt;Commun Integr Biol&lt;/secondary-title&gt;&lt;/titles&gt;&lt;periodical&gt;&lt;full-title&gt;Commun Integr Biol&lt;/full-title&gt;&lt;/periodical&gt;&lt;pages&gt;48-50&lt;/pages&gt;&lt;volume&gt;4&lt;/volume&gt;&lt;number&gt;1&lt;/number&gt;&lt;edition&gt;2011/04/22&lt;/edition&gt;&lt;keywords&gt;&lt;keyword&gt;dendritic processes&lt;/keyword&gt;&lt;keyword&gt;glycocalyx&lt;/keyword&gt;&lt;keyword&gt;hemichannel&lt;/keyword&gt;&lt;keyword&gt;mechanosensing&lt;/keyword&gt;&lt;keyword&gt;osteocyte&lt;/keyword&gt;&lt;/keywords&gt;&lt;dates&gt;&lt;year&gt;2011&lt;/year&gt;&lt;pub-dates&gt;&lt;date&gt;Jan&lt;/date&gt;&lt;/pub-dates&gt;&lt;/dates&gt;&lt;isbn&gt;1942-0889 (Electronic)&amp;#xD;1942-0889 (Linking)&lt;/isbn&gt;&lt;accession-num&gt;21509177&lt;/accession-num&gt;&lt;urls&gt;&lt;/urls&gt;&lt;custom2&gt;PMC3073269&lt;/custom2&gt;&lt;electronic-resource-num&gt;10.4161/cib.4.1.13646&lt;/electronic-resource-num&gt;&lt;remote-database-provider&gt;NLM&lt;/remote-database-provider&gt;&lt;language&gt;eng&lt;/language&gt;&lt;/record&gt;&lt;/Cite&gt;&lt;/EndNote&gt;</w:instrText>
      </w:r>
      <w:r w:rsidR="007D7284">
        <w:rPr>
          <w:rFonts w:ascii="Arial" w:hAnsi="Arial" w:cs="Arial"/>
        </w:rPr>
        <w:fldChar w:fldCharType="separate"/>
      </w:r>
      <w:r w:rsidR="00EF6236">
        <w:rPr>
          <w:rFonts w:ascii="Arial" w:hAnsi="Arial" w:cs="Arial"/>
          <w:noProof/>
        </w:rPr>
        <w:t>(</w:t>
      </w:r>
      <w:hyperlink w:anchor="_ENREF_80" w:tooltip="Burra, 2011 #372" w:history="1">
        <w:r w:rsidR="003B725E">
          <w:rPr>
            <w:rFonts w:ascii="Arial" w:hAnsi="Arial" w:cs="Arial"/>
            <w:noProof/>
          </w:rPr>
          <w:t>80</w:t>
        </w:r>
      </w:hyperlink>
      <w:r w:rsidR="00EF6236">
        <w:rPr>
          <w:rFonts w:ascii="Arial" w:hAnsi="Arial" w:cs="Arial"/>
          <w:noProof/>
        </w:rPr>
        <w:t>)</w:t>
      </w:r>
      <w:r w:rsidR="007D7284">
        <w:rPr>
          <w:rFonts w:ascii="Arial" w:hAnsi="Arial" w:cs="Arial"/>
        </w:rPr>
        <w:fldChar w:fldCharType="end"/>
      </w:r>
      <w:r>
        <w:rPr>
          <w:rFonts w:ascii="Arial" w:hAnsi="Arial" w:cs="Arial"/>
        </w:rPr>
        <w:t xml:space="preserve">. This dendritic network </w:t>
      </w:r>
      <w:r w:rsidRPr="00384B3A">
        <w:rPr>
          <w:rFonts w:ascii="Arial" w:hAnsi="Arial" w:cs="Arial"/>
        </w:rPr>
        <w:t>extend</w:t>
      </w:r>
      <w:r>
        <w:rPr>
          <w:rFonts w:ascii="Arial" w:hAnsi="Arial" w:cs="Arial"/>
        </w:rPr>
        <w:t>s</w:t>
      </w:r>
      <w:r w:rsidRPr="00384B3A">
        <w:rPr>
          <w:rFonts w:ascii="Arial" w:hAnsi="Arial" w:cs="Arial"/>
        </w:rPr>
        <w:t xml:space="preserve"> throughout the bone matrix</w:t>
      </w:r>
      <w:r>
        <w:rPr>
          <w:rFonts w:ascii="Arial" w:hAnsi="Arial" w:cs="Arial"/>
        </w:rPr>
        <w:t xml:space="preserve"> and</w:t>
      </w:r>
      <w:r w:rsidRPr="00384B3A">
        <w:rPr>
          <w:rFonts w:ascii="Arial" w:hAnsi="Arial" w:cs="Arial"/>
        </w:rPr>
        <w:t xml:space="preserve"> connect</w:t>
      </w:r>
      <w:r>
        <w:rPr>
          <w:rFonts w:ascii="Arial" w:hAnsi="Arial" w:cs="Arial"/>
        </w:rPr>
        <w:t>s</w:t>
      </w:r>
      <w:r w:rsidR="008E0012">
        <w:rPr>
          <w:rFonts w:ascii="Arial" w:hAnsi="Arial" w:cs="Arial"/>
        </w:rPr>
        <w:t xml:space="preserve"> the osteocytes with other cells</w:t>
      </w:r>
      <w:r>
        <w:rPr>
          <w:rFonts w:ascii="Arial" w:hAnsi="Arial" w:cs="Arial"/>
        </w:rPr>
        <w:t xml:space="preserve"> in the osteoid nearer to the bone surface</w:t>
      </w:r>
      <w:r w:rsidR="008E0012">
        <w:rPr>
          <w:rFonts w:ascii="Arial" w:hAnsi="Arial" w:cs="Arial"/>
        </w:rPr>
        <w:t xml:space="preserve"> and the lining cells</w:t>
      </w:r>
      <w:r w:rsidR="001F6DCE">
        <w:rPr>
          <w:rFonts w:ascii="Arial" w:hAnsi="Arial" w:cs="Arial"/>
        </w:rPr>
        <w:t xml:space="preserve"> </w:t>
      </w:r>
      <w:r w:rsidR="001F6DCE">
        <w:rPr>
          <w:rFonts w:ascii="Arial" w:hAnsi="Arial" w:cs="Arial"/>
        </w:rPr>
        <w:fldChar w:fldCharType="begin">
          <w:fldData xml:space="preserve">PEVuZE5vdGU+PENpdGU+PEF1dGhvcj5CdWVuemxpPC9BdXRob3I+PFllYXI+MjAxNTwvWWVhcj48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PEVuZE5vdGU+PENpdGU+PEF1dGhvcj5CdWVuemxpPC9BdXRob3I+PFllYXI+MjAxNTwvWWVhcj48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F6DCE">
        <w:rPr>
          <w:rFonts w:ascii="Arial" w:hAnsi="Arial" w:cs="Arial"/>
        </w:rPr>
      </w:r>
      <w:r w:rsidR="001F6DCE">
        <w:rPr>
          <w:rFonts w:ascii="Arial" w:hAnsi="Arial" w:cs="Arial"/>
        </w:rPr>
        <w:fldChar w:fldCharType="separate"/>
      </w:r>
      <w:r w:rsidR="00EF6236">
        <w:rPr>
          <w:rFonts w:ascii="Arial" w:hAnsi="Arial" w:cs="Arial"/>
          <w:noProof/>
        </w:rPr>
        <w:t>(</w:t>
      </w:r>
      <w:hyperlink w:anchor="_ENREF_81" w:tooltip="Buenzli, 2015 #375" w:history="1">
        <w:r w:rsidR="003B725E">
          <w:rPr>
            <w:rFonts w:ascii="Arial" w:hAnsi="Arial" w:cs="Arial"/>
            <w:noProof/>
          </w:rPr>
          <w:t>81</w:t>
        </w:r>
      </w:hyperlink>
      <w:r w:rsidR="00EF6236">
        <w:rPr>
          <w:rFonts w:ascii="Arial" w:hAnsi="Arial" w:cs="Arial"/>
          <w:noProof/>
        </w:rPr>
        <w:t xml:space="preserve">, </w:t>
      </w:r>
      <w:hyperlink w:anchor="_ENREF_82" w:tooltip="Civitelli, 2008 #376" w:history="1">
        <w:r w:rsidR="003B725E">
          <w:rPr>
            <w:rFonts w:ascii="Arial" w:hAnsi="Arial" w:cs="Arial"/>
            <w:noProof/>
          </w:rPr>
          <w:t>82</w:t>
        </w:r>
      </w:hyperlink>
      <w:r w:rsidR="00EF6236">
        <w:rPr>
          <w:rFonts w:ascii="Arial" w:hAnsi="Arial" w:cs="Arial"/>
          <w:noProof/>
        </w:rPr>
        <w:t>)</w:t>
      </w:r>
      <w:r w:rsidR="001F6DCE">
        <w:rPr>
          <w:rFonts w:ascii="Arial" w:hAnsi="Arial" w:cs="Arial"/>
        </w:rPr>
        <w:fldChar w:fldCharType="end"/>
      </w:r>
      <w:r w:rsidRPr="00384B3A">
        <w:rPr>
          <w:rFonts w:ascii="Arial" w:hAnsi="Arial" w:cs="Arial"/>
        </w:rPr>
        <w:t xml:space="preserve">. This </w:t>
      </w:r>
      <w:r>
        <w:rPr>
          <w:rFonts w:ascii="Arial" w:hAnsi="Arial" w:cs="Arial"/>
        </w:rPr>
        <w:t xml:space="preserve">forms gap junctions and </w:t>
      </w:r>
      <w:r w:rsidRPr="00384B3A">
        <w:rPr>
          <w:rFonts w:ascii="Arial" w:hAnsi="Arial" w:cs="Arial"/>
        </w:rPr>
        <w:t>allows cell-cell communication via an interstitial flui</w:t>
      </w:r>
      <w:r>
        <w:rPr>
          <w:rFonts w:ascii="Arial" w:hAnsi="Arial" w:cs="Arial"/>
        </w:rPr>
        <w:t>d that flows inside the</w:t>
      </w:r>
      <w:r w:rsidRPr="00384B3A">
        <w:rPr>
          <w:rFonts w:ascii="Arial" w:hAnsi="Arial" w:cs="Arial"/>
        </w:rPr>
        <w:t xml:space="preserve"> interconnecting canaliculi each of which is 250-300nm in length and the osteocyte cell body itself is 15-20nm </w:t>
      </w:r>
      <w:r>
        <w:rPr>
          <w:rFonts w:ascii="Arial" w:hAnsi="Arial" w:cs="Arial"/>
        </w:rPr>
        <w:t>diameter</w:t>
      </w:r>
      <w:r w:rsidR="00F44705">
        <w:rPr>
          <w:rFonts w:ascii="Arial" w:hAnsi="Arial" w:cs="Arial"/>
        </w:rPr>
        <w:t xml:space="preserve"> </w:t>
      </w:r>
      <w:r w:rsidR="00F44705">
        <w:rPr>
          <w:rFonts w:ascii="Arial" w:hAnsi="Arial" w:cs="Arial"/>
        </w:rPr>
        <w:fldChar w:fldCharType="begin"/>
      </w:r>
      <w:r w:rsidR="00EF6236">
        <w:rPr>
          <w:rFonts w:ascii="Arial" w:hAnsi="Arial" w:cs="Arial"/>
        </w:rPr>
        <w:instrText xml:space="preserve"> ADDIN EN.CITE &lt;EndNote&gt;&lt;Cite&gt;&lt;Author&gt;Knothe Tate&lt;/Author&gt;&lt;Year&gt;2004&lt;/Year&gt;&lt;RecNum&gt;377&lt;/RecNum&gt;&lt;DisplayText&gt;(83)&lt;/DisplayText&gt;&lt;record&gt;&lt;rec-number&gt;377&lt;/rec-number&gt;&lt;foreign-keys&gt;&lt;key app="EN" db-id="p9a5ttsvyvde9me5aw2x05fp5p55axf0wr90" timestamp="1435751796"&gt;377&lt;/key&gt;&lt;/foreign-keys&gt;&lt;ref-type name="Journal Article"&gt;17&lt;/ref-type&gt;&lt;contributors&gt;&lt;authors&gt;&lt;author&gt;Knothe Tate, M. L.&lt;/author&gt;&lt;author&gt;Adamson, J. R.&lt;/author&gt;&lt;author&gt;Tami, A. E.&lt;/author&gt;&lt;author&gt;Bauer, T. W.&lt;/author&gt;&lt;/authors&gt;&lt;/contributors&gt;&lt;auth-address&gt;Orthopaedic Research Center, The Cleveland Clinic, 44195, Cleveland, OH, USA. tatem@bme.ri.ccf.org&lt;/auth-address&gt;&lt;titles&gt;&lt;title&gt;The osteocyte&lt;/title&gt;&lt;secondary-title&gt;Int J Biochem Cell Biol&lt;/secondary-title&gt;&lt;/titles&gt;&lt;periodical&gt;&lt;full-title&gt;Int J Biochem Cell Biol&lt;/full-title&gt;&lt;abbr-1&gt;The international journal of biochemistry &amp;amp; cell biology&lt;/abbr-1&gt;&lt;/periodical&gt;&lt;pages&gt;1-8&lt;/pages&gt;&lt;volume&gt;36&lt;/volume&gt;&lt;number&gt;1&lt;/number&gt;&lt;edition&gt;2003/11/01&lt;/edition&gt;&lt;keywords&gt;&lt;keyword&gt;Animals&lt;/keyword&gt;&lt;keyword&gt;Bone Diseases/pathology&lt;/keyword&gt;&lt;keyword&gt;Bone Matrix/cytology&lt;/keyword&gt;&lt;keyword&gt;Cell Cycle&lt;/keyword&gt;&lt;keyword&gt;Cell Differentiation&lt;/keyword&gt;&lt;keyword&gt;Humans&lt;/keyword&gt;&lt;keyword&gt;Osteocytes/ cytology/pathology/ physiology&lt;/keyword&gt;&lt;/keywords&gt;&lt;dates&gt;&lt;year&gt;2004&lt;/year&gt;&lt;pub-dates&gt;&lt;date&gt;Jan&lt;/date&gt;&lt;/pub-dates&gt;&lt;/dates&gt;&lt;isbn&gt;1357-2725 (Print)&amp;#xD;1357-2725 (Linking)&lt;/isbn&gt;&lt;accession-num&gt;14592527&lt;/accession-num&gt;&lt;urls&gt;&lt;/urls&gt;&lt;remote-database-provider&gt;NLM&lt;/remote-database-provider&gt;&lt;language&gt;eng&lt;/language&gt;&lt;/record&gt;&lt;/Cite&gt;&lt;/EndNote&gt;</w:instrText>
      </w:r>
      <w:r w:rsidR="00F44705">
        <w:rPr>
          <w:rFonts w:ascii="Arial" w:hAnsi="Arial" w:cs="Arial"/>
        </w:rPr>
        <w:fldChar w:fldCharType="separate"/>
      </w:r>
      <w:r w:rsidR="00EF6236">
        <w:rPr>
          <w:rFonts w:ascii="Arial" w:hAnsi="Arial" w:cs="Arial"/>
          <w:noProof/>
        </w:rPr>
        <w:t>(</w:t>
      </w:r>
      <w:hyperlink w:anchor="_ENREF_83" w:tooltip="Knothe Tate, 2004 #377" w:history="1">
        <w:r w:rsidR="003B725E">
          <w:rPr>
            <w:rFonts w:ascii="Arial" w:hAnsi="Arial" w:cs="Arial"/>
            <w:noProof/>
          </w:rPr>
          <w:t>83</w:t>
        </w:r>
      </w:hyperlink>
      <w:r w:rsidR="00EF6236">
        <w:rPr>
          <w:rFonts w:ascii="Arial" w:hAnsi="Arial" w:cs="Arial"/>
          <w:noProof/>
        </w:rPr>
        <w:t>)</w:t>
      </w:r>
      <w:r w:rsidR="00F44705">
        <w:rPr>
          <w:rFonts w:ascii="Arial" w:hAnsi="Arial" w:cs="Arial"/>
        </w:rPr>
        <w:fldChar w:fldCharType="end"/>
      </w:r>
      <w:r>
        <w:rPr>
          <w:rFonts w:ascii="Arial" w:hAnsi="Arial" w:cs="Arial"/>
        </w:rPr>
        <w:t>.</w:t>
      </w:r>
    </w:p>
    <w:p w:rsidR="0018655D" w:rsidRDefault="00DA5856" w:rsidP="00C273D9">
      <w:pPr>
        <w:keepNext/>
        <w:spacing w:line="360" w:lineRule="auto"/>
        <w:jc w:val="center"/>
      </w:pPr>
      <w:r w:rsidRPr="00DA5856">
        <w:rPr>
          <w:noProof/>
          <w:lang w:eastAsia="zh-CN"/>
        </w:rPr>
        <w:lastRenderedPageBreak/>
        <w:drawing>
          <wp:inline distT="0" distB="0" distL="0" distR="0" wp14:anchorId="1C266D9D" wp14:editId="0947E6FF">
            <wp:extent cx="4000500" cy="3002210"/>
            <wp:effectExtent l="0" t="0" r="0" b="8255"/>
            <wp:docPr id="18554" name="Picture 1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08810" cy="3008446"/>
                    </a:xfrm>
                    <a:prstGeom prst="rect">
                      <a:avLst/>
                    </a:prstGeom>
                    <a:noFill/>
                    <a:ln>
                      <a:noFill/>
                    </a:ln>
                  </pic:spPr>
                </pic:pic>
              </a:graphicData>
            </a:graphic>
          </wp:inline>
        </w:drawing>
      </w:r>
    </w:p>
    <w:p w:rsidR="00820D16" w:rsidRPr="00820D16" w:rsidRDefault="0018655D" w:rsidP="00900F2C">
      <w:pPr>
        <w:pStyle w:val="Caption"/>
        <w:rPr>
          <w:rFonts w:ascii="Arial" w:hAnsi="Arial" w:cs="Arial"/>
          <w:b w:val="0"/>
          <w:color w:val="000000" w:themeColor="text1"/>
        </w:rPr>
      </w:pPr>
      <w:bookmarkStart w:id="22" w:name="_Toc425419490"/>
      <w:r w:rsidRPr="00820D16">
        <w:rPr>
          <w:rFonts w:ascii="Arial" w:hAnsi="Arial" w:cs="Arial"/>
          <w:b w:val="0"/>
          <w:color w:val="auto"/>
        </w:rPr>
        <w:t xml:space="preserve">Figure </w:t>
      </w:r>
      <w:r w:rsidRPr="00820D16">
        <w:rPr>
          <w:rFonts w:ascii="Arial" w:hAnsi="Arial" w:cs="Arial"/>
          <w:b w:val="0"/>
          <w:color w:val="auto"/>
        </w:rPr>
        <w:fldChar w:fldCharType="begin"/>
      </w:r>
      <w:r w:rsidRPr="00820D16">
        <w:rPr>
          <w:rFonts w:ascii="Arial" w:hAnsi="Arial" w:cs="Arial"/>
          <w:b w:val="0"/>
          <w:color w:val="auto"/>
        </w:rPr>
        <w:instrText xml:space="preserve"> SEQ Figure \* ARABIC </w:instrText>
      </w:r>
      <w:r w:rsidRPr="00820D16">
        <w:rPr>
          <w:rFonts w:ascii="Arial" w:hAnsi="Arial" w:cs="Arial"/>
          <w:b w:val="0"/>
          <w:color w:val="auto"/>
        </w:rPr>
        <w:fldChar w:fldCharType="separate"/>
      </w:r>
      <w:r w:rsidR="0040369A">
        <w:rPr>
          <w:rFonts w:ascii="Arial" w:hAnsi="Arial" w:cs="Arial"/>
          <w:b w:val="0"/>
          <w:noProof/>
          <w:color w:val="auto"/>
        </w:rPr>
        <w:t>7</w:t>
      </w:r>
      <w:r w:rsidRPr="00820D16">
        <w:rPr>
          <w:rFonts w:ascii="Arial" w:hAnsi="Arial" w:cs="Arial"/>
          <w:b w:val="0"/>
          <w:color w:val="auto"/>
        </w:rPr>
        <w:fldChar w:fldCharType="end"/>
      </w:r>
      <w:r w:rsidRPr="00820D16">
        <w:rPr>
          <w:rFonts w:ascii="Arial" w:hAnsi="Arial" w:cs="Arial"/>
          <w:b w:val="0"/>
          <w:color w:val="auto"/>
        </w:rPr>
        <w:t xml:space="preserve">: </w:t>
      </w:r>
      <w:r w:rsidR="00DA5856">
        <w:rPr>
          <w:rFonts w:ascii="Arial" w:hAnsi="Arial" w:cs="Arial"/>
          <w:b w:val="0"/>
          <w:color w:val="000000" w:themeColor="text1"/>
        </w:rPr>
        <w:t>Osteocytes embedded in the lacunae from a human bone biopsy</w:t>
      </w:r>
      <w:r w:rsidR="00DA5856" w:rsidRPr="00EC0B3C">
        <w:rPr>
          <w:rFonts w:ascii="Arial" w:hAnsi="Arial" w:cs="Arial"/>
          <w:b w:val="0"/>
          <w:color w:val="000000" w:themeColor="text1"/>
        </w:rPr>
        <w:t>. Goldner’s trichrome, 40x magnification. Image obtained from the Bone Analysis Laboratory, University of Sheffield, UK</w:t>
      </w:r>
      <w:r w:rsidR="00491482">
        <w:rPr>
          <w:rFonts w:ascii="Arial" w:hAnsi="Arial" w:cs="Arial"/>
          <w:b w:val="0"/>
          <w:color w:val="000000" w:themeColor="text1"/>
        </w:rPr>
        <w:t>.</w:t>
      </w:r>
      <w:bookmarkEnd w:id="22"/>
    </w:p>
    <w:p w:rsidR="00C82F38" w:rsidRDefault="00A516FD" w:rsidP="00900F2C">
      <w:pPr>
        <w:spacing w:line="360" w:lineRule="auto"/>
        <w:rPr>
          <w:rFonts w:ascii="Arial" w:hAnsi="Arial" w:cs="Arial"/>
          <w:color w:val="C00000"/>
        </w:rPr>
      </w:pPr>
      <w:r>
        <w:rPr>
          <w:rFonts w:ascii="Arial" w:hAnsi="Arial" w:cs="Arial"/>
          <w:noProof/>
          <w:color w:val="C00000"/>
          <w:lang w:eastAsia="zh-CN"/>
        </w:rPr>
        <mc:AlternateContent>
          <mc:Choice Requires="wps">
            <w:drawing>
              <wp:anchor distT="0" distB="0" distL="114300" distR="114300" simplePos="0" relativeHeight="253142528" behindDoc="0" locked="0" layoutInCell="1" allowOverlap="1" wp14:anchorId="267578A4" wp14:editId="03A1E14E">
                <wp:simplePos x="0" y="0"/>
                <wp:positionH relativeFrom="column">
                  <wp:posOffset>-65405</wp:posOffset>
                </wp:positionH>
                <wp:positionV relativeFrom="paragraph">
                  <wp:posOffset>91440</wp:posOffset>
                </wp:positionV>
                <wp:extent cx="5913755" cy="2279650"/>
                <wp:effectExtent l="0" t="0" r="10795" b="25400"/>
                <wp:wrapNone/>
                <wp:docPr id="72" name="Rectangle 72"/>
                <wp:cNvGraphicFramePr/>
                <a:graphic xmlns:a="http://schemas.openxmlformats.org/drawingml/2006/main">
                  <a:graphicData uri="http://schemas.microsoft.com/office/word/2010/wordprocessingShape">
                    <wps:wsp>
                      <wps:cNvSpPr/>
                      <wps:spPr>
                        <a:xfrm>
                          <a:off x="0" y="0"/>
                          <a:ext cx="5913755" cy="22796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C81AED" id="Rectangle 72" o:spid="_x0000_s1026" style="position:absolute;margin-left:-5.15pt;margin-top:7.2pt;width:465.65pt;height:179.5pt;z-index:25314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" filled="f" strokecolor="black [3213]" strokeweight=".5pt"/>
            </w:pict>
          </mc:Fallback>
        </mc:AlternateContent>
      </w:r>
      <w:r>
        <w:rPr>
          <w:noProof/>
          <w:lang w:eastAsia="zh-CN"/>
        </w:rPr>
        <mc:AlternateContent>
          <mc:Choice Requires="wps">
            <w:drawing>
              <wp:anchor distT="0" distB="0" distL="114300" distR="114300" simplePos="0" relativeHeight="249886208" behindDoc="0" locked="0" layoutInCell="1" allowOverlap="1" wp14:anchorId="744D29E0" wp14:editId="4F4C6D96">
                <wp:simplePos x="0" y="0"/>
                <wp:positionH relativeFrom="column">
                  <wp:posOffset>4826000</wp:posOffset>
                </wp:positionH>
                <wp:positionV relativeFrom="paragraph">
                  <wp:posOffset>366395</wp:posOffset>
                </wp:positionV>
                <wp:extent cx="1096645" cy="379730"/>
                <wp:effectExtent l="0" t="0" r="8255" b="127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645" cy="379730"/>
                        </a:xfrm>
                        <a:prstGeom prst="rect">
                          <a:avLst/>
                        </a:prstGeom>
                        <a:solidFill>
                          <a:srgbClr val="FFFFFF"/>
                        </a:solidFill>
                        <a:ln w="9525">
                          <a:noFill/>
                          <a:miter lim="800000"/>
                          <a:headEnd/>
                          <a:tailEnd/>
                        </a:ln>
                      </wps:spPr>
                      <wps:txbx>
                        <w:txbxContent>
                          <w:p w:rsidR="004166BC" w:rsidRPr="00F8307E" w:rsidRDefault="004166BC" w:rsidP="00A516FD">
                            <w:pPr>
                              <w:rPr>
                                <w:color w:val="000000" w:themeColor="text1"/>
                                <w:sz w:val="12"/>
                                <w:szCs w:val="12"/>
                              </w:rPr>
                            </w:pPr>
                            <w:r>
                              <w:rPr>
                                <w:color w:val="000000" w:themeColor="text1"/>
                                <w:sz w:val="12"/>
                                <w:szCs w:val="12"/>
                              </w:rPr>
                              <w:t>Increased osteoblast activity and bone 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29E0" id="_x0000_s1029" type="#_x0000_t202" style="position:absolute;margin-left:380pt;margin-top:28.85pt;width:86.35pt;height:29.9pt;z-index:2498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" stroked="f">
                <v:textbox>
                  <w:txbxContent>
                    <w:p w:rsidR="004166BC" w:rsidRPr="00F8307E" w:rsidRDefault="004166BC" w:rsidP="00A516FD">
                      <w:pPr>
                        <w:rPr>
                          <w:color w:val="000000" w:themeColor="text1"/>
                          <w:sz w:val="12"/>
                          <w:szCs w:val="12"/>
                        </w:rPr>
                      </w:pPr>
                      <w:r>
                        <w:rPr>
                          <w:color w:val="000000" w:themeColor="text1"/>
                          <w:sz w:val="12"/>
                          <w:szCs w:val="12"/>
                        </w:rPr>
                        <w:t>Increased osteoblast activity and bone formation</w:t>
                      </w:r>
                    </w:p>
                  </w:txbxContent>
                </v:textbox>
              </v:shape>
            </w:pict>
          </mc:Fallback>
        </mc:AlternateContent>
      </w:r>
      <w:r w:rsidR="00DB0A74">
        <w:rPr>
          <w:rFonts w:ascii="Arial" w:hAnsi="Arial" w:cs="Arial"/>
          <w:noProof/>
          <w:color w:val="C00000"/>
          <w:lang w:eastAsia="zh-CN"/>
        </w:rPr>
        <mc:AlternateContent>
          <mc:Choice Requires="wpg">
            <w:drawing>
              <wp:anchor distT="0" distB="0" distL="114300" distR="114300" simplePos="0" relativeHeight="253055488" behindDoc="0" locked="0" layoutInCell="1" allowOverlap="1" wp14:anchorId="4214ED08" wp14:editId="37D62812">
                <wp:simplePos x="0" y="0"/>
                <wp:positionH relativeFrom="column">
                  <wp:posOffset>-29688</wp:posOffset>
                </wp:positionH>
                <wp:positionV relativeFrom="paragraph">
                  <wp:posOffset>139180</wp:posOffset>
                </wp:positionV>
                <wp:extent cx="5521805" cy="2174240"/>
                <wp:effectExtent l="0" t="0" r="3175" b="0"/>
                <wp:wrapNone/>
                <wp:docPr id="68" name="Group 68"/>
                <wp:cNvGraphicFramePr/>
                <a:graphic xmlns:a="http://schemas.openxmlformats.org/drawingml/2006/main">
                  <a:graphicData uri="http://schemas.microsoft.com/office/word/2010/wordprocessingGroup">
                    <wpg:wgp>
                      <wpg:cNvGrpSpPr/>
                      <wpg:grpSpPr>
                        <a:xfrm>
                          <a:off x="0" y="0"/>
                          <a:ext cx="5521805" cy="2174240"/>
                          <a:chOff x="0" y="0"/>
                          <a:chExt cx="5521879" cy="2174669"/>
                        </a:xfrm>
                      </wpg:grpSpPr>
                      <wps:wsp>
                        <wps:cNvPr id="108" name="Text Box 2"/>
                        <wps:cNvSpPr txBox="1">
                          <a:spLocks noChangeArrowheads="1"/>
                        </wps:cNvSpPr>
                        <wps:spPr bwMode="auto">
                          <a:xfrm>
                            <a:off x="3241963" y="1810987"/>
                            <a:ext cx="955675" cy="248920"/>
                          </a:xfrm>
                          <a:prstGeom prst="rect">
                            <a:avLst/>
                          </a:prstGeom>
                          <a:solidFill>
                            <a:srgbClr val="FFFFFF"/>
                          </a:solidFill>
                          <a:ln w="9525">
                            <a:noFill/>
                            <a:miter lim="800000"/>
                            <a:headEnd/>
                            <a:tailEnd/>
                          </a:ln>
                        </wps:spPr>
                        <wps:txbx>
                          <w:txbxContent>
                            <w:p w:rsidR="004166BC" w:rsidRPr="00E84998" w:rsidRDefault="004166BC" w:rsidP="009B6152">
                              <w:pPr>
                                <w:rPr>
                                  <w:color w:val="002060"/>
                                  <w:sz w:val="16"/>
                                  <w:szCs w:val="16"/>
                                </w:rPr>
                              </w:pPr>
                              <w:r w:rsidRPr="00E84998">
                                <w:rPr>
                                  <w:color w:val="002060"/>
                                  <w:sz w:val="16"/>
                                  <w:szCs w:val="16"/>
                                </w:rPr>
                                <w:t>Preosteocyte</w:t>
                              </w:r>
                            </w:p>
                          </w:txbxContent>
                        </wps:txbx>
                        <wps:bodyPr rot="0" vert="horz" wrap="square" lIns="91440" tIns="45720" rIns="91440" bIns="45720" anchor="t" anchorCtr="0">
                          <a:noAutofit/>
                        </wps:bodyPr>
                      </wps:wsp>
                      <wpg:grpSp>
                        <wpg:cNvPr id="67" name="Group 67"/>
                        <wpg:cNvGrpSpPr/>
                        <wpg:grpSpPr>
                          <a:xfrm>
                            <a:off x="0" y="0"/>
                            <a:ext cx="5521879" cy="2174669"/>
                            <a:chOff x="0" y="0"/>
                            <a:chExt cx="5521879" cy="2174669"/>
                          </a:xfrm>
                        </wpg:grpSpPr>
                        <wps:wsp>
                          <wps:cNvPr id="289" name="Straight Arrow Connector 123"/>
                          <wps:cNvCnPr/>
                          <wps:spPr>
                            <a:xfrm flipH="1" flipV="1">
                              <a:off x="878774" y="1074717"/>
                              <a:ext cx="530266" cy="100331"/>
                            </a:xfrm>
                            <a:prstGeom prst="straightConnector1">
                              <a:avLst/>
                            </a:prstGeom>
                            <a:ln w="9525">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cNvPr id="66" name="Group 66"/>
                          <wpg:cNvGrpSpPr/>
                          <wpg:grpSpPr>
                            <a:xfrm>
                              <a:off x="0" y="0"/>
                              <a:ext cx="5521879" cy="2174669"/>
                              <a:chOff x="0" y="0"/>
                              <a:chExt cx="5521879" cy="2174669"/>
                            </a:xfrm>
                          </wpg:grpSpPr>
                          <wps:wsp>
                            <wps:cNvPr id="308" name="Text Box 2"/>
                            <wps:cNvSpPr txBox="1">
                              <a:spLocks noChangeArrowheads="1"/>
                            </wps:cNvSpPr>
                            <wps:spPr bwMode="auto">
                              <a:xfrm>
                                <a:off x="59376" y="777834"/>
                                <a:ext cx="955675" cy="248920"/>
                              </a:xfrm>
                              <a:prstGeom prst="rect">
                                <a:avLst/>
                              </a:prstGeom>
                              <a:solidFill>
                                <a:srgbClr val="FFFFFF"/>
                              </a:solidFill>
                              <a:ln w="9525">
                                <a:noFill/>
                                <a:miter lim="800000"/>
                                <a:headEnd/>
                                <a:tailEnd/>
                              </a:ln>
                            </wps:spPr>
                            <wps:txbx>
                              <w:txbxContent>
                                <w:p w:rsidR="004166BC" w:rsidRPr="00E84998" w:rsidRDefault="004166BC" w:rsidP="00300A1C">
                                  <w:pPr>
                                    <w:rPr>
                                      <w:color w:val="002060"/>
                                      <w:sz w:val="16"/>
                                      <w:szCs w:val="16"/>
                                    </w:rPr>
                                  </w:pPr>
                                  <w:r w:rsidRPr="00E3570E">
                                    <w:rPr>
                                      <w:b/>
                                      <w:color w:val="002060"/>
                                      <w:sz w:val="16"/>
                                      <w:szCs w:val="16"/>
                                    </w:rPr>
                                    <w:t>i)</w:t>
                                  </w:r>
                                  <w:r>
                                    <w:rPr>
                                      <w:color w:val="002060"/>
                                      <w:sz w:val="16"/>
                                      <w:szCs w:val="16"/>
                                    </w:rPr>
                                    <w:t xml:space="preserve"> </w:t>
                                  </w:r>
                                  <w:r w:rsidRPr="00E3570E">
                                    <w:rPr>
                                      <w:b/>
                                      <w:color w:val="002060"/>
                                      <w:sz w:val="16"/>
                                      <w:szCs w:val="16"/>
                                    </w:rPr>
                                    <w:t>Cell apoptosis</w:t>
                                  </w:r>
                                </w:p>
                              </w:txbxContent>
                            </wps:txbx>
                            <wps:bodyPr rot="0" vert="horz" wrap="square" lIns="91440" tIns="45720" rIns="91440" bIns="45720" anchor="t" anchorCtr="0">
                              <a:noAutofit/>
                            </wps:bodyPr>
                          </wps:wsp>
                          <wpg:grpSp>
                            <wpg:cNvPr id="304" name="Group 304"/>
                            <wpg:cNvGrpSpPr/>
                            <wpg:grpSpPr>
                              <a:xfrm>
                                <a:off x="106878" y="991590"/>
                                <a:ext cx="728345" cy="76835"/>
                                <a:chOff x="0" y="0"/>
                                <a:chExt cx="728602" cy="77190"/>
                              </a:xfrm>
                            </wpg:grpSpPr>
                            <wpg:grpSp>
                              <wpg:cNvPr id="303" name="Group 303"/>
                              <wpg:cNvGrpSpPr/>
                              <wpg:grpSpPr>
                                <a:xfrm>
                                  <a:off x="0" y="0"/>
                                  <a:ext cx="728602" cy="77190"/>
                                  <a:chOff x="0" y="0"/>
                                  <a:chExt cx="728602" cy="77190"/>
                                </a:xfrm>
                              </wpg:grpSpPr>
                              <wps:wsp>
                                <wps:cNvPr id="295" name="Freeform 295"/>
                                <wps:cNvSpPr/>
                                <wps:spPr>
                                  <a:xfrm>
                                    <a:off x="0" y="0"/>
                                    <a:ext cx="728602" cy="77190"/>
                                  </a:xfrm>
                                  <a:custGeom>
                                    <a:avLst/>
                                    <a:gdLst>
                                      <a:gd name="connsiteX0" fmla="*/ 37571 w 728602"/>
                                      <a:gd name="connsiteY0" fmla="*/ 71252 h 77190"/>
                                      <a:gd name="connsiteX1" fmla="*/ 102885 w 728602"/>
                                      <a:gd name="connsiteY1" fmla="*/ 35626 h 77190"/>
                                      <a:gd name="connsiteX2" fmla="*/ 162262 w 728602"/>
                                      <a:gd name="connsiteY2" fmla="*/ 23751 h 77190"/>
                                      <a:gd name="connsiteX3" fmla="*/ 263202 w 728602"/>
                                      <a:gd name="connsiteY3" fmla="*/ 35626 h 77190"/>
                                      <a:gd name="connsiteX4" fmla="*/ 281015 w 728602"/>
                                      <a:gd name="connsiteY4" fmla="*/ 47502 h 77190"/>
                                      <a:gd name="connsiteX5" fmla="*/ 304765 w 728602"/>
                                      <a:gd name="connsiteY5" fmla="*/ 53439 h 77190"/>
                                      <a:gd name="connsiteX6" fmla="*/ 340391 w 728602"/>
                                      <a:gd name="connsiteY6" fmla="*/ 65315 h 77190"/>
                                      <a:gd name="connsiteX7" fmla="*/ 465082 w 728602"/>
                                      <a:gd name="connsiteY7" fmla="*/ 59377 h 77190"/>
                                      <a:gd name="connsiteX8" fmla="*/ 494771 w 728602"/>
                                      <a:gd name="connsiteY8" fmla="*/ 53439 h 77190"/>
                                      <a:gd name="connsiteX9" fmla="*/ 512584 w 728602"/>
                                      <a:gd name="connsiteY9" fmla="*/ 47502 h 77190"/>
                                      <a:gd name="connsiteX10" fmla="*/ 595711 w 728602"/>
                                      <a:gd name="connsiteY10" fmla="*/ 41564 h 77190"/>
                                      <a:gd name="connsiteX11" fmla="*/ 625399 w 728602"/>
                                      <a:gd name="connsiteY11" fmla="*/ 17813 h 77190"/>
                                      <a:gd name="connsiteX12" fmla="*/ 643212 w 728602"/>
                                      <a:gd name="connsiteY12" fmla="*/ 5938 h 77190"/>
                                      <a:gd name="connsiteX13" fmla="*/ 720402 w 728602"/>
                                      <a:gd name="connsiteY13" fmla="*/ 11876 h 77190"/>
                                      <a:gd name="connsiteX14" fmla="*/ 696651 w 728602"/>
                                      <a:gd name="connsiteY14" fmla="*/ 53439 h 77190"/>
                                      <a:gd name="connsiteX15" fmla="*/ 619462 w 728602"/>
                                      <a:gd name="connsiteY15" fmla="*/ 47502 h 77190"/>
                                      <a:gd name="connsiteX16" fmla="*/ 583836 w 728602"/>
                                      <a:gd name="connsiteY16" fmla="*/ 35626 h 77190"/>
                                      <a:gd name="connsiteX17" fmla="*/ 560085 w 728602"/>
                                      <a:gd name="connsiteY17" fmla="*/ 29689 h 77190"/>
                                      <a:gd name="connsiteX18" fmla="*/ 542272 w 728602"/>
                                      <a:gd name="connsiteY18" fmla="*/ 23751 h 77190"/>
                                      <a:gd name="connsiteX19" fmla="*/ 471020 w 728602"/>
                                      <a:gd name="connsiteY19" fmla="*/ 17813 h 77190"/>
                                      <a:gd name="connsiteX20" fmla="*/ 364142 w 728602"/>
                                      <a:gd name="connsiteY20" fmla="*/ 17813 h 77190"/>
                                      <a:gd name="connsiteX21" fmla="*/ 328516 w 728602"/>
                                      <a:gd name="connsiteY21" fmla="*/ 29689 h 77190"/>
                                      <a:gd name="connsiteX22" fmla="*/ 310703 w 728602"/>
                                      <a:gd name="connsiteY22" fmla="*/ 35626 h 77190"/>
                                      <a:gd name="connsiteX23" fmla="*/ 168199 w 728602"/>
                                      <a:gd name="connsiteY23" fmla="*/ 29689 h 77190"/>
                                      <a:gd name="connsiteX24" fmla="*/ 150386 w 728602"/>
                                      <a:gd name="connsiteY24" fmla="*/ 23751 h 77190"/>
                                      <a:gd name="connsiteX25" fmla="*/ 120698 w 728602"/>
                                      <a:gd name="connsiteY25" fmla="*/ 17813 h 77190"/>
                                      <a:gd name="connsiteX26" fmla="*/ 19758 w 728602"/>
                                      <a:gd name="connsiteY26" fmla="*/ 35626 h 77190"/>
                                      <a:gd name="connsiteX27" fmla="*/ 1945 w 728602"/>
                                      <a:gd name="connsiteY27" fmla="*/ 65315 h 77190"/>
                                      <a:gd name="connsiteX28" fmla="*/ 61321 w 728602"/>
                                      <a:gd name="connsiteY28" fmla="*/ 71252 h 77190"/>
                                      <a:gd name="connsiteX29" fmla="*/ 79134 w 728602"/>
                                      <a:gd name="connsiteY29" fmla="*/ 77190 h 77190"/>
                                      <a:gd name="connsiteX30" fmla="*/ 96947 w 728602"/>
                                      <a:gd name="connsiteY30" fmla="*/ 71252 h 77190"/>
                                      <a:gd name="connsiteX31" fmla="*/ 126636 w 728602"/>
                                      <a:gd name="connsiteY31" fmla="*/ 41564 h 77190"/>
                                      <a:gd name="connsiteX32" fmla="*/ 144449 w 728602"/>
                                      <a:gd name="connsiteY32" fmla="*/ 35626 h 77190"/>
                                      <a:gd name="connsiteX33" fmla="*/ 215700 w 728602"/>
                                      <a:gd name="connsiteY33" fmla="*/ 17813 h 77190"/>
                                      <a:gd name="connsiteX34" fmla="*/ 275077 w 728602"/>
                                      <a:gd name="connsiteY34" fmla="*/ 11876 h 77190"/>
                                      <a:gd name="connsiteX35" fmla="*/ 417581 w 728602"/>
                                      <a:gd name="connsiteY35" fmla="*/ 17813 h 77190"/>
                                      <a:gd name="connsiteX36" fmla="*/ 435394 w 728602"/>
                                      <a:gd name="connsiteY36" fmla="*/ 23751 h 77190"/>
                                      <a:gd name="connsiteX37" fmla="*/ 459145 w 728602"/>
                                      <a:gd name="connsiteY37" fmla="*/ 29689 h 77190"/>
                                      <a:gd name="connsiteX38" fmla="*/ 500708 w 728602"/>
                                      <a:gd name="connsiteY38" fmla="*/ 35626 h 77190"/>
                                      <a:gd name="connsiteX39" fmla="*/ 518521 w 728602"/>
                                      <a:gd name="connsiteY39" fmla="*/ 41564 h 77190"/>
                                      <a:gd name="connsiteX40" fmla="*/ 500708 w 728602"/>
                                      <a:gd name="connsiteY40" fmla="*/ 47502 h 77190"/>
                                      <a:gd name="connsiteX41" fmla="*/ 423519 w 728602"/>
                                      <a:gd name="connsiteY41" fmla="*/ 41564 h 77190"/>
                                      <a:gd name="connsiteX42" fmla="*/ 370080 w 728602"/>
                                      <a:gd name="connsiteY42" fmla="*/ 29689 h 77190"/>
                                      <a:gd name="connsiteX43" fmla="*/ 316641 w 728602"/>
                                      <a:gd name="connsiteY43" fmla="*/ 35626 h 77190"/>
                                      <a:gd name="connsiteX44" fmla="*/ 334454 w 728602"/>
                                      <a:gd name="connsiteY44" fmla="*/ 41564 h 77190"/>
                                      <a:gd name="connsiteX45" fmla="*/ 352267 w 728602"/>
                                      <a:gd name="connsiteY45" fmla="*/ 53439 h 77190"/>
                                      <a:gd name="connsiteX46" fmla="*/ 613524 w 728602"/>
                                      <a:gd name="connsiteY46" fmla="*/ 47502 h 77190"/>
                                      <a:gd name="connsiteX47" fmla="*/ 714464 w 728602"/>
                                      <a:gd name="connsiteY47" fmla="*/ 29689 h 77190"/>
                                      <a:gd name="connsiteX48" fmla="*/ 696651 w 728602"/>
                                      <a:gd name="connsiteY48" fmla="*/ 41564 h 77190"/>
                                      <a:gd name="connsiteX49" fmla="*/ 643212 w 728602"/>
                                      <a:gd name="connsiteY49" fmla="*/ 47502 h 77190"/>
                                      <a:gd name="connsiteX50" fmla="*/ 625399 w 728602"/>
                                      <a:gd name="connsiteY50" fmla="*/ 53439 h 77190"/>
                                      <a:gd name="connsiteX51" fmla="*/ 548210 w 728602"/>
                                      <a:gd name="connsiteY51" fmla="*/ 47502 h 77190"/>
                                      <a:gd name="connsiteX52" fmla="*/ 530397 w 728602"/>
                                      <a:gd name="connsiteY52" fmla="*/ 41564 h 77190"/>
                                      <a:gd name="connsiteX53" fmla="*/ 471020 w 728602"/>
                                      <a:gd name="connsiteY53" fmla="*/ 23751 h 77190"/>
                                      <a:gd name="connsiteX54" fmla="*/ 435394 w 728602"/>
                                      <a:gd name="connsiteY54" fmla="*/ 17813 h 77190"/>
                                      <a:gd name="connsiteX55" fmla="*/ 417581 w 728602"/>
                                      <a:gd name="connsiteY55" fmla="*/ 11876 h 77190"/>
                                      <a:gd name="connsiteX56" fmla="*/ 340391 w 728602"/>
                                      <a:gd name="connsiteY56" fmla="*/ 0 h 77190"/>
                                      <a:gd name="connsiteX57" fmla="*/ 251326 w 728602"/>
                                      <a:gd name="connsiteY57" fmla="*/ 5938 h 77190"/>
                                      <a:gd name="connsiteX58" fmla="*/ 126636 w 728602"/>
                                      <a:gd name="connsiteY58" fmla="*/ 11876 h 77190"/>
                                      <a:gd name="connsiteX59" fmla="*/ 102885 w 728602"/>
                                      <a:gd name="connsiteY59" fmla="*/ 17813 h 77190"/>
                                      <a:gd name="connsiteX60" fmla="*/ 73197 w 728602"/>
                                      <a:gd name="connsiteY60" fmla="*/ 23751 h 77190"/>
                                      <a:gd name="connsiteX61" fmla="*/ 37571 w 728602"/>
                                      <a:gd name="connsiteY61" fmla="*/ 35626 h 77190"/>
                                      <a:gd name="connsiteX62" fmla="*/ 25695 w 728602"/>
                                      <a:gd name="connsiteY62" fmla="*/ 53439 h 77190"/>
                                      <a:gd name="connsiteX63" fmla="*/ 43508 w 728602"/>
                                      <a:gd name="connsiteY63" fmla="*/ 59377 h 77190"/>
                                      <a:gd name="connsiteX64" fmla="*/ 79134 w 728602"/>
                                      <a:gd name="connsiteY64" fmla="*/ 53439 h 77190"/>
                                      <a:gd name="connsiteX65" fmla="*/ 43508 w 728602"/>
                                      <a:gd name="connsiteY65" fmla="*/ 53439 h 77190"/>
                                      <a:gd name="connsiteX66" fmla="*/ 73197 w 728602"/>
                                      <a:gd name="connsiteY66" fmla="*/ 71252 h 77190"/>
                                      <a:gd name="connsiteX67" fmla="*/ 108823 w 728602"/>
                                      <a:gd name="connsiteY67" fmla="*/ 65315 h 77190"/>
                                      <a:gd name="connsiteX68" fmla="*/ 144449 w 728602"/>
                                      <a:gd name="connsiteY68" fmla="*/ 53439 h 77190"/>
                                      <a:gd name="connsiteX69" fmla="*/ 162262 w 728602"/>
                                      <a:gd name="connsiteY69" fmla="*/ 47502 h 77190"/>
                                      <a:gd name="connsiteX70" fmla="*/ 411643 w 728602"/>
                                      <a:gd name="connsiteY70" fmla="*/ 41564 h 77190"/>
                                      <a:gd name="connsiteX71" fmla="*/ 429456 w 728602"/>
                                      <a:gd name="connsiteY71" fmla="*/ 23751 h 77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Lst>
                                    <a:rect l="l" t="t" r="r" b="b"/>
                                    <a:pathLst>
                                      <a:path w="728602" h="77190">
                                        <a:moveTo>
                                          <a:pt x="37571" y="71252"/>
                                        </a:moveTo>
                                        <a:cubicBezTo>
                                          <a:pt x="80511" y="54076"/>
                                          <a:pt x="58391" y="65289"/>
                                          <a:pt x="102885" y="35626"/>
                                        </a:cubicBezTo>
                                        <a:cubicBezTo>
                                          <a:pt x="119679" y="24430"/>
                                          <a:pt x="162262" y="23751"/>
                                          <a:pt x="162262" y="23751"/>
                                        </a:cubicBezTo>
                                        <a:cubicBezTo>
                                          <a:pt x="175377" y="24688"/>
                                          <a:pt x="236215" y="22132"/>
                                          <a:pt x="263202" y="35626"/>
                                        </a:cubicBezTo>
                                        <a:cubicBezTo>
                                          <a:pt x="269585" y="38817"/>
                                          <a:pt x="274456" y="44691"/>
                                          <a:pt x="281015" y="47502"/>
                                        </a:cubicBezTo>
                                        <a:cubicBezTo>
                                          <a:pt x="288515" y="50717"/>
                                          <a:pt x="296949" y="51094"/>
                                          <a:pt x="304765" y="53439"/>
                                        </a:cubicBezTo>
                                        <a:cubicBezTo>
                                          <a:pt x="316755" y="57036"/>
                                          <a:pt x="340391" y="65315"/>
                                          <a:pt x="340391" y="65315"/>
                                        </a:cubicBezTo>
                                        <a:cubicBezTo>
                                          <a:pt x="381955" y="63336"/>
                                          <a:pt x="423594" y="62569"/>
                                          <a:pt x="465082" y="59377"/>
                                        </a:cubicBezTo>
                                        <a:cubicBezTo>
                                          <a:pt x="475145" y="58603"/>
                                          <a:pt x="484980" y="55887"/>
                                          <a:pt x="494771" y="53439"/>
                                        </a:cubicBezTo>
                                        <a:cubicBezTo>
                                          <a:pt x="500843" y="51921"/>
                                          <a:pt x="506368" y="48233"/>
                                          <a:pt x="512584" y="47502"/>
                                        </a:cubicBezTo>
                                        <a:cubicBezTo>
                                          <a:pt x="540173" y="44256"/>
                                          <a:pt x="568002" y="43543"/>
                                          <a:pt x="595711" y="41564"/>
                                        </a:cubicBezTo>
                                        <a:cubicBezTo>
                                          <a:pt x="650537" y="5014"/>
                                          <a:pt x="583096" y="51656"/>
                                          <a:pt x="625399" y="17813"/>
                                        </a:cubicBezTo>
                                        <a:cubicBezTo>
                                          <a:pt x="630971" y="13355"/>
                                          <a:pt x="637274" y="9896"/>
                                          <a:pt x="643212" y="5938"/>
                                        </a:cubicBezTo>
                                        <a:cubicBezTo>
                                          <a:pt x="668942" y="7917"/>
                                          <a:pt x="697320" y="335"/>
                                          <a:pt x="720402" y="11876"/>
                                        </a:cubicBezTo>
                                        <a:cubicBezTo>
                                          <a:pt x="747654" y="25502"/>
                                          <a:pt x="698402" y="52271"/>
                                          <a:pt x="696651" y="53439"/>
                                        </a:cubicBezTo>
                                        <a:cubicBezTo>
                                          <a:pt x="670921" y="51460"/>
                                          <a:pt x="644952" y="51527"/>
                                          <a:pt x="619462" y="47502"/>
                                        </a:cubicBezTo>
                                        <a:cubicBezTo>
                                          <a:pt x="607097" y="45550"/>
                                          <a:pt x="595980" y="38662"/>
                                          <a:pt x="583836" y="35626"/>
                                        </a:cubicBezTo>
                                        <a:cubicBezTo>
                                          <a:pt x="575919" y="33647"/>
                                          <a:pt x="567932" y="31931"/>
                                          <a:pt x="560085" y="29689"/>
                                        </a:cubicBezTo>
                                        <a:cubicBezTo>
                                          <a:pt x="554067" y="27970"/>
                                          <a:pt x="548476" y="24578"/>
                                          <a:pt x="542272" y="23751"/>
                                        </a:cubicBezTo>
                                        <a:cubicBezTo>
                                          <a:pt x="518648" y="20601"/>
                                          <a:pt x="494771" y="19792"/>
                                          <a:pt x="471020" y="17813"/>
                                        </a:cubicBezTo>
                                        <a:cubicBezTo>
                                          <a:pt x="428188" y="3537"/>
                                          <a:pt x="444200" y="6376"/>
                                          <a:pt x="364142" y="17813"/>
                                        </a:cubicBezTo>
                                        <a:cubicBezTo>
                                          <a:pt x="351750" y="19583"/>
                                          <a:pt x="340391" y="25731"/>
                                          <a:pt x="328516" y="29689"/>
                                        </a:cubicBezTo>
                                        <a:lnTo>
                                          <a:pt x="310703" y="35626"/>
                                        </a:lnTo>
                                        <a:cubicBezTo>
                                          <a:pt x="263202" y="33647"/>
                                          <a:pt x="215612" y="33201"/>
                                          <a:pt x="168199" y="29689"/>
                                        </a:cubicBezTo>
                                        <a:cubicBezTo>
                                          <a:pt x="161957" y="29227"/>
                                          <a:pt x="156458" y="25269"/>
                                          <a:pt x="150386" y="23751"/>
                                        </a:cubicBezTo>
                                        <a:cubicBezTo>
                                          <a:pt x="140595" y="21303"/>
                                          <a:pt x="130594" y="19792"/>
                                          <a:pt x="120698" y="17813"/>
                                        </a:cubicBezTo>
                                        <a:cubicBezTo>
                                          <a:pt x="109310" y="18626"/>
                                          <a:pt x="40428" y="9789"/>
                                          <a:pt x="19758" y="35626"/>
                                        </a:cubicBezTo>
                                        <a:cubicBezTo>
                                          <a:pt x="-41930" y="112734"/>
                                          <a:pt x="66527" y="728"/>
                                          <a:pt x="1945" y="65315"/>
                                        </a:cubicBezTo>
                                        <a:cubicBezTo>
                                          <a:pt x="21737" y="67294"/>
                                          <a:pt x="41662" y="68228"/>
                                          <a:pt x="61321" y="71252"/>
                                        </a:cubicBezTo>
                                        <a:cubicBezTo>
                                          <a:pt x="67507" y="72204"/>
                                          <a:pt x="72875" y="77190"/>
                                          <a:pt x="79134" y="77190"/>
                                        </a:cubicBezTo>
                                        <a:cubicBezTo>
                                          <a:pt x="85393" y="77190"/>
                                          <a:pt x="91009" y="73231"/>
                                          <a:pt x="96947" y="71252"/>
                                        </a:cubicBezTo>
                                        <a:cubicBezTo>
                                          <a:pt x="106843" y="61356"/>
                                          <a:pt x="113359" y="45990"/>
                                          <a:pt x="126636" y="41564"/>
                                        </a:cubicBezTo>
                                        <a:cubicBezTo>
                                          <a:pt x="132574" y="39585"/>
                                          <a:pt x="138411" y="37273"/>
                                          <a:pt x="144449" y="35626"/>
                                        </a:cubicBezTo>
                                        <a:cubicBezTo>
                                          <a:pt x="168068" y="29185"/>
                                          <a:pt x="191950" y="23751"/>
                                          <a:pt x="215700" y="17813"/>
                                        </a:cubicBezTo>
                                        <a:cubicBezTo>
                                          <a:pt x="234997" y="12988"/>
                                          <a:pt x="255285" y="13855"/>
                                          <a:pt x="275077" y="11876"/>
                                        </a:cubicBezTo>
                                        <a:cubicBezTo>
                                          <a:pt x="322578" y="13855"/>
                                          <a:pt x="370168" y="14301"/>
                                          <a:pt x="417581" y="17813"/>
                                        </a:cubicBezTo>
                                        <a:cubicBezTo>
                                          <a:pt x="423823" y="18275"/>
                                          <a:pt x="429376" y="22031"/>
                                          <a:pt x="435394" y="23751"/>
                                        </a:cubicBezTo>
                                        <a:cubicBezTo>
                                          <a:pt x="443241" y="25993"/>
                                          <a:pt x="451116" y="28229"/>
                                          <a:pt x="459145" y="29689"/>
                                        </a:cubicBezTo>
                                        <a:cubicBezTo>
                                          <a:pt x="472914" y="32192"/>
                                          <a:pt x="486854" y="33647"/>
                                          <a:pt x="500708" y="35626"/>
                                        </a:cubicBezTo>
                                        <a:cubicBezTo>
                                          <a:pt x="506646" y="37605"/>
                                          <a:pt x="518521" y="35305"/>
                                          <a:pt x="518521" y="41564"/>
                                        </a:cubicBezTo>
                                        <a:cubicBezTo>
                                          <a:pt x="518521" y="47823"/>
                                          <a:pt x="506967" y="47502"/>
                                          <a:pt x="500708" y="47502"/>
                                        </a:cubicBezTo>
                                        <a:cubicBezTo>
                                          <a:pt x="474902" y="47502"/>
                                          <a:pt x="449249" y="43543"/>
                                          <a:pt x="423519" y="41564"/>
                                        </a:cubicBezTo>
                                        <a:cubicBezTo>
                                          <a:pt x="414356" y="39273"/>
                                          <a:pt x="377622" y="29689"/>
                                          <a:pt x="370080" y="29689"/>
                                        </a:cubicBezTo>
                                        <a:cubicBezTo>
                                          <a:pt x="352157" y="29689"/>
                                          <a:pt x="334454" y="33647"/>
                                          <a:pt x="316641" y="35626"/>
                                        </a:cubicBezTo>
                                        <a:cubicBezTo>
                                          <a:pt x="322579" y="37605"/>
                                          <a:pt x="328856" y="38765"/>
                                          <a:pt x="334454" y="41564"/>
                                        </a:cubicBezTo>
                                        <a:cubicBezTo>
                                          <a:pt x="340837" y="44755"/>
                                          <a:pt x="345132" y="53287"/>
                                          <a:pt x="352267" y="53439"/>
                                        </a:cubicBezTo>
                                        <a:lnTo>
                                          <a:pt x="613524" y="47502"/>
                                        </a:lnTo>
                                        <a:cubicBezTo>
                                          <a:pt x="667339" y="11625"/>
                                          <a:pt x="634936" y="22459"/>
                                          <a:pt x="714464" y="29689"/>
                                        </a:cubicBezTo>
                                        <a:cubicBezTo>
                                          <a:pt x="708526" y="33647"/>
                                          <a:pt x="703574" y="39833"/>
                                          <a:pt x="696651" y="41564"/>
                                        </a:cubicBezTo>
                                        <a:cubicBezTo>
                                          <a:pt x="679263" y="45911"/>
                                          <a:pt x="660891" y="44556"/>
                                          <a:pt x="643212" y="47502"/>
                                        </a:cubicBezTo>
                                        <a:cubicBezTo>
                                          <a:pt x="637038" y="48531"/>
                                          <a:pt x="631337" y="51460"/>
                                          <a:pt x="625399" y="53439"/>
                                        </a:cubicBezTo>
                                        <a:cubicBezTo>
                                          <a:pt x="599669" y="51460"/>
                                          <a:pt x="573816" y="50703"/>
                                          <a:pt x="548210" y="47502"/>
                                        </a:cubicBezTo>
                                        <a:cubicBezTo>
                                          <a:pt x="541999" y="46726"/>
                                          <a:pt x="536415" y="43284"/>
                                          <a:pt x="530397" y="41564"/>
                                        </a:cubicBezTo>
                                        <a:cubicBezTo>
                                          <a:pt x="467565" y="23611"/>
                                          <a:pt x="555706" y="51979"/>
                                          <a:pt x="471020" y="23751"/>
                                        </a:cubicBezTo>
                                        <a:cubicBezTo>
                                          <a:pt x="459599" y="19944"/>
                                          <a:pt x="447146" y="20425"/>
                                          <a:pt x="435394" y="17813"/>
                                        </a:cubicBezTo>
                                        <a:cubicBezTo>
                                          <a:pt x="429284" y="16455"/>
                                          <a:pt x="423691" y="13234"/>
                                          <a:pt x="417581" y="11876"/>
                                        </a:cubicBezTo>
                                        <a:cubicBezTo>
                                          <a:pt x="402748" y="8580"/>
                                          <a:pt x="353654" y="1895"/>
                                          <a:pt x="340391" y="0"/>
                                        </a:cubicBezTo>
                                        <a:lnTo>
                                          <a:pt x="251326" y="5938"/>
                                        </a:lnTo>
                                        <a:cubicBezTo>
                                          <a:pt x="209780" y="8246"/>
                                          <a:pt x="168114" y="8558"/>
                                          <a:pt x="126636" y="11876"/>
                                        </a:cubicBezTo>
                                        <a:cubicBezTo>
                                          <a:pt x="118501" y="12527"/>
                                          <a:pt x="110851" y="16043"/>
                                          <a:pt x="102885" y="17813"/>
                                        </a:cubicBezTo>
                                        <a:cubicBezTo>
                                          <a:pt x="93033" y="20002"/>
                                          <a:pt x="82933" y="21096"/>
                                          <a:pt x="73197" y="23751"/>
                                        </a:cubicBezTo>
                                        <a:cubicBezTo>
                                          <a:pt x="61120" y="27045"/>
                                          <a:pt x="37571" y="35626"/>
                                          <a:pt x="37571" y="35626"/>
                                        </a:cubicBezTo>
                                        <a:cubicBezTo>
                                          <a:pt x="33612" y="41564"/>
                                          <a:pt x="23964" y="46516"/>
                                          <a:pt x="25695" y="53439"/>
                                        </a:cubicBezTo>
                                        <a:cubicBezTo>
                                          <a:pt x="27213" y="59511"/>
                                          <a:pt x="37249" y="59377"/>
                                          <a:pt x="43508" y="59377"/>
                                        </a:cubicBezTo>
                                        <a:cubicBezTo>
                                          <a:pt x="55547" y="59377"/>
                                          <a:pt x="67259" y="55418"/>
                                          <a:pt x="79134" y="53439"/>
                                        </a:cubicBezTo>
                                        <a:cubicBezTo>
                                          <a:pt x="72349" y="48916"/>
                                          <a:pt x="50293" y="26296"/>
                                          <a:pt x="43508" y="53439"/>
                                        </a:cubicBezTo>
                                        <a:cubicBezTo>
                                          <a:pt x="41000" y="63472"/>
                                          <a:pt x="71101" y="70553"/>
                                          <a:pt x="73197" y="71252"/>
                                        </a:cubicBezTo>
                                        <a:cubicBezTo>
                                          <a:pt x="85072" y="69273"/>
                                          <a:pt x="97143" y="68235"/>
                                          <a:pt x="108823" y="65315"/>
                                        </a:cubicBezTo>
                                        <a:cubicBezTo>
                                          <a:pt x="120967" y="62279"/>
                                          <a:pt x="132574" y="57397"/>
                                          <a:pt x="144449" y="53439"/>
                                        </a:cubicBezTo>
                                        <a:cubicBezTo>
                                          <a:pt x="150387" y="51460"/>
                                          <a:pt x="156005" y="47651"/>
                                          <a:pt x="162262" y="47502"/>
                                        </a:cubicBezTo>
                                        <a:lnTo>
                                          <a:pt x="411643" y="41564"/>
                                        </a:lnTo>
                                        <a:cubicBezTo>
                                          <a:pt x="418833" y="19996"/>
                                          <a:pt x="411322" y="23751"/>
                                          <a:pt x="429456" y="23751"/>
                                        </a:cubicBezTo>
                                      </a:path>
                                    </a:pathLst>
                                  </a:custGeom>
                                  <a:solidFill>
                                    <a:schemeClr val="bg2">
                                      <a:lumMod val="9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reeform 301"/>
                                <wps:cNvSpPr/>
                                <wps:spPr>
                                  <a:xfrm>
                                    <a:off x="59376" y="17813"/>
                                    <a:ext cx="648793" cy="47502"/>
                                  </a:xfrm>
                                  <a:custGeom>
                                    <a:avLst/>
                                    <a:gdLst>
                                      <a:gd name="connsiteX0" fmla="*/ 29689 w 648793"/>
                                      <a:gd name="connsiteY0" fmla="*/ 17813 h 47502"/>
                                      <a:gd name="connsiteX1" fmla="*/ 65315 w 648793"/>
                                      <a:gd name="connsiteY1" fmla="*/ 11876 h 47502"/>
                                      <a:gd name="connsiteX2" fmla="*/ 83128 w 648793"/>
                                      <a:gd name="connsiteY2" fmla="*/ 5938 h 47502"/>
                                      <a:gd name="connsiteX3" fmla="*/ 124691 w 648793"/>
                                      <a:gd name="connsiteY3" fmla="*/ 0 h 47502"/>
                                      <a:gd name="connsiteX4" fmla="*/ 213756 w 648793"/>
                                      <a:gd name="connsiteY4" fmla="*/ 5938 h 47502"/>
                                      <a:gd name="connsiteX5" fmla="*/ 231569 w 648793"/>
                                      <a:gd name="connsiteY5" fmla="*/ 11876 h 47502"/>
                                      <a:gd name="connsiteX6" fmla="*/ 320634 w 648793"/>
                                      <a:gd name="connsiteY6" fmla="*/ 23751 h 47502"/>
                                      <a:gd name="connsiteX7" fmla="*/ 344385 w 648793"/>
                                      <a:gd name="connsiteY7" fmla="*/ 29689 h 47502"/>
                                      <a:gd name="connsiteX8" fmla="*/ 516577 w 648793"/>
                                      <a:gd name="connsiteY8" fmla="*/ 41564 h 47502"/>
                                      <a:gd name="connsiteX9" fmla="*/ 540328 w 648793"/>
                                      <a:gd name="connsiteY9" fmla="*/ 47502 h 47502"/>
                                      <a:gd name="connsiteX10" fmla="*/ 593766 w 648793"/>
                                      <a:gd name="connsiteY10" fmla="*/ 35626 h 47502"/>
                                      <a:gd name="connsiteX11" fmla="*/ 611579 w 648793"/>
                                      <a:gd name="connsiteY11" fmla="*/ 23751 h 47502"/>
                                      <a:gd name="connsiteX12" fmla="*/ 629392 w 648793"/>
                                      <a:gd name="connsiteY12" fmla="*/ 17813 h 47502"/>
                                      <a:gd name="connsiteX13" fmla="*/ 647205 w 648793"/>
                                      <a:gd name="connsiteY13" fmla="*/ 5938 h 47502"/>
                                      <a:gd name="connsiteX14" fmla="*/ 581891 w 648793"/>
                                      <a:gd name="connsiteY14" fmla="*/ 11876 h 47502"/>
                                      <a:gd name="connsiteX15" fmla="*/ 570016 w 648793"/>
                                      <a:gd name="connsiteY15" fmla="*/ 29689 h 47502"/>
                                      <a:gd name="connsiteX16" fmla="*/ 498764 w 648793"/>
                                      <a:gd name="connsiteY16" fmla="*/ 29689 h 47502"/>
                                      <a:gd name="connsiteX17" fmla="*/ 463138 w 648793"/>
                                      <a:gd name="connsiteY17" fmla="*/ 17813 h 47502"/>
                                      <a:gd name="connsiteX18" fmla="*/ 445325 w 648793"/>
                                      <a:gd name="connsiteY18" fmla="*/ 11876 h 47502"/>
                                      <a:gd name="connsiteX19" fmla="*/ 35626 w 648793"/>
                                      <a:gd name="connsiteY19" fmla="*/ 17813 h 47502"/>
                                      <a:gd name="connsiteX20" fmla="*/ 0 w 648793"/>
                                      <a:gd name="connsiteY20" fmla="*/ 29689 h 47502"/>
                                      <a:gd name="connsiteX21" fmla="*/ 29689 w 648793"/>
                                      <a:gd name="connsiteY21" fmla="*/ 17813 h 475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648793" h="47502">
                                        <a:moveTo>
                                          <a:pt x="29689" y="17813"/>
                                        </a:moveTo>
                                        <a:cubicBezTo>
                                          <a:pt x="41564" y="15834"/>
                                          <a:pt x="53563" y="14488"/>
                                          <a:pt x="65315" y="11876"/>
                                        </a:cubicBezTo>
                                        <a:cubicBezTo>
                                          <a:pt x="71425" y="10518"/>
                                          <a:pt x="76991" y="7166"/>
                                          <a:pt x="83128" y="5938"/>
                                        </a:cubicBezTo>
                                        <a:cubicBezTo>
                                          <a:pt x="96851" y="3193"/>
                                          <a:pt x="110837" y="1979"/>
                                          <a:pt x="124691" y="0"/>
                                        </a:cubicBezTo>
                                        <a:cubicBezTo>
                                          <a:pt x="154379" y="1979"/>
                                          <a:pt x="184184" y="2652"/>
                                          <a:pt x="213756" y="5938"/>
                                        </a:cubicBezTo>
                                        <a:cubicBezTo>
                                          <a:pt x="219977" y="6629"/>
                                          <a:pt x="225459" y="10518"/>
                                          <a:pt x="231569" y="11876"/>
                                        </a:cubicBezTo>
                                        <a:cubicBezTo>
                                          <a:pt x="258212" y="17797"/>
                                          <a:pt x="294920" y="20894"/>
                                          <a:pt x="320634" y="23751"/>
                                        </a:cubicBezTo>
                                        <a:cubicBezTo>
                                          <a:pt x="328551" y="25730"/>
                                          <a:pt x="336335" y="28347"/>
                                          <a:pt x="344385" y="29689"/>
                                        </a:cubicBezTo>
                                        <a:cubicBezTo>
                                          <a:pt x="402091" y="39306"/>
                                          <a:pt x="457007" y="38727"/>
                                          <a:pt x="516577" y="41564"/>
                                        </a:cubicBezTo>
                                        <a:cubicBezTo>
                                          <a:pt x="524494" y="43543"/>
                                          <a:pt x="532167" y="47502"/>
                                          <a:pt x="540328" y="47502"/>
                                        </a:cubicBezTo>
                                        <a:cubicBezTo>
                                          <a:pt x="549451" y="47502"/>
                                          <a:pt x="581520" y="41749"/>
                                          <a:pt x="593766" y="35626"/>
                                        </a:cubicBezTo>
                                        <a:cubicBezTo>
                                          <a:pt x="600149" y="32435"/>
                                          <a:pt x="605196" y="26942"/>
                                          <a:pt x="611579" y="23751"/>
                                        </a:cubicBezTo>
                                        <a:cubicBezTo>
                                          <a:pt x="617177" y="20952"/>
                                          <a:pt x="623794" y="20612"/>
                                          <a:pt x="629392" y="17813"/>
                                        </a:cubicBezTo>
                                        <a:cubicBezTo>
                                          <a:pt x="635775" y="14622"/>
                                          <a:pt x="654286" y="6823"/>
                                          <a:pt x="647205" y="5938"/>
                                        </a:cubicBezTo>
                                        <a:cubicBezTo>
                                          <a:pt x="625513" y="3227"/>
                                          <a:pt x="603662" y="9897"/>
                                          <a:pt x="581891" y="11876"/>
                                        </a:cubicBezTo>
                                        <a:cubicBezTo>
                                          <a:pt x="577933" y="17814"/>
                                          <a:pt x="575588" y="25231"/>
                                          <a:pt x="570016" y="29689"/>
                                        </a:cubicBezTo>
                                        <a:cubicBezTo>
                                          <a:pt x="553034" y="43274"/>
                                          <a:pt x="507354" y="30643"/>
                                          <a:pt x="498764" y="29689"/>
                                        </a:cubicBezTo>
                                        <a:lnTo>
                                          <a:pt x="463138" y="17813"/>
                                        </a:lnTo>
                                        <a:lnTo>
                                          <a:pt x="445325" y="11876"/>
                                        </a:lnTo>
                                        <a:cubicBezTo>
                                          <a:pt x="308759" y="13855"/>
                                          <a:pt x="172098" y="12354"/>
                                          <a:pt x="35626" y="17813"/>
                                        </a:cubicBezTo>
                                        <a:cubicBezTo>
                                          <a:pt x="23118" y="18313"/>
                                          <a:pt x="12518" y="29689"/>
                                          <a:pt x="0" y="29689"/>
                                        </a:cubicBezTo>
                                        <a:lnTo>
                                          <a:pt x="29689" y="17813"/>
                                        </a:lnTo>
                                        <a:close/>
                                      </a:path>
                                    </a:pathLst>
                                  </a:custGeom>
                                  <a:solidFill>
                                    <a:schemeClr val="bg2">
                                      <a:lumMod val="9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2" name="Oval 302"/>
                              <wps:cNvSpPr/>
                              <wps:spPr>
                                <a:xfrm>
                                  <a:off x="71252" y="17813"/>
                                  <a:ext cx="45085" cy="45085"/>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Text Box 2"/>
                            <wps:cNvSpPr txBox="1">
                              <a:spLocks noChangeArrowheads="1"/>
                            </wps:cNvSpPr>
                            <wps:spPr bwMode="auto">
                              <a:xfrm>
                                <a:off x="0" y="273054"/>
                                <a:ext cx="1151890" cy="248920"/>
                              </a:xfrm>
                              <a:prstGeom prst="rect">
                                <a:avLst/>
                              </a:prstGeom>
                              <a:solidFill>
                                <a:srgbClr val="FFFFFF"/>
                              </a:solidFill>
                              <a:ln w="9525">
                                <a:noFill/>
                                <a:miter lim="800000"/>
                                <a:headEnd/>
                                <a:tailEnd/>
                              </a:ln>
                            </wps:spPr>
                            <wps:txbx>
                              <w:txbxContent>
                                <w:p w:rsidR="004166BC" w:rsidRPr="00E84998" w:rsidRDefault="004166BC" w:rsidP="00E84998">
                                  <w:pPr>
                                    <w:rPr>
                                      <w:b/>
                                      <w:color w:val="C00000"/>
                                      <w:sz w:val="16"/>
                                      <w:szCs w:val="16"/>
                                    </w:rPr>
                                  </w:pPr>
                                  <w:r w:rsidRPr="00E84998">
                                    <w:rPr>
                                      <w:b/>
                                      <w:color w:val="C00000"/>
                                      <w:sz w:val="16"/>
                                      <w:szCs w:val="16"/>
                                    </w:rPr>
                                    <w:t>Bone marrow</w:t>
                                  </w:r>
                                </w:p>
                              </w:txbxContent>
                            </wps:txbx>
                            <wps:bodyPr rot="0" vert="horz" wrap="square" lIns="91440" tIns="45720" rIns="91440" bIns="45720" anchor="t" anchorCtr="0">
                              <a:noAutofit/>
                            </wps:bodyPr>
                          </wps:wsp>
                          <wpg:grpSp>
                            <wpg:cNvPr id="122" name="Group 122"/>
                            <wpg:cNvGrpSpPr/>
                            <wpg:grpSpPr>
                              <a:xfrm>
                                <a:off x="1211279" y="278996"/>
                                <a:ext cx="4310600" cy="1895673"/>
                                <a:chOff x="-65318" y="-75"/>
                                <a:chExt cx="4310600" cy="1895673"/>
                              </a:xfrm>
                            </wpg:grpSpPr>
                            <wps:wsp>
                              <wps:cNvPr id="315" name="Oval 315"/>
                              <wps:cNvSpPr/>
                              <wps:spPr>
                                <a:xfrm>
                                  <a:off x="3532909" y="1163782"/>
                                  <a:ext cx="527685" cy="260985"/>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Text Box 2"/>
                              <wps:cNvSpPr txBox="1">
                                <a:spLocks noChangeArrowheads="1"/>
                              </wps:cNvSpPr>
                              <wps:spPr bwMode="auto">
                                <a:xfrm>
                                  <a:off x="1793155" y="760062"/>
                                  <a:ext cx="544195" cy="248920"/>
                                </a:xfrm>
                                <a:prstGeom prst="rect">
                                  <a:avLst/>
                                </a:prstGeom>
                                <a:solidFill>
                                  <a:srgbClr val="FFFFFF"/>
                                </a:solidFill>
                                <a:ln w="9525">
                                  <a:noFill/>
                                  <a:miter lim="800000"/>
                                  <a:headEnd/>
                                  <a:tailEnd/>
                                </a:ln>
                              </wps:spPr>
                              <wps:txbx>
                                <w:txbxContent>
                                  <w:p w:rsidR="004166BC" w:rsidRPr="009B6152" w:rsidRDefault="004166BC" w:rsidP="00B67BBF">
                                    <w:pPr>
                                      <w:rPr>
                                        <w:sz w:val="12"/>
                                        <w:szCs w:val="12"/>
                                      </w:rPr>
                                    </w:pPr>
                                    <w:r w:rsidRPr="009B6152">
                                      <w:rPr>
                                        <w:sz w:val="12"/>
                                        <w:szCs w:val="12"/>
                                      </w:rPr>
                                      <w:t>Osteoid</w:t>
                                    </w:r>
                                  </w:p>
                                </w:txbxContent>
                              </wps:txbx>
                              <wps:bodyPr rot="0" vert="horz" wrap="square" lIns="91440" tIns="45720" rIns="91440" bIns="45720" anchor="t" anchorCtr="0">
                                <a:noAutofit/>
                              </wps:bodyPr>
                            </wps:wsp>
                            <wps:wsp>
                              <wps:cNvPr id="107" name="Text Box 2"/>
                              <wps:cNvSpPr txBox="1">
                                <a:spLocks noChangeArrowheads="1"/>
                              </wps:cNvSpPr>
                              <wps:spPr bwMode="auto">
                                <a:xfrm>
                                  <a:off x="890620" y="1050704"/>
                                  <a:ext cx="1074702" cy="248920"/>
                                </a:xfrm>
                                <a:prstGeom prst="rect">
                                  <a:avLst/>
                                </a:prstGeom>
                                <a:solidFill>
                                  <a:srgbClr val="FFFFFF"/>
                                </a:solidFill>
                                <a:ln w="9525">
                                  <a:noFill/>
                                  <a:miter lim="800000"/>
                                  <a:headEnd/>
                                  <a:tailEnd/>
                                </a:ln>
                              </wps:spPr>
                              <wps:txbx>
                                <w:txbxContent>
                                  <w:p w:rsidR="004166BC" w:rsidRPr="00E84998" w:rsidRDefault="004166BC" w:rsidP="009B6152">
                                    <w:pPr>
                                      <w:rPr>
                                        <w:color w:val="002060"/>
                                        <w:sz w:val="16"/>
                                        <w:szCs w:val="16"/>
                                      </w:rPr>
                                    </w:pPr>
                                    <w:r w:rsidRPr="00E3570E">
                                      <w:rPr>
                                        <w:b/>
                                        <w:color w:val="002060"/>
                                        <w:sz w:val="16"/>
                                        <w:szCs w:val="16"/>
                                      </w:rPr>
                                      <w:t>ii)</w:t>
                                    </w:r>
                                    <w:r>
                                      <w:rPr>
                                        <w:color w:val="002060"/>
                                        <w:sz w:val="16"/>
                                        <w:szCs w:val="16"/>
                                      </w:rPr>
                                      <w:t xml:space="preserve"> </w:t>
                                    </w:r>
                                    <w:r w:rsidRPr="00E3570E">
                                      <w:rPr>
                                        <w:b/>
                                        <w:color w:val="002060"/>
                                        <w:sz w:val="16"/>
                                        <w:szCs w:val="16"/>
                                      </w:rPr>
                                      <w:t>Osteocyte lineage</w:t>
                                    </w:r>
                                  </w:p>
                                </w:txbxContent>
                              </wps:txbx>
                              <wps:bodyPr rot="0" vert="horz" wrap="square" lIns="91440" tIns="45720" rIns="91440" bIns="45720" anchor="t" anchorCtr="0">
                                <a:noAutofit/>
                              </wps:bodyPr>
                            </wps:wsp>
                            <wps:wsp>
                              <wps:cNvPr id="104" name="Text Box 2"/>
                              <wps:cNvSpPr txBox="1">
                                <a:spLocks noChangeArrowheads="1"/>
                              </wps:cNvSpPr>
                              <wps:spPr bwMode="auto">
                                <a:xfrm>
                                  <a:off x="3479472" y="623475"/>
                                  <a:ext cx="765810" cy="296545"/>
                                </a:xfrm>
                                <a:prstGeom prst="rect">
                                  <a:avLst/>
                                </a:prstGeom>
                                <a:solidFill>
                                  <a:srgbClr val="FFFFFF"/>
                                </a:solidFill>
                                <a:ln w="9525">
                                  <a:noFill/>
                                  <a:miter lim="800000"/>
                                  <a:headEnd/>
                                  <a:tailEnd/>
                                </a:ln>
                              </wps:spPr>
                              <wps:txbx>
                                <w:txbxContent>
                                  <w:p w:rsidR="004166BC" w:rsidRPr="00B67BBF" w:rsidRDefault="004166BC" w:rsidP="00B67BBF">
                                    <w:pPr>
                                      <w:rPr>
                                        <w:sz w:val="12"/>
                                        <w:szCs w:val="12"/>
                                      </w:rPr>
                                    </w:pPr>
                                    <w:r>
                                      <w:rPr>
                                        <w:sz w:val="12"/>
                                        <w:szCs w:val="12"/>
                                      </w:rPr>
                                      <w:t xml:space="preserve">Mineralised </w:t>
                                    </w:r>
                                    <w:r w:rsidRPr="00B67BBF">
                                      <w:rPr>
                                        <w:sz w:val="12"/>
                                        <w:szCs w:val="12"/>
                                      </w:rPr>
                                      <w:t>bone</w:t>
                                    </w:r>
                                  </w:p>
                                </w:txbxContent>
                              </wps:txbx>
                              <wps:bodyPr rot="0" vert="horz" wrap="square" lIns="91440" tIns="45720" rIns="91440" bIns="45720" anchor="t" anchorCtr="0">
                                <a:noAutofit/>
                              </wps:bodyPr>
                            </wps:wsp>
                            <wps:wsp>
                              <wps:cNvPr id="99" name="Text Box 99"/>
                              <wps:cNvSpPr txBox="1"/>
                              <wps:spPr>
                                <a:xfrm>
                                  <a:off x="1876301" y="914400"/>
                                  <a:ext cx="807085" cy="640715"/>
                                </a:xfrm>
                                <a:prstGeom prst="rect">
                                  <a:avLst/>
                                </a:prstGeom>
                                <a:solidFill>
                                  <a:srgbClr val="F6F4A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6BC" w:rsidRPr="004F7B64" w:rsidRDefault="004166BC" w:rsidP="00B67BBF">
                                    <w:pPr>
                                      <w:jc w:val="center"/>
                                      <w:rPr>
                                        <w:color w:val="31849B" w:themeColor="accent5" w:themeShade="BF"/>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Freeform 314"/>
                              <wps:cNvSpPr/>
                              <wps:spPr>
                                <a:xfrm>
                                  <a:off x="2012867" y="1015340"/>
                                  <a:ext cx="518795" cy="541020"/>
                                </a:xfrm>
                                <a:custGeom>
                                  <a:avLst/>
                                  <a:gdLst>
                                    <a:gd name="connsiteX0" fmla="*/ 20195 w 518959"/>
                                    <a:gd name="connsiteY0" fmla="*/ 220927 h 541561"/>
                                    <a:gd name="connsiteX1" fmla="*/ 38008 w 518959"/>
                                    <a:gd name="connsiteY1" fmla="*/ 191239 h 541561"/>
                                    <a:gd name="connsiteX2" fmla="*/ 38008 w 518959"/>
                                    <a:gd name="connsiteY2" fmla="*/ 60610 h 541561"/>
                                    <a:gd name="connsiteX3" fmla="*/ 79572 w 518959"/>
                                    <a:gd name="connsiteY3" fmla="*/ 13109 h 541561"/>
                                    <a:gd name="connsiteX4" fmla="*/ 91447 w 518959"/>
                                    <a:gd name="connsiteY4" fmla="*/ 48735 h 541561"/>
                                    <a:gd name="connsiteX5" fmla="*/ 115198 w 518959"/>
                                    <a:gd name="connsiteY5" fmla="*/ 119987 h 541561"/>
                                    <a:gd name="connsiteX6" fmla="*/ 121136 w 518959"/>
                                    <a:gd name="connsiteY6" fmla="*/ 143738 h 541561"/>
                                    <a:gd name="connsiteX7" fmla="*/ 138949 w 518959"/>
                                    <a:gd name="connsiteY7" fmla="*/ 155613 h 541561"/>
                                    <a:gd name="connsiteX8" fmla="*/ 168637 w 518959"/>
                                    <a:gd name="connsiteY8" fmla="*/ 149675 h 541561"/>
                                    <a:gd name="connsiteX9" fmla="*/ 174575 w 518959"/>
                                    <a:gd name="connsiteY9" fmla="*/ 131862 h 541561"/>
                                    <a:gd name="connsiteX10" fmla="*/ 180512 w 518959"/>
                                    <a:gd name="connsiteY10" fmla="*/ 102174 h 541561"/>
                                    <a:gd name="connsiteX11" fmla="*/ 204263 w 518959"/>
                                    <a:gd name="connsiteY11" fmla="*/ 66548 h 541561"/>
                                    <a:gd name="connsiteX12" fmla="*/ 245826 w 518959"/>
                                    <a:gd name="connsiteY12" fmla="*/ 72486 h 541561"/>
                                    <a:gd name="connsiteX13" fmla="*/ 269577 w 518959"/>
                                    <a:gd name="connsiteY13" fmla="*/ 125925 h 541561"/>
                                    <a:gd name="connsiteX14" fmla="*/ 305203 w 518959"/>
                                    <a:gd name="connsiteY14" fmla="*/ 137800 h 541561"/>
                                    <a:gd name="connsiteX15" fmla="*/ 346767 w 518959"/>
                                    <a:gd name="connsiteY15" fmla="*/ 119987 h 541561"/>
                                    <a:gd name="connsiteX16" fmla="*/ 352704 w 518959"/>
                                    <a:gd name="connsiteY16" fmla="*/ 102174 h 541561"/>
                                    <a:gd name="connsiteX17" fmla="*/ 376455 w 518959"/>
                                    <a:gd name="connsiteY17" fmla="*/ 66548 h 541561"/>
                                    <a:gd name="connsiteX18" fmla="*/ 400206 w 518959"/>
                                    <a:gd name="connsiteY18" fmla="*/ 72486 h 541561"/>
                                    <a:gd name="connsiteX19" fmla="*/ 418019 w 518959"/>
                                    <a:gd name="connsiteY19" fmla="*/ 137800 h 541561"/>
                                    <a:gd name="connsiteX20" fmla="*/ 435832 w 518959"/>
                                    <a:gd name="connsiteY20" fmla="*/ 173426 h 541561"/>
                                    <a:gd name="connsiteX21" fmla="*/ 453645 w 518959"/>
                                    <a:gd name="connsiteY21" fmla="*/ 161551 h 541561"/>
                                    <a:gd name="connsiteX22" fmla="*/ 459582 w 518959"/>
                                    <a:gd name="connsiteY22" fmla="*/ 143738 h 541561"/>
                                    <a:gd name="connsiteX23" fmla="*/ 465520 w 518959"/>
                                    <a:gd name="connsiteY23" fmla="*/ 96236 h 541561"/>
                                    <a:gd name="connsiteX24" fmla="*/ 483333 w 518959"/>
                                    <a:gd name="connsiteY24" fmla="*/ 36860 h 541561"/>
                                    <a:gd name="connsiteX25" fmla="*/ 501146 w 518959"/>
                                    <a:gd name="connsiteY25" fmla="*/ 30922 h 541561"/>
                                    <a:gd name="connsiteX26" fmla="*/ 513021 w 518959"/>
                                    <a:gd name="connsiteY26" fmla="*/ 48735 h 541561"/>
                                    <a:gd name="connsiteX27" fmla="*/ 518959 w 518959"/>
                                    <a:gd name="connsiteY27" fmla="*/ 66548 h 541561"/>
                                    <a:gd name="connsiteX28" fmla="*/ 513021 w 518959"/>
                                    <a:gd name="connsiteY28" fmla="*/ 226865 h 541561"/>
                                    <a:gd name="connsiteX29" fmla="*/ 507084 w 518959"/>
                                    <a:gd name="connsiteY29" fmla="*/ 321868 h 541561"/>
                                    <a:gd name="connsiteX30" fmla="*/ 501146 w 518959"/>
                                    <a:gd name="connsiteY30" fmla="*/ 345618 h 541561"/>
                                    <a:gd name="connsiteX31" fmla="*/ 495208 w 518959"/>
                                    <a:gd name="connsiteY31" fmla="*/ 381244 h 541561"/>
                                    <a:gd name="connsiteX32" fmla="*/ 489271 w 518959"/>
                                    <a:gd name="connsiteY32" fmla="*/ 529686 h 541561"/>
                                    <a:gd name="connsiteX33" fmla="*/ 483333 w 518959"/>
                                    <a:gd name="connsiteY33" fmla="*/ 494060 h 541561"/>
                                    <a:gd name="connsiteX34" fmla="*/ 465520 w 518959"/>
                                    <a:gd name="connsiteY34" fmla="*/ 416870 h 541561"/>
                                    <a:gd name="connsiteX35" fmla="*/ 447707 w 518959"/>
                                    <a:gd name="connsiteY35" fmla="*/ 410933 h 541561"/>
                                    <a:gd name="connsiteX36" fmla="*/ 423956 w 518959"/>
                                    <a:gd name="connsiteY36" fmla="*/ 381244 h 541561"/>
                                    <a:gd name="connsiteX37" fmla="*/ 406143 w 518959"/>
                                    <a:gd name="connsiteY37" fmla="*/ 387182 h 541561"/>
                                    <a:gd name="connsiteX38" fmla="*/ 388330 w 518959"/>
                                    <a:gd name="connsiteY38" fmla="*/ 422808 h 541561"/>
                                    <a:gd name="connsiteX39" fmla="*/ 382393 w 518959"/>
                                    <a:gd name="connsiteY39" fmla="*/ 446558 h 541561"/>
                                    <a:gd name="connsiteX40" fmla="*/ 352704 w 518959"/>
                                    <a:gd name="connsiteY40" fmla="*/ 464371 h 541561"/>
                                    <a:gd name="connsiteX41" fmla="*/ 334891 w 518959"/>
                                    <a:gd name="connsiteY41" fmla="*/ 476247 h 541561"/>
                                    <a:gd name="connsiteX42" fmla="*/ 323016 w 518959"/>
                                    <a:gd name="connsiteY42" fmla="*/ 464371 h 541561"/>
                                    <a:gd name="connsiteX43" fmla="*/ 328954 w 518959"/>
                                    <a:gd name="connsiteY43" fmla="*/ 428746 h 541561"/>
                                    <a:gd name="connsiteX44" fmla="*/ 269577 w 518959"/>
                                    <a:gd name="connsiteY44" fmla="*/ 422808 h 541561"/>
                                    <a:gd name="connsiteX45" fmla="*/ 263639 w 518959"/>
                                    <a:gd name="connsiteY45" fmla="*/ 440621 h 541561"/>
                                    <a:gd name="connsiteX46" fmla="*/ 257702 w 518959"/>
                                    <a:gd name="connsiteY46" fmla="*/ 499997 h 541561"/>
                                    <a:gd name="connsiteX47" fmla="*/ 251764 w 518959"/>
                                    <a:gd name="connsiteY47" fmla="*/ 523748 h 541561"/>
                                    <a:gd name="connsiteX48" fmla="*/ 216138 w 518959"/>
                                    <a:gd name="connsiteY48" fmla="*/ 535623 h 541561"/>
                                    <a:gd name="connsiteX49" fmla="*/ 198325 w 518959"/>
                                    <a:gd name="connsiteY49" fmla="*/ 541561 h 541561"/>
                                    <a:gd name="connsiteX50" fmla="*/ 180512 w 518959"/>
                                    <a:gd name="connsiteY50" fmla="*/ 535623 h 541561"/>
                                    <a:gd name="connsiteX51" fmla="*/ 174575 w 518959"/>
                                    <a:gd name="connsiteY51" fmla="*/ 458434 h 541561"/>
                                    <a:gd name="connsiteX52" fmla="*/ 186450 w 518959"/>
                                    <a:gd name="connsiteY52" fmla="*/ 440621 h 541561"/>
                                    <a:gd name="connsiteX53" fmla="*/ 180512 w 518959"/>
                                    <a:gd name="connsiteY53" fmla="*/ 393120 h 541561"/>
                                    <a:gd name="connsiteX54" fmla="*/ 162699 w 518959"/>
                                    <a:gd name="connsiteY54" fmla="*/ 387182 h 541561"/>
                                    <a:gd name="connsiteX55" fmla="*/ 121136 w 518959"/>
                                    <a:gd name="connsiteY55" fmla="*/ 393120 h 541561"/>
                                    <a:gd name="connsiteX56" fmla="*/ 85510 w 518959"/>
                                    <a:gd name="connsiteY56" fmla="*/ 416870 h 541561"/>
                                    <a:gd name="connsiteX57" fmla="*/ 43946 w 518959"/>
                                    <a:gd name="connsiteY57" fmla="*/ 428746 h 541561"/>
                                    <a:gd name="connsiteX58" fmla="*/ 26133 w 518959"/>
                                    <a:gd name="connsiteY58" fmla="*/ 440621 h 541561"/>
                                    <a:gd name="connsiteX59" fmla="*/ 20195 w 518959"/>
                                    <a:gd name="connsiteY59" fmla="*/ 369369 h 541561"/>
                                    <a:gd name="connsiteX60" fmla="*/ 43946 w 518959"/>
                                    <a:gd name="connsiteY60" fmla="*/ 345618 h 541561"/>
                                    <a:gd name="connsiteX61" fmla="*/ 49884 w 518959"/>
                                    <a:gd name="connsiteY61" fmla="*/ 327805 h 541561"/>
                                    <a:gd name="connsiteX62" fmla="*/ 14258 w 518959"/>
                                    <a:gd name="connsiteY62" fmla="*/ 315930 h 541561"/>
                                    <a:gd name="connsiteX63" fmla="*/ 14258 w 518959"/>
                                    <a:gd name="connsiteY63" fmla="*/ 250616 h 541561"/>
                                    <a:gd name="connsiteX64" fmla="*/ 26133 w 518959"/>
                                    <a:gd name="connsiteY64" fmla="*/ 232803 h 541561"/>
                                    <a:gd name="connsiteX65" fmla="*/ 32071 w 518959"/>
                                    <a:gd name="connsiteY65" fmla="*/ 214990 h 541561"/>
                                    <a:gd name="connsiteX66" fmla="*/ 20195 w 518959"/>
                                    <a:gd name="connsiteY66" fmla="*/ 220927 h 541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518959" h="541561">
                                      <a:moveTo>
                                        <a:pt x="20195" y="220927"/>
                                      </a:moveTo>
                                      <a:cubicBezTo>
                                        <a:pt x="21184" y="216969"/>
                                        <a:pt x="33321" y="201785"/>
                                        <a:pt x="38008" y="191239"/>
                                      </a:cubicBezTo>
                                      <a:cubicBezTo>
                                        <a:pt x="53861" y="155570"/>
                                        <a:pt x="38885" y="76397"/>
                                        <a:pt x="38008" y="60610"/>
                                      </a:cubicBezTo>
                                      <a:cubicBezTo>
                                        <a:pt x="39583" y="46434"/>
                                        <a:pt x="30091" y="-30188"/>
                                        <a:pt x="79572" y="13109"/>
                                      </a:cubicBezTo>
                                      <a:cubicBezTo>
                                        <a:pt x="88992" y="21352"/>
                                        <a:pt x="87489" y="36860"/>
                                        <a:pt x="91447" y="48735"/>
                                      </a:cubicBezTo>
                                      <a:lnTo>
                                        <a:pt x="115198" y="119987"/>
                                      </a:lnTo>
                                      <a:cubicBezTo>
                                        <a:pt x="117779" y="127729"/>
                                        <a:pt x="116609" y="136948"/>
                                        <a:pt x="121136" y="143738"/>
                                      </a:cubicBezTo>
                                      <a:cubicBezTo>
                                        <a:pt x="125094" y="149676"/>
                                        <a:pt x="133011" y="151655"/>
                                        <a:pt x="138949" y="155613"/>
                                      </a:cubicBezTo>
                                      <a:cubicBezTo>
                                        <a:pt x="148845" y="153634"/>
                                        <a:pt x="160240" y="155273"/>
                                        <a:pt x="168637" y="149675"/>
                                      </a:cubicBezTo>
                                      <a:cubicBezTo>
                                        <a:pt x="173845" y="146203"/>
                                        <a:pt x="173057" y="137934"/>
                                        <a:pt x="174575" y="131862"/>
                                      </a:cubicBezTo>
                                      <a:cubicBezTo>
                                        <a:pt x="177023" y="122071"/>
                                        <a:pt x="178064" y="111965"/>
                                        <a:pt x="180512" y="102174"/>
                                      </a:cubicBezTo>
                                      <a:cubicBezTo>
                                        <a:pt x="186240" y="79260"/>
                                        <a:pt x="185868" y="84943"/>
                                        <a:pt x="204263" y="66548"/>
                                      </a:cubicBezTo>
                                      <a:cubicBezTo>
                                        <a:pt x="218117" y="68527"/>
                                        <a:pt x="234779" y="63894"/>
                                        <a:pt x="245826" y="72486"/>
                                      </a:cubicBezTo>
                                      <a:cubicBezTo>
                                        <a:pt x="276441" y="96298"/>
                                        <a:pt x="241363" y="108291"/>
                                        <a:pt x="269577" y="125925"/>
                                      </a:cubicBezTo>
                                      <a:cubicBezTo>
                                        <a:pt x="280192" y="132559"/>
                                        <a:pt x="305203" y="137800"/>
                                        <a:pt x="305203" y="137800"/>
                                      </a:cubicBezTo>
                                      <a:cubicBezTo>
                                        <a:pt x="324799" y="133880"/>
                                        <a:pt x="336398" y="137269"/>
                                        <a:pt x="346767" y="119987"/>
                                      </a:cubicBezTo>
                                      <a:cubicBezTo>
                                        <a:pt x="349987" y="114620"/>
                                        <a:pt x="349664" y="107645"/>
                                        <a:pt x="352704" y="102174"/>
                                      </a:cubicBezTo>
                                      <a:cubicBezTo>
                                        <a:pt x="359635" y="89698"/>
                                        <a:pt x="376455" y="66548"/>
                                        <a:pt x="376455" y="66548"/>
                                      </a:cubicBezTo>
                                      <a:cubicBezTo>
                                        <a:pt x="384372" y="68527"/>
                                        <a:pt x="393416" y="67959"/>
                                        <a:pt x="400206" y="72486"/>
                                      </a:cubicBezTo>
                                      <a:cubicBezTo>
                                        <a:pt x="418837" y="84907"/>
                                        <a:pt x="415880" y="124963"/>
                                        <a:pt x="418019" y="137800"/>
                                      </a:cubicBezTo>
                                      <a:cubicBezTo>
                                        <a:pt x="422396" y="164065"/>
                                        <a:pt x="420187" y="157782"/>
                                        <a:pt x="435832" y="173426"/>
                                      </a:cubicBezTo>
                                      <a:cubicBezTo>
                                        <a:pt x="441770" y="169468"/>
                                        <a:pt x="449187" y="167123"/>
                                        <a:pt x="453645" y="161551"/>
                                      </a:cubicBezTo>
                                      <a:cubicBezTo>
                                        <a:pt x="457555" y="156664"/>
                                        <a:pt x="458462" y="149896"/>
                                        <a:pt x="459582" y="143738"/>
                                      </a:cubicBezTo>
                                      <a:cubicBezTo>
                                        <a:pt x="462436" y="128038"/>
                                        <a:pt x="462897" y="111976"/>
                                        <a:pt x="465520" y="96236"/>
                                      </a:cubicBezTo>
                                      <a:cubicBezTo>
                                        <a:pt x="468511" y="78294"/>
                                        <a:pt x="478056" y="52691"/>
                                        <a:pt x="483333" y="36860"/>
                                      </a:cubicBezTo>
                                      <a:cubicBezTo>
                                        <a:pt x="485312" y="30922"/>
                                        <a:pt x="495208" y="32901"/>
                                        <a:pt x="501146" y="30922"/>
                                      </a:cubicBezTo>
                                      <a:cubicBezTo>
                                        <a:pt x="505104" y="36860"/>
                                        <a:pt x="509830" y="42352"/>
                                        <a:pt x="513021" y="48735"/>
                                      </a:cubicBezTo>
                                      <a:cubicBezTo>
                                        <a:pt x="515820" y="54333"/>
                                        <a:pt x="518959" y="60289"/>
                                        <a:pt x="518959" y="66548"/>
                                      </a:cubicBezTo>
                                      <a:cubicBezTo>
                                        <a:pt x="518959" y="120024"/>
                                        <a:pt x="515505" y="173447"/>
                                        <a:pt x="513021" y="226865"/>
                                      </a:cubicBezTo>
                                      <a:cubicBezTo>
                                        <a:pt x="511547" y="258560"/>
                                        <a:pt x="510241" y="290296"/>
                                        <a:pt x="507084" y="321868"/>
                                      </a:cubicBezTo>
                                      <a:cubicBezTo>
                                        <a:pt x="506272" y="329988"/>
                                        <a:pt x="502746" y="337616"/>
                                        <a:pt x="501146" y="345618"/>
                                      </a:cubicBezTo>
                                      <a:cubicBezTo>
                                        <a:pt x="498785" y="357423"/>
                                        <a:pt x="497187" y="369369"/>
                                        <a:pt x="495208" y="381244"/>
                                      </a:cubicBezTo>
                                      <a:cubicBezTo>
                                        <a:pt x="493229" y="430725"/>
                                        <a:pt x="494455" y="480438"/>
                                        <a:pt x="489271" y="529686"/>
                                      </a:cubicBezTo>
                                      <a:cubicBezTo>
                                        <a:pt x="488011" y="541659"/>
                                        <a:pt x="485164" y="505959"/>
                                        <a:pt x="483333" y="494060"/>
                                      </a:cubicBezTo>
                                      <a:cubicBezTo>
                                        <a:pt x="474523" y="436800"/>
                                        <a:pt x="482806" y="468728"/>
                                        <a:pt x="465520" y="416870"/>
                                      </a:cubicBezTo>
                                      <a:cubicBezTo>
                                        <a:pt x="463541" y="410932"/>
                                        <a:pt x="453645" y="412912"/>
                                        <a:pt x="447707" y="410933"/>
                                      </a:cubicBezTo>
                                      <a:cubicBezTo>
                                        <a:pt x="446000" y="408372"/>
                                        <a:pt x="430465" y="382546"/>
                                        <a:pt x="423956" y="381244"/>
                                      </a:cubicBezTo>
                                      <a:cubicBezTo>
                                        <a:pt x="417819" y="380016"/>
                                        <a:pt x="412081" y="385203"/>
                                        <a:pt x="406143" y="387182"/>
                                      </a:cubicBezTo>
                                      <a:cubicBezTo>
                                        <a:pt x="393133" y="406697"/>
                                        <a:pt x="394475" y="401300"/>
                                        <a:pt x="388330" y="422808"/>
                                      </a:cubicBezTo>
                                      <a:cubicBezTo>
                                        <a:pt x="386088" y="430654"/>
                                        <a:pt x="386042" y="439259"/>
                                        <a:pt x="382393" y="446558"/>
                                      </a:cubicBezTo>
                                      <a:cubicBezTo>
                                        <a:pt x="375872" y="459600"/>
                                        <a:pt x="364894" y="460308"/>
                                        <a:pt x="352704" y="464371"/>
                                      </a:cubicBezTo>
                                      <a:cubicBezTo>
                                        <a:pt x="346766" y="468330"/>
                                        <a:pt x="342027" y="476247"/>
                                        <a:pt x="334891" y="476247"/>
                                      </a:cubicBezTo>
                                      <a:cubicBezTo>
                                        <a:pt x="329293" y="476247"/>
                                        <a:pt x="323710" y="469926"/>
                                        <a:pt x="323016" y="464371"/>
                                      </a:cubicBezTo>
                                      <a:cubicBezTo>
                                        <a:pt x="321523" y="452425"/>
                                        <a:pt x="326975" y="440621"/>
                                        <a:pt x="328954" y="428746"/>
                                      </a:cubicBezTo>
                                      <a:cubicBezTo>
                                        <a:pt x="309911" y="409703"/>
                                        <a:pt x="310900" y="404442"/>
                                        <a:pt x="269577" y="422808"/>
                                      </a:cubicBezTo>
                                      <a:cubicBezTo>
                                        <a:pt x="263858" y="425350"/>
                                        <a:pt x="265618" y="434683"/>
                                        <a:pt x="263639" y="440621"/>
                                      </a:cubicBezTo>
                                      <a:cubicBezTo>
                                        <a:pt x="261660" y="460413"/>
                                        <a:pt x="260515" y="480306"/>
                                        <a:pt x="257702" y="499997"/>
                                      </a:cubicBezTo>
                                      <a:cubicBezTo>
                                        <a:pt x="256548" y="508076"/>
                                        <a:pt x="257960" y="518437"/>
                                        <a:pt x="251764" y="523748"/>
                                      </a:cubicBezTo>
                                      <a:cubicBezTo>
                                        <a:pt x="242260" y="531894"/>
                                        <a:pt x="228013" y="531665"/>
                                        <a:pt x="216138" y="535623"/>
                                      </a:cubicBezTo>
                                      <a:lnTo>
                                        <a:pt x="198325" y="541561"/>
                                      </a:lnTo>
                                      <a:cubicBezTo>
                                        <a:pt x="192387" y="539582"/>
                                        <a:pt x="185399" y="539533"/>
                                        <a:pt x="180512" y="535623"/>
                                      </a:cubicBezTo>
                                      <a:cubicBezTo>
                                        <a:pt x="157113" y="516903"/>
                                        <a:pt x="169296" y="481308"/>
                                        <a:pt x="174575" y="458434"/>
                                      </a:cubicBezTo>
                                      <a:cubicBezTo>
                                        <a:pt x="176180" y="451481"/>
                                        <a:pt x="182492" y="446559"/>
                                        <a:pt x="186450" y="440621"/>
                                      </a:cubicBezTo>
                                      <a:cubicBezTo>
                                        <a:pt x="184471" y="424787"/>
                                        <a:pt x="186993" y="407702"/>
                                        <a:pt x="180512" y="393120"/>
                                      </a:cubicBezTo>
                                      <a:cubicBezTo>
                                        <a:pt x="177970" y="387401"/>
                                        <a:pt x="168958" y="387182"/>
                                        <a:pt x="162699" y="387182"/>
                                      </a:cubicBezTo>
                                      <a:cubicBezTo>
                                        <a:pt x="148704" y="387182"/>
                                        <a:pt x="134990" y="391141"/>
                                        <a:pt x="121136" y="393120"/>
                                      </a:cubicBezTo>
                                      <a:cubicBezTo>
                                        <a:pt x="106639" y="407616"/>
                                        <a:pt x="108515" y="408243"/>
                                        <a:pt x="85510" y="416870"/>
                                      </a:cubicBezTo>
                                      <a:cubicBezTo>
                                        <a:pt x="70288" y="422578"/>
                                        <a:pt x="58303" y="421568"/>
                                        <a:pt x="43946" y="428746"/>
                                      </a:cubicBezTo>
                                      <a:cubicBezTo>
                                        <a:pt x="37563" y="431937"/>
                                        <a:pt x="32071" y="436663"/>
                                        <a:pt x="26133" y="440621"/>
                                      </a:cubicBezTo>
                                      <a:cubicBezTo>
                                        <a:pt x="5243" y="471957"/>
                                        <a:pt x="-17443" y="512395"/>
                                        <a:pt x="20195" y="369369"/>
                                      </a:cubicBezTo>
                                      <a:cubicBezTo>
                                        <a:pt x="23044" y="358541"/>
                                        <a:pt x="43946" y="345618"/>
                                        <a:pt x="43946" y="345618"/>
                                      </a:cubicBezTo>
                                      <a:cubicBezTo>
                                        <a:pt x="45925" y="339680"/>
                                        <a:pt x="54310" y="332231"/>
                                        <a:pt x="49884" y="327805"/>
                                      </a:cubicBezTo>
                                      <a:cubicBezTo>
                                        <a:pt x="41033" y="318954"/>
                                        <a:pt x="14258" y="315930"/>
                                        <a:pt x="14258" y="315930"/>
                                      </a:cubicBezTo>
                                      <a:cubicBezTo>
                                        <a:pt x="4985" y="288114"/>
                                        <a:pt x="3180" y="291236"/>
                                        <a:pt x="14258" y="250616"/>
                                      </a:cubicBezTo>
                                      <a:cubicBezTo>
                                        <a:pt x="16136" y="243731"/>
                                        <a:pt x="22942" y="239186"/>
                                        <a:pt x="26133" y="232803"/>
                                      </a:cubicBezTo>
                                      <a:cubicBezTo>
                                        <a:pt x="28932" y="227205"/>
                                        <a:pt x="29747" y="220801"/>
                                        <a:pt x="32071" y="214990"/>
                                      </a:cubicBezTo>
                                      <a:cubicBezTo>
                                        <a:pt x="33715" y="210881"/>
                                        <a:pt x="19206" y="224885"/>
                                        <a:pt x="20195" y="220927"/>
                                      </a:cubicBezTo>
                                      <a:close/>
                                    </a:path>
                                  </a:pathLst>
                                </a:cu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190005" y="730332"/>
                                  <a:ext cx="629285" cy="409575"/>
                                  <a:chOff x="5937" y="100946"/>
                                  <a:chExt cx="1017906" cy="892810"/>
                                </a:xfrm>
                              </wpg:grpSpPr>
                              <wps:wsp>
                                <wps:cNvPr id="200" name="Rectangle 199"/>
                                <wps:cNvSpPr/>
                                <wps:spPr>
                                  <a:xfrm>
                                    <a:off x="5937" y="546265"/>
                                    <a:ext cx="1017905" cy="446405"/>
                                  </a:xfrm>
                                  <a:prstGeom prst="rect">
                                    <a:avLst/>
                                  </a:prstGeom>
                                  <a:solidFill>
                                    <a:srgbClr val="C4AF9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9" name="Oval 198"/>
                                <wps:cNvSpPr/>
                                <wps:spPr>
                                  <a:xfrm>
                                    <a:off x="5938" y="100946"/>
                                    <a:ext cx="1017905" cy="892810"/>
                                  </a:xfrm>
                                  <a:prstGeom prst="ellipse">
                                    <a:avLst/>
                                  </a:prstGeom>
                                  <a:solidFill>
                                    <a:srgbClr val="C4AF9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1" name="Text Box 31"/>
                              <wps:cNvSpPr txBox="1"/>
                              <wps:spPr>
                                <a:xfrm>
                                  <a:off x="100940" y="1145969"/>
                                  <a:ext cx="807085" cy="207010"/>
                                </a:xfrm>
                                <a:prstGeom prst="rect">
                                  <a:avLst/>
                                </a:prstGeom>
                                <a:solidFill>
                                  <a:srgbClr val="F6F4A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6BC" w:rsidRPr="00E84998" w:rsidRDefault="004166BC" w:rsidP="00B67BBF">
                                    <w:pPr>
                                      <w:jc w:val="center"/>
                                      <w:rPr>
                                        <w:b/>
                                        <w:color w:val="C00000"/>
                                        <w:sz w:val="16"/>
                                        <w:szCs w:val="16"/>
                                      </w:rPr>
                                    </w:pPr>
                                    <w:r w:rsidRPr="00E84998">
                                      <w:rPr>
                                        <w:b/>
                                        <w:color w:val="C00000"/>
                                        <w:sz w:val="16"/>
                                        <w:szCs w:val="16"/>
                                      </w:rPr>
                                      <w:t>Bone</w:t>
                                    </w:r>
                                    <w:r>
                                      <w:rPr>
                                        <w:b/>
                                        <w:color w:val="C00000"/>
                                        <w:sz w:val="16"/>
                                        <w:szCs w:val="16"/>
                                      </w:rPr>
                                      <w:t xml:space="preserve"> matrix</w:t>
                                    </w:r>
                                  </w:p>
                                  <w:p w:rsidR="004166BC" w:rsidRPr="004F7B64" w:rsidRDefault="004166BC" w:rsidP="004F7B64">
                                    <w:pPr>
                                      <w:jc w:val="center"/>
                                      <w:rPr>
                                        <w:color w:val="31849B" w:themeColor="accent5" w:themeShade="BF"/>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Oval 288"/>
                              <wps:cNvSpPr/>
                              <wps:spPr>
                                <a:xfrm>
                                  <a:off x="635330" y="872836"/>
                                  <a:ext cx="88900" cy="102870"/>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0202D0">
                                    <w:pPr>
                                      <w:jc w:val="center"/>
                                    </w:pPr>
                                    <w:r>
                                      <w:t>CV</w:t>
                                    </w:r>
                                    <w:r>
                                      <w:rPr>
                                        <w:noProof/>
                                        <w:lang w:eastAsia="zh-CN"/>
                                      </w:rPr>
                                      <w:drawing>
                                        <wp:inline distT="0" distB="0" distL="0" distR="0" wp14:anchorId="5A44C300" wp14:editId="1AF9C7EB">
                                          <wp:extent cx="0" cy="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Straight Arrow Connector 123"/>
                              <wps:cNvCnPr/>
                              <wps:spPr>
                                <a:xfrm>
                                  <a:off x="1003465" y="1252847"/>
                                  <a:ext cx="723900" cy="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5" name="Text Box 2"/>
                              <wps:cNvSpPr txBox="1">
                                <a:spLocks noChangeArrowheads="1"/>
                              </wps:cNvSpPr>
                              <wps:spPr bwMode="auto">
                                <a:xfrm>
                                  <a:off x="77185" y="510639"/>
                                  <a:ext cx="955675" cy="201295"/>
                                </a:xfrm>
                                <a:prstGeom prst="rect">
                                  <a:avLst/>
                                </a:prstGeom>
                                <a:solidFill>
                                  <a:srgbClr val="FFFFFF"/>
                                </a:solidFill>
                                <a:ln w="9525">
                                  <a:noFill/>
                                  <a:miter lim="800000"/>
                                  <a:headEnd/>
                                  <a:tailEnd/>
                                </a:ln>
                              </wps:spPr>
                              <wps:txbx>
                                <w:txbxContent>
                                  <w:p w:rsidR="004166BC" w:rsidRPr="00E84998" w:rsidRDefault="004166BC">
                                    <w:pPr>
                                      <w:rPr>
                                        <w:color w:val="002060"/>
                                        <w:sz w:val="16"/>
                                        <w:szCs w:val="16"/>
                                      </w:rPr>
                                    </w:pPr>
                                    <w:r w:rsidRPr="00E84998">
                                      <w:rPr>
                                        <w:color w:val="002060"/>
                                        <w:sz w:val="16"/>
                                        <w:szCs w:val="16"/>
                                      </w:rPr>
                                      <w:t>Mature osteoblast</w:t>
                                    </w:r>
                                  </w:p>
                                </w:txbxContent>
                              </wps:txbx>
                              <wps:bodyPr rot="0" vert="horz" wrap="square" lIns="91440" tIns="45720" rIns="91440" bIns="45720" anchor="t" anchorCtr="0">
                                <a:noAutofit/>
                              </wps:bodyPr>
                            </wps:wsp>
                            <wps:wsp>
                              <wps:cNvPr id="309" name="Oval 309"/>
                              <wps:cNvSpPr/>
                              <wps:spPr>
                                <a:xfrm>
                                  <a:off x="2012867" y="1151906"/>
                                  <a:ext cx="527685" cy="260985"/>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Oval 312"/>
                              <wps:cNvSpPr/>
                              <wps:spPr>
                                <a:xfrm>
                                  <a:off x="2137558" y="1217221"/>
                                  <a:ext cx="262255" cy="130175"/>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0202D0">
                                    <w:pPr>
                                      <w:jc w:val="center"/>
                                    </w:pPr>
                                    <w:r>
                                      <w:t>CV</w:t>
                                    </w:r>
                                    <w:r>
                                      <w:rPr>
                                        <w:noProof/>
                                        <w:lang w:eastAsia="zh-CN"/>
                                      </w:rPr>
                                      <w:drawing>
                                        <wp:inline distT="0" distB="0" distL="0" distR="0" wp14:anchorId="7B7751F1" wp14:editId="2B8F8702">
                                          <wp:extent cx="0" cy="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Straight Arrow Connector 123"/>
                              <wps:cNvCnPr/>
                              <wps:spPr>
                                <a:xfrm>
                                  <a:off x="2695699" y="1240971"/>
                                  <a:ext cx="723900" cy="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7" name="Freeform 97"/>
                              <wps:cNvSpPr/>
                              <wps:spPr>
                                <a:xfrm>
                                  <a:off x="3497283" y="706582"/>
                                  <a:ext cx="706120" cy="571500"/>
                                </a:xfrm>
                                <a:custGeom>
                                  <a:avLst/>
                                  <a:gdLst>
                                    <a:gd name="connsiteX0" fmla="*/ 53439 w 706582"/>
                                    <a:gd name="connsiteY0" fmla="*/ 572049 h 572049"/>
                                    <a:gd name="connsiteX1" fmla="*/ 35626 w 706582"/>
                                    <a:gd name="connsiteY1" fmla="*/ 542360 h 572049"/>
                                    <a:gd name="connsiteX2" fmla="*/ 23751 w 706582"/>
                                    <a:gd name="connsiteY2" fmla="*/ 506734 h 572049"/>
                                    <a:gd name="connsiteX3" fmla="*/ 17813 w 706582"/>
                                    <a:gd name="connsiteY3" fmla="*/ 441420 h 572049"/>
                                    <a:gd name="connsiteX4" fmla="*/ 11876 w 706582"/>
                                    <a:gd name="connsiteY4" fmla="*/ 423607 h 572049"/>
                                    <a:gd name="connsiteX5" fmla="*/ 0 w 706582"/>
                                    <a:gd name="connsiteY5" fmla="*/ 298916 h 572049"/>
                                    <a:gd name="connsiteX6" fmla="*/ 5938 w 706582"/>
                                    <a:gd name="connsiteY6" fmla="*/ 162350 h 572049"/>
                                    <a:gd name="connsiteX7" fmla="*/ 11876 w 706582"/>
                                    <a:gd name="connsiteY7" fmla="*/ 138599 h 572049"/>
                                    <a:gd name="connsiteX8" fmla="*/ 23751 w 706582"/>
                                    <a:gd name="connsiteY8" fmla="*/ 102973 h 572049"/>
                                    <a:gd name="connsiteX9" fmla="*/ 35626 w 706582"/>
                                    <a:gd name="connsiteY9" fmla="*/ 156412 h 572049"/>
                                    <a:gd name="connsiteX10" fmla="*/ 41564 w 706582"/>
                                    <a:gd name="connsiteY10" fmla="*/ 393919 h 572049"/>
                                    <a:gd name="connsiteX11" fmla="*/ 47502 w 706582"/>
                                    <a:gd name="connsiteY11" fmla="*/ 417669 h 572049"/>
                                    <a:gd name="connsiteX12" fmla="*/ 77190 w 706582"/>
                                    <a:gd name="connsiteY12" fmla="*/ 471108 h 572049"/>
                                    <a:gd name="connsiteX13" fmla="*/ 89065 w 706582"/>
                                    <a:gd name="connsiteY13" fmla="*/ 482984 h 572049"/>
                                    <a:gd name="connsiteX14" fmla="*/ 106878 w 706582"/>
                                    <a:gd name="connsiteY14" fmla="*/ 488921 h 572049"/>
                                    <a:gd name="connsiteX15" fmla="*/ 136566 w 706582"/>
                                    <a:gd name="connsiteY15" fmla="*/ 482984 h 572049"/>
                                    <a:gd name="connsiteX16" fmla="*/ 154379 w 706582"/>
                                    <a:gd name="connsiteY16" fmla="*/ 441420 h 572049"/>
                                    <a:gd name="connsiteX17" fmla="*/ 160317 w 706582"/>
                                    <a:gd name="connsiteY17" fmla="*/ 387981 h 572049"/>
                                    <a:gd name="connsiteX18" fmla="*/ 166255 w 706582"/>
                                    <a:gd name="connsiteY18" fmla="*/ 358293 h 572049"/>
                                    <a:gd name="connsiteX19" fmla="*/ 160317 w 706582"/>
                                    <a:gd name="connsiteY19" fmla="*/ 292978 h 572049"/>
                                    <a:gd name="connsiteX20" fmla="*/ 154379 w 706582"/>
                                    <a:gd name="connsiteY20" fmla="*/ 275166 h 572049"/>
                                    <a:gd name="connsiteX21" fmla="*/ 148442 w 706582"/>
                                    <a:gd name="connsiteY21" fmla="*/ 245477 h 572049"/>
                                    <a:gd name="connsiteX22" fmla="*/ 148442 w 706582"/>
                                    <a:gd name="connsiteY22" fmla="*/ 73285 h 572049"/>
                                    <a:gd name="connsiteX23" fmla="*/ 190005 w 706582"/>
                                    <a:gd name="connsiteY23" fmla="*/ 79223 h 572049"/>
                                    <a:gd name="connsiteX24" fmla="*/ 190005 w 706582"/>
                                    <a:gd name="connsiteY24" fmla="*/ 227664 h 572049"/>
                                    <a:gd name="connsiteX25" fmla="*/ 184068 w 706582"/>
                                    <a:gd name="connsiteY25" fmla="*/ 281103 h 572049"/>
                                    <a:gd name="connsiteX26" fmla="*/ 190005 w 706582"/>
                                    <a:gd name="connsiteY26" fmla="*/ 399856 h 572049"/>
                                    <a:gd name="connsiteX27" fmla="*/ 195943 w 706582"/>
                                    <a:gd name="connsiteY27" fmla="*/ 417669 h 572049"/>
                                    <a:gd name="connsiteX28" fmla="*/ 219694 w 706582"/>
                                    <a:gd name="connsiteY28" fmla="*/ 441420 h 572049"/>
                                    <a:gd name="connsiteX29" fmla="*/ 237507 w 706582"/>
                                    <a:gd name="connsiteY29" fmla="*/ 447358 h 572049"/>
                                    <a:gd name="connsiteX30" fmla="*/ 249382 w 706582"/>
                                    <a:gd name="connsiteY30" fmla="*/ 435482 h 572049"/>
                                    <a:gd name="connsiteX31" fmla="*/ 267195 w 706582"/>
                                    <a:gd name="connsiteY31" fmla="*/ 429545 h 572049"/>
                                    <a:gd name="connsiteX32" fmla="*/ 279070 w 706582"/>
                                    <a:gd name="connsiteY32" fmla="*/ 411732 h 572049"/>
                                    <a:gd name="connsiteX33" fmla="*/ 285008 w 706582"/>
                                    <a:gd name="connsiteY33" fmla="*/ 376106 h 572049"/>
                                    <a:gd name="connsiteX34" fmla="*/ 290946 w 706582"/>
                                    <a:gd name="connsiteY34" fmla="*/ 316729 h 572049"/>
                                    <a:gd name="connsiteX35" fmla="*/ 302821 w 706582"/>
                                    <a:gd name="connsiteY35" fmla="*/ 281103 h 572049"/>
                                    <a:gd name="connsiteX36" fmla="*/ 296883 w 706582"/>
                                    <a:gd name="connsiteY36" fmla="*/ 162350 h 572049"/>
                                    <a:gd name="connsiteX37" fmla="*/ 290946 w 706582"/>
                                    <a:gd name="connsiteY37" fmla="*/ 144537 h 572049"/>
                                    <a:gd name="connsiteX38" fmla="*/ 296883 w 706582"/>
                                    <a:gd name="connsiteY38" fmla="*/ 85160 h 572049"/>
                                    <a:gd name="connsiteX39" fmla="*/ 344385 w 706582"/>
                                    <a:gd name="connsiteY39" fmla="*/ 91098 h 572049"/>
                                    <a:gd name="connsiteX40" fmla="*/ 350322 w 706582"/>
                                    <a:gd name="connsiteY40" fmla="*/ 108911 h 572049"/>
                                    <a:gd name="connsiteX41" fmla="*/ 344385 w 706582"/>
                                    <a:gd name="connsiteY41" fmla="*/ 310791 h 572049"/>
                                    <a:gd name="connsiteX42" fmla="*/ 350322 w 706582"/>
                                    <a:gd name="connsiteY42" fmla="*/ 453295 h 572049"/>
                                    <a:gd name="connsiteX43" fmla="*/ 362198 w 706582"/>
                                    <a:gd name="connsiteY43" fmla="*/ 465171 h 572049"/>
                                    <a:gd name="connsiteX44" fmla="*/ 397824 w 706582"/>
                                    <a:gd name="connsiteY44" fmla="*/ 459233 h 572049"/>
                                    <a:gd name="connsiteX45" fmla="*/ 421574 w 706582"/>
                                    <a:gd name="connsiteY45" fmla="*/ 387981 h 572049"/>
                                    <a:gd name="connsiteX46" fmla="*/ 433450 w 706582"/>
                                    <a:gd name="connsiteY46" fmla="*/ 310791 h 572049"/>
                                    <a:gd name="connsiteX47" fmla="*/ 439387 w 706582"/>
                                    <a:gd name="connsiteY47" fmla="*/ 292978 h 572049"/>
                                    <a:gd name="connsiteX48" fmla="*/ 445325 w 706582"/>
                                    <a:gd name="connsiteY48" fmla="*/ 7971 h 572049"/>
                                    <a:gd name="connsiteX49" fmla="*/ 486889 w 706582"/>
                                    <a:gd name="connsiteY49" fmla="*/ 25784 h 572049"/>
                                    <a:gd name="connsiteX50" fmla="*/ 498764 w 706582"/>
                                    <a:gd name="connsiteY50" fmla="*/ 61410 h 572049"/>
                                    <a:gd name="connsiteX51" fmla="*/ 486889 w 706582"/>
                                    <a:gd name="connsiteY51" fmla="*/ 114849 h 572049"/>
                                    <a:gd name="connsiteX52" fmla="*/ 475013 w 706582"/>
                                    <a:gd name="connsiteY52" fmla="*/ 192038 h 572049"/>
                                    <a:gd name="connsiteX53" fmla="*/ 469076 w 706582"/>
                                    <a:gd name="connsiteY53" fmla="*/ 209851 h 572049"/>
                                    <a:gd name="connsiteX54" fmla="*/ 451263 w 706582"/>
                                    <a:gd name="connsiteY54" fmla="*/ 275166 h 572049"/>
                                    <a:gd name="connsiteX55" fmla="*/ 433450 w 706582"/>
                                    <a:gd name="connsiteY55" fmla="*/ 423607 h 572049"/>
                                    <a:gd name="connsiteX56" fmla="*/ 451263 w 706582"/>
                                    <a:gd name="connsiteY56" fmla="*/ 488921 h 572049"/>
                                    <a:gd name="connsiteX57" fmla="*/ 469076 w 706582"/>
                                    <a:gd name="connsiteY57" fmla="*/ 494859 h 572049"/>
                                    <a:gd name="connsiteX58" fmla="*/ 510639 w 706582"/>
                                    <a:gd name="connsiteY58" fmla="*/ 482984 h 572049"/>
                                    <a:gd name="connsiteX59" fmla="*/ 522515 w 706582"/>
                                    <a:gd name="connsiteY59" fmla="*/ 465171 h 572049"/>
                                    <a:gd name="connsiteX60" fmla="*/ 546265 w 706582"/>
                                    <a:gd name="connsiteY60" fmla="*/ 429545 h 572049"/>
                                    <a:gd name="connsiteX61" fmla="*/ 570016 w 706582"/>
                                    <a:gd name="connsiteY61" fmla="*/ 393919 h 572049"/>
                                    <a:gd name="connsiteX62" fmla="*/ 581891 w 706582"/>
                                    <a:gd name="connsiteY62" fmla="*/ 376106 h 572049"/>
                                    <a:gd name="connsiteX63" fmla="*/ 605642 w 706582"/>
                                    <a:gd name="connsiteY63" fmla="*/ 322667 h 572049"/>
                                    <a:gd name="connsiteX64" fmla="*/ 611579 w 706582"/>
                                    <a:gd name="connsiteY64" fmla="*/ 292978 h 572049"/>
                                    <a:gd name="connsiteX65" fmla="*/ 617517 w 706582"/>
                                    <a:gd name="connsiteY65" fmla="*/ 251415 h 572049"/>
                                    <a:gd name="connsiteX66" fmla="*/ 623455 w 706582"/>
                                    <a:gd name="connsiteY66" fmla="*/ 233602 h 572049"/>
                                    <a:gd name="connsiteX67" fmla="*/ 629392 w 706582"/>
                                    <a:gd name="connsiteY67" fmla="*/ 209851 h 572049"/>
                                    <a:gd name="connsiteX68" fmla="*/ 635330 w 706582"/>
                                    <a:gd name="connsiteY68" fmla="*/ 180163 h 572049"/>
                                    <a:gd name="connsiteX69" fmla="*/ 653143 w 706582"/>
                                    <a:gd name="connsiteY69" fmla="*/ 138599 h 572049"/>
                                    <a:gd name="connsiteX70" fmla="*/ 670956 w 706582"/>
                                    <a:gd name="connsiteY70" fmla="*/ 126724 h 572049"/>
                                    <a:gd name="connsiteX71" fmla="*/ 688769 w 706582"/>
                                    <a:gd name="connsiteY71" fmla="*/ 132662 h 572049"/>
                                    <a:gd name="connsiteX72" fmla="*/ 706582 w 706582"/>
                                    <a:gd name="connsiteY72" fmla="*/ 168288 h 572049"/>
                                    <a:gd name="connsiteX73" fmla="*/ 700644 w 706582"/>
                                    <a:gd name="connsiteY73" fmla="*/ 233602 h 572049"/>
                                    <a:gd name="connsiteX74" fmla="*/ 688769 w 706582"/>
                                    <a:gd name="connsiteY74" fmla="*/ 251415 h 572049"/>
                                    <a:gd name="connsiteX75" fmla="*/ 682831 w 706582"/>
                                    <a:gd name="connsiteY75" fmla="*/ 269228 h 572049"/>
                                    <a:gd name="connsiteX76" fmla="*/ 653143 w 706582"/>
                                    <a:gd name="connsiteY76" fmla="*/ 304854 h 572049"/>
                                    <a:gd name="connsiteX77" fmla="*/ 647205 w 706582"/>
                                    <a:gd name="connsiteY77" fmla="*/ 322667 h 572049"/>
                                    <a:gd name="connsiteX78" fmla="*/ 623455 w 706582"/>
                                    <a:gd name="connsiteY78" fmla="*/ 364230 h 572049"/>
                                    <a:gd name="connsiteX79" fmla="*/ 611579 w 706582"/>
                                    <a:gd name="connsiteY79" fmla="*/ 376106 h 572049"/>
                                    <a:gd name="connsiteX80" fmla="*/ 593766 w 706582"/>
                                    <a:gd name="connsiteY80" fmla="*/ 405794 h 572049"/>
                                    <a:gd name="connsiteX81" fmla="*/ 575953 w 706582"/>
                                    <a:gd name="connsiteY81" fmla="*/ 435482 h 572049"/>
                                    <a:gd name="connsiteX82" fmla="*/ 570016 w 706582"/>
                                    <a:gd name="connsiteY82" fmla="*/ 465171 h 572049"/>
                                    <a:gd name="connsiteX83" fmla="*/ 564078 w 706582"/>
                                    <a:gd name="connsiteY83" fmla="*/ 482984 h 572049"/>
                                    <a:gd name="connsiteX84" fmla="*/ 558140 w 706582"/>
                                    <a:gd name="connsiteY84" fmla="*/ 512672 h 572049"/>
                                    <a:gd name="connsiteX85" fmla="*/ 546265 w 706582"/>
                                    <a:gd name="connsiteY85" fmla="*/ 542360 h 572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Lst>
                                  <a:rect l="l" t="t" r="r" b="b"/>
                                  <a:pathLst>
                                    <a:path w="706582" h="572049">
                                      <a:moveTo>
                                        <a:pt x="53439" y="572049"/>
                                      </a:moveTo>
                                      <a:cubicBezTo>
                                        <a:pt x="47501" y="562153"/>
                                        <a:pt x="40402" y="552867"/>
                                        <a:pt x="35626" y="542360"/>
                                      </a:cubicBezTo>
                                      <a:cubicBezTo>
                                        <a:pt x="30446" y="530964"/>
                                        <a:pt x="23751" y="506734"/>
                                        <a:pt x="23751" y="506734"/>
                                      </a:cubicBezTo>
                                      <a:cubicBezTo>
                                        <a:pt x="21772" y="484963"/>
                                        <a:pt x="20905" y="463061"/>
                                        <a:pt x="17813" y="441420"/>
                                      </a:cubicBezTo>
                                      <a:cubicBezTo>
                                        <a:pt x="16928" y="435224"/>
                                        <a:pt x="12996" y="429765"/>
                                        <a:pt x="11876" y="423607"/>
                                      </a:cubicBezTo>
                                      <a:cubicBezTo>
                                        <a:pt x="5783" y="390094"/>
                                        <a:pt x="2236" y="327982"/>
                                        <a:pt x="0" y="298916"/>
                                      </a:cubicBezTo>
                                      <a:cubicBezTo>
                                        <a:pt x="1979" y="253394"/>
                                        <a:pt x="2572" y="207791"/>
                                        <a:pt x="5938" y="162350"/>
                                      </a:cubicBezTo>
                                      <a:cubicBezTo>
                                        <a:pt x="6541" y="154212"/>
                                        <a:pt x="9531" y="146416"/>
                                        <a:pt x="11876" y="138599"/>
                                      </a:cubicBezTo>
                                      <a:cubicBezTo>
                                        <a:pt x="15473" y="126609"/>
                                        <a:pt x="23751" y="102973"/>
                                        <a:pt x="23751" y="102973"/>
                                      </a:cubicBezTo>
                                      <a:cubicBezTo>
                                        <a:pt x="59336" y="114835"/>
                                        <a:pt x="35626" y="100462"/>
                                        <a:pt x="35626" y="156412"/>
                                      </a:cubicBezTo>
                                      <a:cubicBezTo>
                                        <a:pt x="35626" y="235606"/>
                                        <a:pt x="37968" y="314807"/>
                                        <a:pt x="41564" y="393919"/>
                                      </a:cubicBezTo>
                                      <a:cubicBezTo>
                                        <a:pt x="41935" y="402071"/>
                                        <a:pt x="45260" y="409823"/>
                                        <a:pt x="47502" y="417669"/>
                                      </a:cubicBezTo>
                                      <a:cubicBezTo>
                                        <a:pt x="53476" y="438578"/>
                                        <a:pt x="60174" y="454091"/>
                                        <a:pt x="77190" y="471108"/>
                                      </a:cubicBezTo>
                                      <a:cubicBezTo>
                                        <a:pt x="81148" y="475067"/>
                                        <a:pt x="84265" y="480104"/>
                                        <a:pt x="89065" y="482984"/>
                                      </a:cubicBezTo>
                                      <a:cubicBezTo>
                                        <a:pt x="94432" y="486204"/>
                                        <a:pt x="100940" y="486942"/>
                                        <a:pt x="106878" y="488921"/>
                                      </a:cubicBezTo>
                                      <a:cubicBezTo>
                                        <a:pt x="116774" y="486942"/>
                                        <a:pt x="127804" y="487991"/>
                                        <a:pt x="136566" y="482984"/>
                                      </a:cubicBezTo>
                                      <a:cubicBezTo>
                                        <a:pt x="148527" y="476149"/>
                                        <a:pt x="151790" y="451776"/>
                                        <a:pt x="154379" y="441420"/>
                                      </a:cubicBezTo>
                                      <a:cubicBezTo>
                                        <a:pt x="156358" y="423607"/>
                                        <a:pt x="157782" y="405723"/>
                                        <a:pt x="160317" y="387981"/>
                                      </a:cubicBezTo>
                                      <a:cubicBezTo>
                                        <a:pt x="161744" y="377990"/>
                                        <a:pt x="166255" y="368385"/>
                                        <a:pt x="166255" y="358293"/>
                                      </a:cubicBezTo>
                                      <a:cubicBezTo>
                                        <a:pt x="166255" y="336432"/>
                                        <a:pt x="163409" y="314620"/>
                                        <a:pt x="160317" y="292978"/>
                                      </a:cubicBezTo>
                                      <a:cubicBezTo>
                                        <a:pt x="159432" y="286782"/>
                                        <a:pt x="155897" y="281238"/>
                                        <a:pt x="154379" y="275166"/>
                                      </a:cubicBezTo>
                                      <a:cubicBezTo>
                                        <a:pt x="151931" y="265375"/>
                                        <a:pt x="150421" y="255373"/>
                                        <a:pt x="148442" y="245477"/>
                                      </a:cubicBezTo>
                                      <a:cubicBezTo>
                                        <a:pt x="144572" y="202914"/>
                                        <a:pt x="132642" y="106859"/>
                                        <a:pt x="148442" y="73285"/>
                                      </a:cubicBezTo>
                                      <a:cubicBezTo>
                                        <a:pt x="154401" y="60622"/>
                                        <a:pt x="176151" y="77244"/>
                                        <a:pt x="190005" y="79223"/>
                                      </a:cubicBezTo>
                                      <a:cubicBezTo>
                                        <a:pt x="209413" y="137445"/>
                                        <a:pt x="198413" y="97340"/>
                                        <a:pt x="190005" y="227664"/>
                                      </a:cubicBezTo>
                                      <a:cubicBezTo>
                                        <a:pt x="188851" y="245549"/>
                                        <a:pt x="186047" y="263290"/>
                                        <a:pt x="184068" y="281103"/>
                                      </a:cubicBezTo>
                                      <a:cubicBezTo>
                                        <a:pt x="186047" y="320687"/>
                                        <a:pt x="186572" y="360371"/>
                                        <a:pt x="190005" y="399856"/>
                                      </a:cubicBezTo>
                                      <a:cubicBezTo>
                                        <a:pt x="190547" y="406091"/>
                                        <a:pt x="192305" y="412576"/>
                                        <a:pt x="195943" y="417669"/>
                                      </a:cubicBezTo>
                                      <a:cubicBezTo>
                                        <a:pt x="202451" y="426780"/>
                                        <a:pt x="211777" y="433503"/>
                                        <a:pt x="219694" y="441420"/>
                                      </a:cubicBezTo>
                                      <a:cubicBezTo>
                                        <a:pt x="224120" y="445846"/>
                                        <a:pt x="231569" y="445379"/>
                                        <a:pt x="237507" y="447358"/>
                                      </a:cubicBezTo>
                                      <a:cubicBezTo>
                                        <a:pt x="241465" y="443399"/>
                                        <a:pt x="244582" y="438362"/>
                                        <a:pt x="249382" y="435482"/>
                                      </a:cubicBezTo>
                                      <a:cubicBezTo>
                                        <a:pt x="254749" y="432262"/>
                                        <a:pt x="262308" y="433455"/>
                                        <a:pt x="267195" y="429545"/>
                                      </a:cubicBezTo>
                                      <a:cubicBezTo>
                                        <a:pt x="272767" y="425087"/>
                                        <a:pt x="275112" y="417670"/>
                                        <a:pt x="279070" y="411732"/>
                                      </a:cubicBezTo>
                                      <a:cubicBezTo>
                                        <a:pt x="281049" y="399857"/>
                                        <a:pt x="283515" y="388052"/>
                                        <a:pt x="285008" y="376106"/>
                                      </a:cubicBezTo>
                                      <a:cubicBezTo>
                                        <a:pt x="287475" y="356369"/>
                                        <a:pt x="287280" y="336279"/>
                                        <a:pt x="290946" y="316729"/>
                                      </a:cubicBezTo>
                                      <a:cubicBezTo>
                                        <a:pt x="293253" y="304426"/>
                                        <a:pt x="302821" y="281103"/>
                                        <a:pt x="302821" y="281103"/>
                                      </a:cubicBezTo>
                                      <a:cubicBezTo>
                                        <a:pt x="300842" y="241519"/>
                                        <a:pt x="300316" y="201835"/>
                                        <a:pt x="296883" y="162350"/>
                                      </a:cubicBezTo>
                                      <a:cubicBezTo>
                                        <a:pt x="296341" y="156115"/>
                                        <a:pt x="290946" y="150796"/>
                                        <a:pt x="290946" y="144537"/>
                                      </a:cubicBezTo>
                                      <a:cubicBezTo>
                                        <a:pt x="290946" y="124646"/>
                                        <a:pt x="294904" y="104952"/>
                                        <a:pt x="296883" y="85160"/>
                                      </a:cubicBezTo>
                                      <a:cubicBezTo>
                                        <a:pt x="312717" y="87139"/>
                                        <a:pt x="329803" y="84617"/>
                                        <a:pt x="344385" y="91098"/>
                                      </a:cubicBezTo>
                                      <a:cubicBezTo>
                                        <a:pt x="350104" y="93640"/>
                                        <a:pt x="350322" y="102652"/>
                                        <a:pt x="350322" y="108911"/>
                                      </a:cubicBezTo>
                                      <a:cubicBezTo>
                                        <a:pt x="350322" y="176233"/>
                                        <a:pt x="346364" y="243498"/>
                                        <a:pt x="344385" y="310791"/>
                                      </a:cubicBezTo>
                                      <a:cubicBezTo>
                                        <a:pt x="346364" y="358292"/>
                                        <a:pt x="344873" y="406066"/>
                                        <a:pt x="350322" y="453295"/>
                                      </a:cubicBezTo>
                                      <a:cubicBezTo>
                                        <a:pt x="350964" y="458857"/>
                                        <a:pt x="356643" y="464477"/>
                                        <a:pt x="362198" y="465171"/>
                                      </a:cubicBezTo>
                                      <a:cubicBezTo>
                                        <a:pt x="374144" y="466664"/>
                                        <a:pt x="385949" y="461212"/>
                                        <a:pt x="397824" y="459233"/>
                                      </a:cubicBezTo>
                                      <a:lnTo>
                                        <a:pt x="421574" y="387981"/>
                                      </a:lnTo>
                                      <a:cubicBezTo>
                                        <a:pt x="427936" y="368893"/>
                                        <a:pt x="430538" y="326806"/>
                                        <a:pt x="433450" y="310791"/>
                                      </a:cubicBezTo>
                                      <a:cubicBezTo>
                                        <a:pt x="434570" y="304633"/>
                                        <a:pt x="437408" y="298916"/>
                                        <a:pt x="439387" y="292978"/>
                                      </a:cubicBezTo>
                                      <a:cubicBezTo>
                                        <a:pt x="441366" y="197976"/>
                                        <a:pt x="433292" y="102229"/>
                                        <a:pt x="445325" y="7971"/>
                                      </a:cubicBezTo>
                                      <a:cubicBezTo>
                                        <a:pt x="448511" y="-16986"/>
                                        <a:pt x="485624" y="24519"/>
                                        <a:pt x="486889" y="25784"/>
                                      </a:cubicBezTo>
                                      <a:lnTo>
                                        <a:pt x="498764" y="61410"/>
                                      </a:lnTo>
                                      <a:cubicBezTo>
                                        <a:pt x="500149" y="65566"/>
                                        <a:pt x="488057" y="108423"/>
                                        <a:pt x="486889" y="114849"/>
                                      </a:cubicBezTo>
                                      <a:cubicBezTo>
                                        <a:pt x="482154" y="140894"/>
                                        <a:pt x="480753" y="166209"/>
                                        <a:pt x="475013" y="192038"/>
                                      </a:cubicBezTo>
                                      <a:cubicBezTo>
                                        <a:pt x="473655" y="198148"/>
                                        <a:pt x="470723" y="203813"/>
                                        <a:pt x="469076" y="209851"/>
                                      </a:cubicBezTo>
                                      <a:cubicBezTo>
                                        <a:pt x="448986" y="283515"/>
                                        <a:pt x="464928" y="234165"/>
                                        <a:pt x="451263" y="275166"/>
                                      </a:cubicBezTo>
                                      <a:cubicBezTo>
                                        <a:pt x="438613" y="407980"/>
                                        <a:pt x="449512" y="359351"/>
                                        <a:pt x="433450" y="423607"/>
                                      </a:cubicBezTo>
                                      <a:cubicBezTo>
                                        <a:pt x="436264" y="448932"/>
                                        <a:pt x="427882" y="474893"/>
                                        <a:pt x="451263" y="488921"/>
                                      </a:cubicBezTo>
                                      <a:cubicBezTo>
                                        <a:pt x="456630" y="492141"/>
                                        <a:pt x="463138" y="492880"/>
                                        <a:pt x="469076" y="494859"/>
                                      </a:cubicBezTo>
                                      <a:cubicBezTo>
                                        <a:pt x="470624" y="494472"/>
                                        <a:pt x="506769" y="486080"/>
                                        <a:pt x="510639" y="482984"/>
                                      </a:cubicBezTo>
                                      <a:cubicBezTo>
                                        <a:pt x="516212" y="478526"/>
                                        <a:pt x="518057" y="470744"/>
                                        <a:pt x="522515" y="465171"/>
                                      </a:cubicBezTo>
                                      <a:cubicBezTo>
                                        <a:pt x="558802" y="419812"/>
                                        <a:pt x="503184" y="501346"/>
                                        <a:pt x="546265" y="429545"/>
                                      </a:cubicBezTo>
                                      <a:cubicBezTo>
                                        <a:pt x="553608" y="417307"/>
                                        <a:pt x="562099" y="405794"/>
                                        <a:pt x="570016" y="393919"/>
                                      </a:cubicBezTo>
                                      <a:cubicBezTo>
                                        <a:pt x="573974" y="387981"/>
                                        <a:pt x="579634" y="382876"/>
                                        <a:pt x="581891" y="376106"/>
                                      </a:cubicBezTo>
                                      <a:cubicBezTo>
                                        <a:pt x="596023" y="333710"/>
                                        <a:pt x="586822" y="350895"/>
                                        <a:pt x="605642" y="322667"/>
                                      </a:cubicBezTo>
                                      <a:cubicBezTo>
                                        <a:pt x="607621" y="312771"/>
                                        <a:pt x="609920" y="302933"/>
                                        <a:pt x="611579" y="292978"/>
                                      </a:cubicBezTo>
                                      <a:cubicBezTo>
                                        <a:pt x="613880" y="279173"/>
                                        <a:pt x="614772" y="265138"/>
                                        <a:pt x="617517" y="251415"/>
                                      </a:cubicBezTo>
                                      <a:cubicBezTo>
                                        <a:pt x="618745" y="245278"/>
                                        <a:pt x="621736" y="239620"/>
                                        <a:pt x="623455" y="233602"/>
                                      </a:cubicBezTo>
                                      <a:cubicBezTo>
                                        <a:pt x="625697" y="225755"/>
                                        <a:pt x="627622" y="217817"/>
                                        <a:pt x="629392" y="209851"/>
                                      </a:cubicBezTo>
                                      <a:cubicBezTo>
                                        <a:pt x="631581" y="199999"/>
                                        <a:pt x="633141" y="190015"/>
                                        <a:pt x="635330" y="180163"/>
                                      </a:cubicBezTo>
                                      <a:cubicBezTo>
                                        <a:pt x="639223" y="162643"/>
                                        <a:pt x="640043" y="151699"/>
                                        <a:pt x="653143" y="138599"/>
                                      </a:cubicBezTo>
                                      <a:cubicBezTo>
                                        <a:pt x="658189" y="133553"/>
                                        <a:pt x="665018" y="130682"/>
                                        <a:pt x="670956" y="126724"/>
                                      </a:cubicBezTo>
                                      <a:cubicBezTo>
                                        <a:pt x="676894" y="128703"/>
                                        <a:pt x="683882" y="128752"/>
                                        <a:pt x="688769" y="132662"/>
                                      </a:cubicBezTo>
                                      <a:cubicBezTo>
                                        <a:pt x="699232" y="141033"/>
                                        <a:pt x="702671" y="156554"/>
                                        <a:pt x="706582" y="168288"/>
                                      </a:cubicBezTo>
                                      <a:cubicBezTo>
                                        <a:pt x="704603" y="190059"/>
                                        <a:pt x="705225" y="212226"/>
                                        <a:pt x="700644" y="233602"/>
                                      </a:cubicBezTo>
                                      <a:cubicBezTo>
                                        <a:pt x="699149" y="240580"/>
                                        <a:pt x="691960" y="245032"/>
                                        <a:pt x="688769" y="251415"/>
                                      </a:cubicBezTo>
                                      <a:cubicBezTo>
                                        <a:pt x="685970" y="257013"/>
                                        <a:pt x="686303" y="264020"/>
                                        <a:pt x="682831" y="269228"/>
                                      </a:cubicBezTo>
                                      <a:cubicBezTo>
                                        <a:pt x="656567" y="308624"/>
                                        <a:pt x="672570" y="266001"/>
                                        <a:pt x="653143" y="304854"/>
                                      </a:cubicBezTo>
                                      <a:cubicBezTo>
                                        <a:pt x="650344" y="310452"/>
                                        <a:pt x="649671" y="316914"/>
                                        <a:pt x="647205" y="322667"/>
                                      </a:cubicBezTo>
                                      <a:cubicBezTo>
                                        <a:pt x="641579" y="335794"/>
                                        <a:pt x="632628" y="352763"/>
                                        <a:pt x="623455" y="364230"/>
                                      </a:cubicBezTo>
                                      <a:cubicBezTo>
                                        <a:pt x="619958" y="368602"/>
                                        <a:pt x="615538" y="372147"/>
                                        <a:pt x="611579" y="376106"/>
                                      </a:cubicBezTo>
                                      <a:cubicBezTo>
                                        <a:pt x="594761" y="426567"/>
                                        <a:pt x="618217" y="365042"/>
                                        <a:pt x="593766" y="405794"/>
                                      </a:cubicBezTo>
                                      <a:cubicBezTo>
                                        <a:pt x="570642" y="444333"/>
                                        <a:pt x="606044" y="405393"/>
                                        <a:pt x="575953" y="435482"/>
                                      </a:cubicBezTo>
                                      <a:cubicBezTo>
                                        <a:pt x="573974" y="445378"/>
                                        <a:pt x="572464" y="455380"/>
                                        <a:pt x="570016" y="465171"/>
                                      </a:cubicBezTo>
                                      <a:cubicBezTo>
                                        <a:pt x="568498" y="471243"/>
                                        <a:pt x="565596" y="476912"/>
                                        <a:pt x="564078" y="482984"/>
                                      </a:cubicBezTo>
                                      <a:cubicBezTo>
                                        <a:pt x="561630" y="492775"/>
                                        <a:pt x="560588" y="502881"/>
                                        <a:pt x="558140" y="512672"/>
                                      </a:cubicBezTo>
                                      <a:cubicBezTo>
                                        <a:pt x="554470" y="527351"/>
                                        <a:pt x="552409" y="530072"/>
                                        <a:pt x="546265" y="542360"/>
                                      </a:cubicBezTo>
                                    </a:path>
                                  </a:pathLst>
                                </a:cu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Freeform 98"/>
                              <wps:cNvSpPr/>
                              <wps:spPr>
                                <a:xfrm rot="10800000">
                                  <a:off x="3402280" y="1324098"/>
                                  <a:ext cx="706120" cy="571500"/>
                                </a:xfrm>
                                <a:custGeom>
                                  <a:avLst/>
                                  <a:gdLst>
                                    <a:gd name="connsiteX0" fmla="*/ 53439 w 706582"/>
                                    <a:gd name="connsiteY0" fmla="*/ 572049 h 572049"/>
                                    <a:gd name="connsiteX1" fmla="*/ 35626 w 706582"/>
                                    <a:gd name="connsiteY1" fmla="*/ 542360 h 572049"/>
                                    <a:gd name="connsiteX2" fmla="*/ 23751 w 706582"/>
                                    <a:gd name="connsiteY2" fmla="*/ 506734 h 572049"/>
                                    <a:gd name="connsiteX3" fmla="*/ 17813 w 706582"/>
                                    <a:gd name="connsiteY3" fmla="*/ 441420 h 572049"/>
                                    <a:gd name="connsiteX4" fmla="*/ 11876 w 706582"/>
                                    <a:gd name="connsiteY4" fmla="*/ 423607 h 572049"/>
                                    <a:gd name="connsiteX5" fmla="*/ 0 w 706582"/>
                                    <a:gd name="connsiteY5" fmla="*/ 298916 h 572049"/>
                                    <a:gd name="connsiteX6" fmla="*/ 5938 w 706582"/>
                                    <a:gd name="connsiteY6" fmla="*/ 162350 h 572049"/>
                                    <a:gd name="connsiteX7" fmla="*/ 11876 w 706582"/>
                                    <a:gd name="connsiteY7" fmla="*/ 138599 h 572049"/>
                                    <a:gd name="connsiteX8" fmla="*/ 23751 w 706582"/>
                                    <a:gd name="connsiteY8" fmla="*/ 102973 h 572049"/>
                                    <a:gd name="connsiteX9" fmla="*/ 35626 w 706582"/>
                                    <a:gd name="connsiteY9" fmla="*/ 156412 h 572049"/>
                                    <a:gd name="connsiteX10" fmla="*/ 41564 w 706582"/>
                                    <a:gd name="connsiteY10" fmla="*/ 393919 h 572049"/>
                                    <a:gd name="connsiteX11" fmla="*/ 47502 w 706582"/>
                                    <a:gd name="connsiteY11" fmla="*/ 417669 h 572049"/>
                                    <a:gd name="connsiteX12" fmla="*/ 77190 w 706582"/>
                                    <a:gd name="connsiteY12" fmla="*/ 471108 h 572049"/>
                                    <a:gd name="connsiteX13" fmla="*/ 89065 w 706582"/>
                                    <a:gd name="connsiteY13" fmla="*/ 482984 h 572049"/>
                                    <a:gd name="connsiteX14" fmla="*/ 106878 w 706582"/>
                                    <a:gd name="connsiteY14" fmla="*/ 488921 h 572049"/>
                                    <a:gd name="connsiteX15" fmla="*/ 136566 w 706582"/>
                                    <a:gd name="connsiteY15" fmla="*/ 482984 h 572049"/>
                                    <a:gd name="connsiteX16" fmla="*/ 154379 w 706582"/>
                                    <a:gd name="connsiteY16" fmla="*/ 441420 h 572049"/>
                                    <a:gd name="connsiteX17" fmla="*/ 160317 w 706582"/>
                                    <a:gd name="connsiteY17" fmla="*/ 387981 h 572049"/>
                                    <a:gd name="connsiteX18" fmla="*/ 166255 w 706582"/>
                                    <a:gd name="connsiteY18" fmla="*/ 358293 h 572049"/>
                                    <a:gd name="connsiteX19" fmla="*/ 160317 w 706582"/>
                                    <a:gd name="connsiteY19" fmla="*/ 292978 h 572049"/>
                                    <a:gd name="connsiteX20" fmla="*/ 154379 w 706582"/>
                                    <a:gd name="connsiteY20" fmla="*/ 275166 h 572049"/>
                                    <a:gd name="connsiteX21" fmla="*/ 148442 w 706582"/>
                                    <a:gd name="connsiteY21" fmla="*/ 245477 h 572049"/>
                                    <a:gd name="connsiteX22" fmla="*/ 148442 w 706582"/>
                                    <a:gd name="connsiteY22" fmla="*/ 73285 h 572049"/>
                                    <a:gd name="connsiteX23" fmla="*/ 190005 w 706582"/>
                                    <a:gd name="connsiteY23" fmla="*/ 79223 h 572049"/>
                                    <a:gd name="connsiteX24" fmla="*/ 190005 w 706582"/>
                                    <a:gd name="connsiteY24" fmla="*/ 227664 h 572049"/>
                                    <a:gd name="connsiteX25" fmla="*/ 184068 w 706582"/>
                                    <a:gd name="connsiteY25" fmla="*/ 281103 h 572049"/>
                                    <a:gd name="connsiteX26" fmla="*/ 190005 w 706582"/>
                                    <a:gd name="connsiteY26" fmla="*/ 399856 h 572049"/>
                                    <a:gd name="connsiteX27" fmla="*/ 195943 w 706582"/>
                                    <a:gd name="connsiteY27" fmla="*/ 417669 h 572049"/>
                                    <a:gd name="connsiteX28" fmla="*/ 219694 w 706582"/>
                                    <a:gd name="connsiteY28" fmla="*/ 441420 h 572049"/>
                                    <a:gd name="connsiteX29" fmla="*/ 237507 w 706582"/>
                                    <a:gd name="connsiteY29" fmla="*/ 447358 h 572049"/>
                                    <a:gd name="connsiteX30" fmla="*/ 249382 w 706582"/>
                                    <a:gd name="connsiteY30" fmla="*/ 435482 h 572049"/>
                                    <a:gd name="connsiteX31" fmla="*/ 267195 w 706582"/>
                                    <a:gd name="connsiteY31" fmla="*/ 429545 h 572049"/>
                                    <a:gd name="connsiteX32" fmla="*/ 279070 w 706582"/>
                                    <a:gd name="connsiteY32" fmla="*/ 411732 h 572049"/>
                                    <a:gd name="connsiteX33" fmla="*/ 285008 w 706582"/>
                                    <a:gd name="connsiteY33" fmla="*/ 376106 h 572049"/>
                                    <a:gd name="connsiteX34" fmla="*/ 290946 w 706582"/>
                                    <a:gd name="connsiteY34" fmla="*/ 316729 h 572049"/>
                                    <a:gd name="connsiteX35" fmla="*/ 302821 w 706582"/>
                                    <a:gd name="connsiteY35" fmla="*/ 281103 h 572049"/>
                                    <a:gd name="connsiteX36" fmla="*/ 296883 w 706582"/>
                                    <a:gd name="connsiteY36" fmla="*/ 162350 h 572049"/>
                                    <a:gd name="connsiteX37" fmla="*/ 290946 w 706582"/>
                                    <a:gd name="connsiteY37" fmla="*/ 144537 h 572049"/>
                                    <a:gd name="connsiteX38" fmla="*/ 296883 w 706582"/>
                                    <a:gd name="connsiteY38" fmla="*/ 85160 h 572049"/>
                                    <a:gd name="connsiteX39" fmla="*/ 344385 w 706582"/>
                                    <a:gd name="connsiteY39" fmla="*/ 91098 h 572049"/>
                                    <a:gd name="connsiteX40" fmla="*/ 350322 w 706582"/>
                                    <a:gd name="connsiteY40" fmla="*/ 108911 h 572049"/>
                                    <a:gd name="connsiteX41" fmla="*/ 344385 w 706582"/>
                                    <a:gd name="connsiteY41" fmla="*/ 310791 h 572049"/>
                                    <a:gd name="connsiteX42" fmla="*/ 350322 w 706582"/>
                                    <a:gd name="connsiteY42" fmla="*/ 453295 h 572049"/>
                                    <a:gd name="connsiteX43" fmla="*/ 362198 w 706582"/>
                                    <a:gd name="connsiteY43" fmla="*/ 465171 h 572049"/>
                                    <a:gd name="connsiteX44" fmla="*/ 397824 w 706582"/>
                                    <a:gd name="connsiteY44" fmla="*/ 459233 h 572049"/>
                                    <a:gd name="connsiteX45" fmla="*/ 421574 w 706582"/>
                                    <a:gd name="connsiteY45" fmla="*/ 387981 h 572049"/>
                                    <a:gd name="connsiteX46" fmla="*/ 433450 w 706582"/>
                                    <a:gd name="connsiteY46" fmla="*/ 310791 h 572049"/>
                                    <a:gd name="connsiteX47" fmla="*/ 439387 w 706582"/>
                                    <a:gd name="connsiteY47" fmla="*/ 292978 h 572049"/>
                                    <a:gd name="connsiteX48" fmla="*/ 445325 w 706582"/>
                                    <a:gd name="connsiteY48" fmla="*/ 7971 h 572049"/>
                                    <a:gd name="connsiteX49" fmla="*/ 486889 w 706582"/>
                                    <a:gd name="connsiteY49" fmla="*/ 25784 h 572049"/>
                                    <a:gd name="connsiteX50" fmla="*/ 498764 w 706582"/>
                                    <a:gd name="connsiteY50" fmla="*/ 61410 h 572049"/>
                                    <a:gd name="connsiteX51" fmla="*/ 486889 w 706582"/>
                                    <a:gd name="connsiteY51" fmla="*/ 114849 h 572049"/>
                                    <a:gd name="connsiteX52" fmla="*/ 475013 w 706582"/>
                                    <a:gd name="connsiteY52" fmla="*/ 192038 h 572049"/>
                                    <a:gd name="connsiteX53" fmla="*/ 469076 w 706582"/>
                                    <a:gd name="connsiteY53" fmla="*/ 209851 h 572049"/>
                                    <a:gd name="connsiteX54" fmla="*/ 451263 w 706582"/>
                                    <a:gd name="connsiteY54" fmla="*/ 275166 h 572049"/>
                                    <a:gd name="connsiteX55" fmla="*/ 433450 w 706582"/>
                                    <a:gd name="connsiteY55" fmla="*/ 423607 h 572049"/>
                                    <a:gd name="connsiteX56" fmla="*/ 451263 w 706582"/>
                                    <a:gd name="connsiteY56" fmla="*/ 488921 h 572049"/>
                                    <a:gd name="connsiteX57" fmla="*/ 469076 w 706582"/>
                                    <a:gd name="connsiteY57" fmla="*/ 494859 h 572049"/>
                                    <a:gd name="connsiteX58" fmla="*/ 510639 w 706582"/>
                                    <a:gd name="connsiteY58" fmla="*/ 482984 h 572049"/>
                                    <a:gd name="connsiteX59" fmla="*/ 522515 w 706582"/>
                                    <a:gd name="connsiteY59" fmla="*/ 465171 h 572049"/>
                                    <a:gd name="connsiteX60" fmla="*/ 546265 w 706582"/>
                                    <a:gd name="connsiteY60" fmla="*/ 429545 h 572049"/>
                                    <a:gd name="connsiteX61" fmla="*/ 570016 w 706582"/>
                                    <a:gd name="connsiteY61" fmla="*/ 393919 h 572049"/>
                                    <a:gd name="connsiteX62" fmla="*/ 581891 w 706582"/>
                                    <a:gd name="connsiteY62" fmla="*/ 376106 h 572049"/>
                                    <a:gd name="connsiteX63" fmla="*/ 605642 w 706582"/>
                                    <a:gd name="connsiteY63" fmla="*/ 322667 h 572049"/>
                                    <a:gd name="connsiteX64" fmla="*/ 611579 w 706582"/>
                                    <a:gd name="connsiteY64" fmla="*/ 292978 h 572049"/>
                                    <a:gd name="connsiteX65" fmla="*/ 617517 w 706582"/>
                                    <a:gd name="connsiteY65" fmla="*/ 251415 h 572049"/>
                                    <a:gd name="connsiteX66" fmla="*/ 623455 w 706582"/>
                                    <a:gd name="connsiteY66" fmla="*/ 233602 h 572049"/>
                                    <a:gd name="connsiteX67" fmla="*/ 629392 w 706582"/>
                                    <a:gd name="connsiteY67" fmla="*/ 209851 h 572049"/>
                                    <a:gd name="connsiteX68" fmla="*/ 635330 w 706582"/>
                                    <a:gd name="connsiteY68" fmla="*/ 180163 h 572049"/>
                                    <a:gd name="connsiteX69" fmla="*/ 653143 w 706582"/>
                                    <a:gd name="connsiteY69" fmla="*/ 138599 h 572049"/>
                                    <a:gd name="connsiteX70" fmla="*/ 670956 w 706582"/>
                                    <a:gd name="connsiteY70" fmla="*/ 126724 h 572049"/>
                                    <a:gd name="connsiteX71" fmla="*/ 688769 w 706582"/>
                                    <a:gd name="connsiteY71" fmla="*/ 132662 h 572049"/>
                                    <a:gd name="connsiteX72" fmla="*/ 706582 w 706582"/>
                                    <a:gd name="connsiteY72" fmla="*/ 168288 h 572049"/>
                                    <a:gd name="connsiteX73" fmla="*/ 700644 w 706582"/>
                                    <a:gd name="connsiteY73" fmla="*/ 233602 h 572049"/>
                                    <a:gd name="connsiteX74" fmla="*/ 688769 w 706582"/>
                                    <a:gd name="connsiteY74" fmla="*/ 251415 h 572049"/>
                                    <a:gd name="connsiteX75" fmla="*/ 682831 w 706582"/>
                                    <a:gd name="connsiteY75" fmla="*/ 269228 h 572049"/>
                                    <a:gd name="connsiteX76" fmla="*/ 653143 w 706582"/>
                                    <a:gd name="connsiteY76" fmla="*/ 304854 h 572049"/>
                                    <a:gd name="connsiteX77" fmla="*/ 647205 w 706582"/>
                                    <a:gd name="connsiteY77" fmla="*/ 322667 h 572049"/>
                                    <a:gd name="connsiteX78" fmla="*/ 623455 w 706582"/>
                                    <a:gd name="connsiteY78" fmla="*/ 364230 h 572049"/>
                                    <a:gd name="connsiteX79" fmla="*/ 611579 w 706582"/>
                                    <a:gd name="connsiteY79" fmla="*/ 376106 h 572049"/>
                                    <a:gd name="connsiteX80" fmla="*/ 593766 w 706582"/>
                                    <a:gd name="connsiteY80" fmla="*/ 405794 h 572049"/>
                                    <a:gd name="connsiteX81" fmla="*/ 575953 w 706582"/>
                                    <a:gd name="connsiteY81" fmla="*/ 435482 h 572049"/>
                                    <a:gd name="connsiteX82" fmla="*/ 570016 w 706582"/>
                                    <a:gd name="connsiteY82" fmla="*/ 465171 h 572049"/>
                                    <a:gd name="connsiteX83" fmla="*/ 564078 w 706582"/>
                                    <a:gd name="connsiteY83" fmla="*/ 482984 h 572049"/>
                                    <a:gd name="connsiteX84" fmla="*/ 558140 w 706582"/>
                                    <a:gd name="connsiteY84" fmla="*/ 512672 h 572049"/>
                                    <a:gd name="connsiteX85" fmla="*/ 546265 w 706582"/>
                                    <a:gd name="connsiteY85" fmla="*/ 542360 h 572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Lst>
                                  <a:rect l="l" t="t" r="r" b="b"/>
                                  <a:pathLst>
                                    <a:path w="706582" h="572049">
                                      <a:moveTo>
                                        <a:pt x="53439" y="572049"/>
                                      </a:moveTo>
                                      <a:cubicBezTo>
                                        <a:pt x="47501" y="562153"/>
                                        <a:pt x="40402" y="552867"/>
                                        <a:pt x="35626" y="542360"/>
                                      </a:cubicBezTo>
                                      <a:cubicBezTo>
                                        <a:pt x="30446" y="530964"/>
                                        <a:pt x="23751" y="506734"/>
                                        <a:pt x="23751" y="506734"/>
                                      </a:cubicBezTo>
                                      <a:cubicBezTo>
                                        <a:pt x="21772" y="484963"/>
                                        <a:pt x="20905" y="463061"/>
                                        <a:pt x="17813" y="441420"/>
                                      </a:cubicBezTo>
                                      <a:cubicBezTo>
                                        <a:pt x="16928" y="435224"/>
                                        <a:pt x="12996" y="429765"/>
                                        <a:pt x="11876" y="423607"/>
                                      </a:cubicBezTo>
                                      <a:cubicBezTo>
                                        <a:pt x="5783" y="390094"/>
                                        <a:pt x="2236" y="327982"/>
                                        <a:pt x="0" y="298916"/>
                                      </a:cubicBezTo>
                                      <a:cubicBezTo>
                                        <a:pt x="1979" y="253394"/>
                                        <a:pt x="2572" y="207791"/>
                                        <a:pt x="5938" y="162350"/>
                                      </a:cubicBezTo>
                                      <a:cubicBezTo>
                                        <a:pt x="6541" y="154212"/>
                                        <a:pt x="9531" y="146416"/>
                                        <a:pt x="11876" y="138599"/>
                                      </a:cubicBezTo>
                                      <a:cubicBezTo>
                                        <a:pt x="15473" y="126609"/>
                                        <a:pt x="23751" y="102973"/>
                                        <a:pt x="23751" y="102973"/>
                                      </a:cubicBezTo>
                                      <a:cubicBezTo>
                                        <a:pt x="59336" y="114835"/>
                                        <a:pt x="35626" y="100462"/>
                                        <a:pt x="35626" y="156412"/>
                                      </a:cubicBezTo>
                                      <a:cubicBezTo>
                                        <a:pt x="35626" y="235606"/>
                                        <a:pt x="37968" y="314807"/>
                                        <a:pt x="41564" y="393919"/>
                                      </a:cubicBezTo>
                                      <a:cubicBezTo>
                                        <a:pt x="41935" y="402071"/>
                                        <a:pt x="45260" y="409823"/>
                                        <a:pt x="47502" y="417669"/>
                                      </a:cubicBezTo>
                                      <a:cubicBezTo>
                                        <a:pt x="53476" y="438578"/>
                                        <a:pt x="60174" y="454091"/>
                                        <a:pt x="77190" y="471108"/>
                                      </a:cubicBezTo>
                                      <a:cubicBezTo>
                                        <a:pt x="81148" y="475067"/>
                                        <a:pt x="84265" y="480104"/>
                                        <a:pt x="89065" y="482984"/>
                                      </a:cubicBezTo>
                                      <a:cubicBezTo>
                                        <a:pt x="94432" y="486204"/>
                                        <a:pt x="100940" y="486942"/>
                                        <a:pt x="106878" y="488921"/>
                                      </a:cubicBezTo>
                                      <a:cubicBezTo>
                                        <a:pt x="116774" y="486942"/>
                                        <a:pt x="127804" y="487991"/>
                                        <a:pt x="136566" y="482984"/>
                                      </a:cubicBezTo>
                                      <a:cubicBezTo>
                                        <a:pt x="148527" y="476149"/>
                                        <a:pt x="151790" y="451776"/>
                                        <a:pt x="154379" y="441420"/>
                                      </a:cubicBezTo>
                                      <a:cubicBezTo>
                                        <a:pt x="156358" y="423607"/>
                                        <a:pt x="157782" y="405723"/>
                                        <a:pt x="160317" y="387981"/>
                                      </a:cubicBezTo>
                                      <a:cubicBezTo>
                                        <a:pt x="161744" y="377990"/>
                                        <a:pt x="166255" y="368385"/>
                                        <a:pt x="166255" y="358293"/>
                                      </a:cubicBezTo>
                                      <a:cubicBezTo>
                                        <a:pt x="166255" y="336432"/>
                                        <a:pt x="163409" y="314620"/>
                                        <a:pt x="160317" y="292978"/>
                                      </a:cubicBezTo>
                                      <a:cubicBezTo>
                                        <a:pt x="159432" y="286782"/>
                                        <a:pt x="155897" y="281238"/>
                                        <a:pt x="154379" y="275166"/>
                                      </a:cubicBezTo>
                                      <a:cubicBezTo>
                                        <a:pt x="151931" y="265375"/>
                                        <a:pt x="150421" y="255373"/>
                                        <a:pt x="148442" y="245477"/>
                                      </a:cubicBezTo>
                                      <a:cubicBezTo>
                                        <a:pt x="144572" y="202914"/>
                                        <a:pt x="132642" y="106859"/>
                                        <a:pt x="148442" y="73285"/>
                                      </a:cubicBezTo>
                                      <a:cubicBezTo>
                                        <a:pt x="154401" y="60622"/>
                                        <a:pt x="176151" y="77244"/>
                                        <a:pt x="190005" y="79223"/>
                                      </a:cubicBezTo>
                                      <a:cubicBezTo>
                                        <a:pt x="209413" y="137445"/>
                                        <a:pt x="198413" y="97340"/>
                                        <a:pt x="190005" y="227664"/>
                                      </a:cubicBezTo>
                                      <a:cubicBezTo>
                                        <a:pt x="188851" y="245549"/>
                                        <a:pt x="186047" y="263290"/>
                                        <a:pt x="184068" y="281103"/>
                                      </a:cubicBezTo>
                                      <a:cubicBezTo>
                                        <a:pt x="186047" y="320687"/>
                                        <a:pt x="186572" y="360371"/>
                                        <a:pt x="190005" y="399856"/>
                                      </a:cubicBezTo>
                                      <a:cubicBezTo>
                                        <a:pt x="190547" y="406091"/>
                                        <a:pt x="192305" y="412576"/>
                                        <a:pt x="195943" y="417669"/>
                                      </a:cubicBezTo>
                                      <a:cubicBezTo>
                                        <a:pt x="202451" y="426780"/>
                                        <a:pt x="211777" y="433503"/>
                                        <a:pt x="219694" y="441420"/>
                                      </a:cubicBezTo>
                                      <a:cubicBezTo>
                                        <a:pt x="224120" y="445846"/>
                                        <a:pt x="231569" y="445379"/>
                                        <a:pt x="237507" y="447358"/>
                                      </a:cubicBezTo>
                                      <a:cubicBezTo>
                                        <a:pt x="241465" y="443399"/>
                                        <a:pt x="244582" y="438362"/>
                                        <a:pt x="249382" y="435482"/>
                                      </a:cubicBezTo>
                                      <a:cubicBezTo>
                                        <a:pt x="254749" y="432262"/>
                                        <a:pt x="262308" y="433455"/>
                                        <a:pt x="267195" y="429545"/>
                                      </a:cubicBezTo>
                                      <a:cubicBezTo>
                                        <a:pt x="272767" y="425087"/>
                                        <a:pt x="275112" y="417670"/>
                                        <a:pt x="279070" y="411732"/>
                                      </a:cubicBezTo>
                                      <a:cubicBezTo>
                                        <a:pt x="281049" y="399857"/>
                                        <a:pt x="283515" y="388052"/>
                                        <a:pt x="285008" y="376106"/>
                                      </a:cubicBezTo>
                                      <a:cubicBezTo>
                                        <a:pt x="287475" y="356369"/>
                                        <a:pt x="287280" y="336279"/>
                                        <a:pt x="290946" y="316729"/>
                                      </a:cubicBezTo>
                                      <a:cubicBezTo>
                                        <a:pt x="293253" y="304426"/>
                                        <a:pt x="302821" y="281103"/>
                                        <a:pt x="302821" y="281103"/>
                                      </a:cubicBezTo>
                                      <a:cubicBezTo>
                                        <a:pt x="300842" y="241519"/>
                                        <a:pt x="300316" y="201835"/>
                                        <a:pt x="296883" y="162350"/>
                                      </a:cubicBezTo>
                                      <a:cubicBezTo>
                                        <a:pt x="296341" y="156115"/>
                                        <a:pt x="290946" y="150796"/>
                                        <a:pt x="290946" y="144537"/>
                                      </a:cubicBezTo>
                                      <a:cubicBezTo>
                                        <a:pt x="290946" y="124646"/>
                                        <a:pt x="294904" y="104952"/>
                                        <a:pt x="296883" y="85160"/>
                                      </a:cubicBezTo>
                                      <a:cubicBezTo>
                                        <a:pt x="312717" y="87139"/>
                                        <a:pt x="329803" y="84617"/>
                                        <a:pt x="344385" y="91098"/>
                                      </a:cubicBezTo>
                                      <a:cubicBezTo>
                                        <a:pt x="350104" y="93640"/>
                                        <a:pt x="350322" y="102652"/>
                                        <a:pt x="350322" y="108911"/>
                                      </a:cubicBezTo>
                                      <a:cubicBezTo>
                                        <a:pt x="350322" y="176233"/>
                                        <a:pt x="346364" y="243498"/>
                                        <a:pt x="344385" y="310791"/>
                                      </a:cubicBezTo>
                                      <a:cubicBezTo>
                                        <a:pt x="346364" y="358292"/>
                                        <a:pt x="344873" y="406066"/>
                                        <a:pt x="350322" y="453295"/>
                                      </a:cubicBezTo>
                                      <a:cubicBezTo>
                                        <a:pt x="350964" y="458857"/>
                                        <a:pt x="356643" y="464477"/>
                                        <a:pt x="362198" y="465171"/>
                                      </a:cubicBezTo>
                                      <a:cubicBezTo>
                                        <a:pt x="374144" y="466664"/>
                                        <a:pt x="385949" y="461212"/>
                                        <a:pt x="397824" y="459233"/>
                                      </a:cubicBezTo>
                                      <a:lnTo>
                                        <a:pt x="421574" y="387981"/>
                                      </a:lnTo>
                                      <a:cubicBezTo>
                                        <a:pt x="427936" y="368893"/>
                                        <a:pt x="430538" y="326806"/>
                                        <a:pt x="433450" y="310791"/>
                                      </a:cubicBezTo>
                                      <a:cubicBezTo>
                                        <a:pt x="434570" y="304633"/>
                                        <a:pt x="437408" y="298916"/>
                                        <a:pt x="439387" y="292978"/>
                                      </a:cubicBezTo>
                                      <a:cubicBezTo>
                                        <a:pt x="441366" y="197976"/>
                                        <a:pt x="433292" y="102229"/>
                                        <a:pt x="445325" y="7971"/>
                                      </a:cubicBezTo>
                                      <a:cubicBezTo>
                                        <a:pt x="448511" y="-16986"/>
                                        <a:pt x="485624" y="24519"/>
                                        <a:pt x="486889" y="25784"/>
                                      </a:cubicBezTo>
                                      <a:lnTo>
                                        <a:pt x="498764" y="61410"/>
                                      </a:lnTo>
                                      <a:cubicBezTo>
                                        <a:pt x="500149" y="65566"/>
                                        <a:pt x="488057" y="108423"/>
                                        <a:pt x="486889" y="114849"/>
                                      </a:cubicBezTo>
                                      <a:cubicBezTo>
                                        <a:pt x="482154" y="140894"/>
                                        <a:pt x="480753" y="166209"/>
                                        <a:pt x="475013" y="192038"/>
                                      </a:cubicBezTo>
                                      <a:cubicBezTo>
                                        <a:pt x="473655" y="198148"/>
                                        <a:pt x="470723" y="203813"/>
                                        <a:pt x="469076" y="209851"/>
                                      </a:cubicBezTo>
                                      <a:cubicBezTo>
                                        <a:pt x="448986" y="283515"/>
                                        <a:pt x="464928" y="234165"/>
                                        <a:pt x="451263" y="275166"/>
                                      </a:cubicBezTo>
                                      <a:cubicBezTo>
                                        <a:pt x="438613" y="407980"/>
                                        <a:pt x="449512" y="359351"/>
                                        <a:pt x="433450" y="423607"/>
                                      </a:cubicBezTo>
                                      <a:cubicBezTo>
                                        <a:pt x="436264" y="448932"/>
                                        <a:pt x="427882" y="474893"/>
                                        <a:pt x="451263" y="488921"/>
                                      </a:cubicBezTo>
                                      <a:cubicBezTo>
                                        <a:pt x="456630" y="492141"/>
                                        <a:pt x="463138" y="492880"/>
                                        <a:pt x="469076" y="494859"/>
                                      </a:cubicBezTo>
                                      <a:cubicBezTo>
                                        <a:pt x="470624" y="494472"/>
                                        <a:pt x="506769" y="486080"/>
                                        <a:pt x="510639" y="482984"/>
                                      </a:cubicBezTo>
                                      <a:cubicBezTo>
                                        <a:pt x="516212" y="478526"/>
                                        <a:pt x="518057" y="470744"/>
                                        <a:pt x="522515" y="465171"/>
                                      </a:cubicBezTo>
                                      <a:cubicBezTo>
                                        <a:pt x="558802" y="419812"/>
                                        <a:pt x="503184" y="501346"/>
                                        <a:pt x="546265" y="429545"/>
                                      </a:cubicBezTo>
                                      <a:cubicBezTo>
                                        <a:pt x="553608" y="417307"/>
                                        <a:pt x="562099" y="405794"/>
                                        <a:pt x="570016" y="393919"/>
                                      </a:cubicBezTo>
                                      <a:cubicBezTo>
                                        <a:pt x="573974" y="387981"/>
                                        <a:pt x="579634" y="382876"/>
                                        <a:pt x="581891" y="376106"/>
                                      </a:cubicBezTo>
                                      <a:cubicBezTo>
                                        <a:pt x="596023" y="333710"/>
                                        <a:pt x="586822" y="350895"/>
                                        <a:pt x="605642" y="322667"/>
                                      </a:cubicBezTo>
                                      <a:cubicBezTo>
                                        <a:pt x="607621" y="312771"/>
                                        <a:pt x="609920" y="302933"/>
                                        <a:pt x="611579" y="292978"/>
                                      </a:cubicBezTo>
                                      <a:cubicBezTo>
                                        <a:pt x="613880" y="279173"/>
                                        <a:pt x="614772" y="265138"/>
                                        <a:pt x="617517" y="251415"/>
                                      </a:cubicBezTo>
                                      <a:cubicBezTo>
                                        <a:pt x="618745" y="245278"/>
                                        <a:pt x="621736" y="239620"/>
                                        <a:pt x="623455" y="233602"/>
                                      </a:cubicBezTo>
                                      <a:cubicBezTo>
                                        <a:pt x="625697" y="225755"/>
                                        <a:pt x="627622" y="217817"/>
                                        <a:pt x="629392" y="209851"/>
                                      </a:cubicBezTo>
                                      <a:cubicBezTo>
                                        <a:pt x="631581" y="199999"/>
                                        <a:pt x="633141" y="190015"/>
                                        <a:pt x="635330" y="180163"/>
                                      </a:cubicBezTo>
                                      <a:cubicBezTo>
                                        <a:pt x="639223" y="162643"/>
                                        <a:pt x="640043" y="151699"/>
                                        <a:pt x="653143" y="138599"/>
                                      </a:cubicBezTo>
                                      <a:cubicBezTo>
                                        <a:pt x="658189" y="133553"/>
                                        <a:pt x="665018" y="130682"/>
                                        <a:pt x="670956" y="126724"/>
                                      </a:cubicBezTo>
                                      <a:cubicBezTo>
                                        <a:pt x="676894" y="128703"/>
                                        <a:pt x="683882" y="128752"/>
                                        <a:pt x="688769" y="132662"/>
                                      </a:cubicBezTo>
                                      <a:cubicBezTo>
                                        <a:pt x="699232" y="141033"/>
                                        <a:pt x="702671" y="156554"/>
                                        <a:pt x="706582" y="168288"/>
                                      </a:cubicBezTo>
                                      <a:cubicBezTo>
                                        <a:pt x="704603" y="190059"/>
                                        <a:pt x="705225" y="212226"/>
                                        <a:pt x="700644" y="233602"/>
                                      </a:cubicBezTo>
                                      <a:cubicBezTo>
                                        <a:pt x="699149" y="240580"/>
                                        <a:pt x="691960" y="245032"/>
                                        <a:pt x="688769" y="251415"/>
                                      </a:cubicBezTo>
                                      <a:cubicBezTo>
                                        <a:pt x="685970" y="257013"/>
                                        <a:pt x="686303" y="264020"/>
                                        <a:pt x="682831" y="269228"/>
                                      </a:cubicBezTo>
                                      <a:cubicBezTo>
                                        <a:pt x="656567" y="308624"/>
                                        <a:pt x="672570" y="266001"/>
                                        <a:pt x="653143" y="304854"/>
                                      </a:cubicBezTo>
                                      <a:cubicBezTo>
                                        <a:pt x="650344" y="310452"/>
                                        <a:pt x="649671" y="316914"/>
                                        <a:pt x="647205" y="322667"/>
                                      </a:cubicBezTo>
                                      <a:cubicBezTo>
                                        <a:pt x="641579" y="335794"/>
                                        <a:pt x="632628" y="352763"/>
                                        <a:pt x="623455" y="364230"/>
                                      </a:cubicBezTo>
                                      <a:cubicBezTo>
                                        <a:pt x="619958" y="368602"/>
                                        <a:pt x="615538" y="372147"/>
                                        <a:pt x="611579" y="376106"/>
                                      </a:cubicBezTo>
                                      <a:cubicBezTo>
                                        <a:pt x="594761" y="426567"/>
                                        <a:pt x="618217" y="365042"/>
                                        <a:pt x="593766" y="405794"/>
                                      </a:cubicBezTo>
                                      <a:cubicBezTo>
                                        <a:pt x="570642" y="444333"/>
                                        <a:pt x="606044" y="405393"/>
                                        <a:pt x="575953" y="435482"/>
                                      </a:cubicBezTo>
                                      <a:cubicBezTo>
                                        <a:pt x="573974" y="445378"/>
                                        <a:pt x="572464" y="455380"/>
                                        <a:pt x="570016" y="465171"/>
                                      </a:cubicBezTo>
                                      <a:cubicBezTo>
                                        <a:pt x="568498" y="471243"/>
                                        <a:pt x="565596" y="476912"/>
                                        <a:pt x="564078" y="482984"/>
                                      </a:cubicBezTo>
                                      <a:cubicBezTo>
                                        <a:pt x="561630" y="492775"/>
                                        <a:pt x="560588" y="502881"/>
                                        <a:pt x="558140" y="512672"/>
                                      </a:cubicBezTo>
                                      <a:cubicBezTo>
                                        <a:pt x="554470" y="527351"/>
                                        <a:pt x="552409" y="530072"/>
                                        <a:pt x="546265" y="542360"/>
                                      </a:cubicBezTo>
                                    </a:path>
                                  </a:pathLst>
                                </a:cu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2"/>
                              <wps:cNvSpPr txBox="1">
                                <a:spLocks noChangeArrowheads="1"/>
                              </wps:cNvSpPr>
                              <wps:spPr bwMode="auto">
                                <a:xfrm>
                                  <a:off x="-65318" y="-75"/>
                                  <a:ext cx="1151890" cy="248920"/>
                                </a:xfrm>
                                <a:prstGeom prst="rect">
                                  <a:avLst/>
                                </a:prstGeom>
                                <a:solidFill>
                                  <a:srgbClr val="FFFFFF"/>
                                </a:solidFill>
                                <a:ln w="9525">
                                  <a:noFill/>
                                  <a:miter lim="800000"/>
                                  <a:headEnd/>
                                  <a:tailEnd/>
                                </a:ln>
                              </wps:spPr>
                              <wps:txbx>
                                <w:txbxContent>
                                  <w:p w:rsidR="004166BC" w:rsidRPr="00E84998" w:rsidRDefault="004166BC" w:rsidP="00E84998">
                                    <w:pPr>
                                      <w:rPr>
                                        <w:b/>
                                        <w:color w:val="C00000"/>
                                        <w:sz w:val="16"/>
                                        <w:szCs w:val="16"/>
                                      </w:rPr>
                                    </w:pPr>
                                    <w:r w:rsidRPr="00E84998">
                                      <w:rPr>
                                        <w:b/>
                                        <w:color w:val="C00000"/>
                                        <w:sz w:val="16"/>
                                        <w:szCs w:val="16"/>
                                      </w:rPr>
                                      <w:t>Peripheral circulation</w:t>
                                    </w:r>
                                  </w:p>
                                </w:txbxContent>
                              </wps:txbx>
                              <wps:bodyPr rot="0" vert="horz" wrap="square" lIns="91440" tIns="45720" rIns="91440" bIns="45720" anchor="t" anchorCtr="0">
                                <a:noAutofit/>
                              </wps:bodyPr>
                            </wps:wsp>
                            <wps:wsp>
                              <wps:cNvPr id="116" name="Straight Arrow Connector 123"/>
                              <wps:cNvCnPr/>
                              <wps:spPr>
                                <a:xfrm flipV="1">
                                  <a:off x="504646" y="148441"/>
                                  <a:ext cx="0" cy="550651"/>
                                </a:xfrm>
                                <a:prstGeom prst="straightConnector1">
                                  <a:avLst/>
                                </a:prstGeom>
                                <a:ln w="9525">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s:wsp>
                            <wps:cNvPr id="123" name="Rounded Rectangle 123"/>
                            <wps:cNvSpPr/>
                            <wps:spPr>
                              <a:xfrm>
                                <a:off x="1235033" y="279071"/>
                                <a:ext cx="984885" cy="45719"/>
                              </a:xfrm>
                              <a:prstGeom prst="roundRect">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Oval 125"/>
                            <wps:cNvSpPr/>
                            <wps:spPr>
                              <a:xfrm>
                                <a:off x="1573480" y="213756"/>
                                <a:ext cx="379095" cy="111760"/>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 Box 2"/>
                            <wps:cNvSpPr txBox="1">
                              <a:spLocks noChangeArrowheads="1"/>
                            </wps:cNvSpPr>
                            <wps:spPr bwMode="auto">
                              <a:xfrm>
                                <a:off x="819397" y="0"/>
                                <a:ext cx="961846" cy="200660"/>
                              </a:xfrm>
                              <a:prstGeom prst="rect">
                                <a:avLst/>
                              </a:prstGeom>
                              <a:solidFill>
                                <a:srgbClr val="FFFFFF"/>
                              </a:solidFill>
                              <a:ln w="9525">
                                <a:noFill/>
                                <a:miter lim="800000"/>
                                <a:headEnd/>
                                <a:tailEnd/>
                              </a:ln>
                            </wps:spPr>
                            <wps:txbx>
                              <w:txbxContent>
                                <w:p w:rsidR="004166BC" w:rsidRPr="00E84998" w:rsidRDefault="004166BC" w:rsidP="00C82F38">
                                  <w:pPr>
                                    <w:rPr>
                                      <w:color w:val="002060"/>
                                      <w:sz w:val="16"/>
                                      <w:szCs w:val="16"/>
                                    </w:rPr>
                                  </w:pPr>
                                  <w:r w:rsidRPr="00E3570E">
                                    <w:rPr>
                                      <w:b/>
                                      <w:color w:val="002060"/>
                                      <w:sz w:val="16"/>
                                      <w:szCs w:val="16"/>
                                    </w:rPr>
                                    <w:t>iii)</w:t>
                                  </w:r>
                                  <w:r>
                                    <w:rPr>
                                      <w:color w:val="002060"/>
                                      <w:sz w:val="16"/>
                                      <w:szCs w:val="16"/>
                                    </w:rPr>
                                    <w:t xml:space="preserve"> </w:t>
                                  </w:r>
                                  <w:r w:rsidRPr="00E3570E">
                                    <w:rPr>
                                      <w:b/>
                                      <w:color w:val="002060"/>
                                      <w:sz w:val="16"/>
                                      <w:szCs w:val="16"/>
                                    </w:rPr>
                                    <w:t>Bone lining cell</w:t>
                                  </w:r>
                                </w:p>
                              </w:txbxContent>
                            </wps:txbx>
                            <wps:bodyPr rot="0" vert="horz" wrap="square" lIns="91440" tIns="45720" rIns="91440" bIns="45720" anchor="t" anchorCtr="0">
                              <a:noAutofit/>
                            </wps:bodyPr>
                          </wps:wsp>
                          <wps:wsp>
                            <wps:cNvPr id="127" name="Oval 127"/>
                            <wps:cNvSpPr/>
                            <wps:spPr>
                              <a:xfrm>
                                <a:off x="1751610" y="243445"/>
                                <a:ext cx="71142" cy="59377"/>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C82F38">
                                  <w:pPr>
                                    <w:jc w:val="center"/>
                                  </w:pPr>
                                  <w:r>
                                    <w:t>CV</w:t>
                                  </w:r>
                                  <w:r>
                                    <w:rPr>
                                      <w:noProof/>
                                      <w:lang w:eastAsia="zh-CN"/>
                                    </w:rPr>
                                    <w:drawing>
                                      <wp:inline distT="0" distB="0" distL="0" distR="0" wp14:anchorId="3C3B2654" wp14:editId="443A2CBF">
                                        <wp:extent cx="0" cy="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4214ED08" id="Group 68" o:spid="_x0000_s1030" style="position:absolute;margin-left:-2.35pt;margin-top:10.95pt;width:434.8pt;height:171.2pt;z-index:253055488;mso-width-relative:margin" coordsize="55218,2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">
                <v:shape id="_x0000_s1031" type="#_x0000_t202" style="position:absolute;left:32419;top:18109;width:9557;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rsidR="004166BC" w:rsidRPr="00E84998" w:rsidRDefault="004166BC" w:rsidP="009B6152">
                        <w:pPr>
                          <w:rPr>
                            <w:color w:val="002060"/>
                            <w:sz w:val="16"/>
                            <w:szCs w:val="16"/>
                          </w:rPr>
                        </w:pPr>
                        <w:r w:rsidRPr="00E84998">
                          <w:rPr>
                            <w:color w:val="002060"/>
                            <w:sz w:val="16"/>
                            <w:szCs w:val="16"/>
                          </w:rPr>
                          <w:t>Preosteocyte</w:t>
                        </w:r>
                      </w:p>
                    </w:txbxContent>
                  </v:textbox>
                </v:shape>
                <v:group id="Group 67" o:spid="_x0000_s1032" style="position:absolute;width:55218;height:21746" coordsize="55218,2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123" o:spid="_x0000_s1033" type="#_x0000_t32" style="position:absolute;left:8787;top:10747;width:5303;height:10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" strokecolor="#a5a5a5 [2092]">
                    <v:stroke dashstyle="dash" endarrow="open"/>
                  </v:shape>
                  <v:group id="Group 66" o:spid="_x0000_s1034" style="position:absolute;width:55218;height:21746" coordsize="55218,2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_x0000_s1035" type="#_x0000_t202" style="position:absolute;left:593;top:7778;width:955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" stroked="f">
                      <v:textbox>
                        <w:txbxContent>
                          <w:p w:rsidR="004166BC" w:rsidRPr="00E84998" w:rsidRDefault="004166BC" w:rsidP="00300A1C">
                            <w:pPr>
                              <w:rPr>
                                <w:color w:val="002060"/>
                                <w:sz w:val="16"/>
                                <w:szCs w:val="16"/>
                              </w:rPr>
                            </w:pPr>
                            <w:r w:rsidRPr="00E3570E">
                              <w:rPr>
                                <w:b/>
                                <w:color w:val="002060"/>
                                <w:sz w:val="16"/>
                                <w:szCs w:val="16"/>
                              </w:rPr>
                              <w:t>i)</w:t>
                            </w:r>
                            <w:r>
                              <w:rPr>
                                <w:color w:val="002060"/>
                                <w:sz w:val="16"/>
                                <w:szCs w:val="16"/>
                              </w:rPr>
                              <w:t xml:space="preserve"> </w:t>
                            </w:r>
                            <w:r w:rsidRPr="00E3570E">
                              <w:rPr>
                                <w:b/>
                                <w:color w:val="002060"/>
                                <w:sz w:val="16"/>
                                <w:szCs w:val="16"/>
                              </w:rPr>
                              <w:t>Cell apoptosis</w:t>
                            </w:r>
                          </w:p>
                        </w:txbxContent>
                      </v:textbox>
                    </v:shape>
                    <v:group id="Group 304" o:spid="_x0000_s1036" style="position:absolute;left:1068;top:9915;width:7284;height:769" coordsize="728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group id="Group 303" o:spid="_x0000_s1037" style="position:absolute;width:7286;height:771" coordsize="728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Freeform 295" o:spid="_x0000_s1038" style="position:absolute;width:7286;height:771;visibility:visible;mso-wrap-style:square;v-text-anchor:middle" coordsize="728602,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" path="m37571,71252c80511,54076,58391,65289,102885,35626,119679,24430,162262,23751,162262,23751v13115,937,73953,-1619,100940,11875c269585,38817,274456,44691,281015,47502v7500,3215,15934,3592,23750,5937c316755,57036,340391,65315,340391,65315v41564,-1979,83203,-2746,124691,-5938c475145,58603,484980,55887,494771,53439v6072,-1518,11597,-5206,17813,-5937c540173,44256,568002,43543,595711,41564,650537,5014,583096,51656,625399,17813v5572,-4458,11875,-7917,17813,-11875c668942,7917,697320,335,720402,11876v27252,13626,-22000,40395,-23751,41563c670921,51460,644952,51527,619462,47502,607097,45550,595980,38662,583836,35626v-7917,-1979,-15904,-3695,-23751,-5937c554067,27970,548476,24578,542272,23751,518648,20601,494771,19792,471020,17813,428188,3537,444200,6376,364142,17813v-12392,1770,-23751,7918,-35626,11876l310703,35626c263202,33647,215612,33201,168199,29689v-6242,-462,-11741,-4420,-17813,-5938c140595,21303,130594,19792,120698,17813,109310,18626,40428,9789,19758,35626,-41930,112734,66527,728,1945,65315v19792,1979,39717,2913,59376,5937c67507,72204,72875,77190,79134,77190v6259,,11875,-3959,17813,-5938c106843,61356,113359,45990,126636,41564v5938,-1979,11775,-4291,17813,-5938c168068,29185,191950,23751,215700,17813v19297,-4825,39585,-3958,59377,-5937c322578,13855,370168,14301,417581,17813v6242,462,11795,4218,17813,5938c443241,25993,451116,28229,459145,29689v13769,2503,27709,3958,41563,5937c506646,37605,518521,35305,518521,41564v,6259,-11554,5938,-17813,5938c474902,47502,449249,43543,423519,41564,414356,39273,377622,29689,370080,29689v-17923,,-35626,3958,-53439,5937c322579,37605,328856,38765,334454,41564v6383,3191,10678,11723,17813,11875l613524,47502c667339,11625,634936,22459,714464,29689v-5938,3958,-10890,10144,-17813,11875c679263,45911,660891,44556,643212,47502v-6174,1029,-11875,3958,-17813,5937c599669,51460,573816,50703,548210,47502v-6211,-776,-11795,-4218,-17813,-5938c467565,23611,555706,51979,471020,23751,459599,19944,447146,20425,435394,17813v-6110,-1358,-11703,-4579,-17813,-5937c402748,8580,353654,1895,340391,l251326,5938c209780,8246,168114,8558,126636,11876v-8135,651,-15785,4167,-23751,5937c93033,20002,82933,21096,73197,23751,61120,27045,37571,35626,37571,35626,33612,41564,23964,46516,25695,53439v1518,6072,11554,5938,17813,5938c55547,59377,67259,55418,79134,53439v-6785,-4523,-28841,-27143,-35626,c41000,63472,71101,70553,73197,71252v11875,-1979,23946,-3017,35626,-5937c120967,62279,132574,57397,144449,53439v5938,-1979,11556,-5788,17813,-5937l411643,41564v7190,-21568,-321,-17813,17813,-17813e" fillcolor="#ddd8c2 [2894]" strokecolor="#c4bc96 [2414]" strokeweight="2pt">
                          <v:path arrowok="t" o:connecttype="custom" o:connectlocs="37571,71252;102885,35626;162262,23751;263202,35626;281015,47502;304765,53439;340391,65315;465082,59377;494771,53439;512584,47502;595711,41564;625399,17813;643212,5938;720402,11876;696651,53439;619462,47502;583836,35626;560085,29689;542272,23751;471020,17813;364142,17813;328516,29689;310703,35626;168199,29689;150386,23751;120698,17813;19758,35626;1945,65315;61321,71252;79134,77190;96947,71252;126636,41564;144449,35626;215700,17813;275077,11876;417581,17813;435394,23751;459145,29689;500708,35626;518521,41564;500708,47502;423519,41564;370080,29689;316641,35626;334454,41564;352267,53439;613524,47502;714464,29689;696651,41564;643212,47502;625399,53439;548210,47502;530397,41564;471020,23751;435394,17813;417581,11876;340391,0;251326,5938;126636,11876;102885,17813;73197,23751;37571,35626;25695,53439;43508,59377;79134,53439;43508,53439;73197,71252;108823,65315;144449,53439;162262,47502;411643,41564;429456,23751" o:connectangles="0,0,0,0,0,0,0,0,0,0,0,0,0,0,0,0,0,0,0,0,0,0,0,0,0,0,0,0,0,0,0,0,0,0,0,0,0,0,0,0,0,0,0,0,0,0,0,0,0,0,0,0,0,0,0,0,0,0,0,0,0,0,0,0,0,0,0,0,0,0,0,0"/>
                        </v:shape>
                        <v:shape id="Freeform 301" o:spid="_x0000_s1039" style="position:absolute;left:593;top:178;width:6488;height:475;visibility:visible;mso-wrap-style:square;v-text-anchor:middle" coordsize="648793,4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" path="m29689,17813c41564,15834,53563,14488,65315,11876,71425,10518,76991,7166,83128,5938,96851,3193,110837,1979,124691,v29688,1979,59493,2652,89065,5938c219977,6629,225459,10518,231569,11876v26643,5921,63351,9018,89065,11875c328551,25730,336335,28347,344385,29689v57706,9617,112622,9038,172192,11875c524494,43543,532167,47502,540328,47502v9123,,41192,-5753,53438,-11876c600149,32435,605196,26942,611579,23751v5598,-2799,12215,-3139,17813,-5938c635775,14622,654286,6823,647205,5938,625513,3227,603662,9897,581891,11876v-3958,5938,-6303,13355,-11875,17813c553034,43274,507354,30643,498764,29689l463138,17813,445325,11876c308759,13855,172098,12354,35626,17813,23118,18313,12518,29689,,29689l29689,17813xe" fillcolor="#ddd8c2 [2894]" strokecolor="#c4bc96 [2414]" strokeweight="2pt">
                          <v:path arrowok="t" o:connecttype="custom" o:connectlocs="29689,17813;65315,11876;83128,5938;124691,0;213756,5938;231569,11876;320634,23751;344385,29689;516577,41564;540328,47502;593766,35626;611579,23751;629392,17813;647205,5938;581891,11876;570016,29689;498764,29689;463138,17813;445325,11876;35626,17813;0,29689;29689,17813" o:connectangles="0,0,0,0,0,0,0,0,0,0,0,0,0,0,0,0,0,0,0,0,0,0"/>
                        </v:shape>
                      </v:group>
                      <v:oval id="Oval 302" o:spid="_x0000_s1040" style="position:absolute;left:712;top:178;width:451;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" fillcolor="#5a5a5a [2109]" stroked="f" strokeweight="2pt"/>
                    </v:group>
                    <v:shape id="_x0000_s1041" type="#_x0000_t202" style="position:absolute;top:2730;width:11518;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rsidR="004166BC" w:rsidRPr="00E84998" w:rsidRDefault="004166BC" w:rsidP="00E84998">
                            <w:pPr>
                              <w:rPr>
                                <w:b/>
                                <w:color w:val="C00000"/>
                                <w:sz w:val="16"/>
                                <w:szCs w:val="16"/>
                              </w:rPr>
                            </w:pPr>
                            <w:r w:rsidRPr="00E84998">
                              <w:rPr>
                                <w:b/>
                                <w:color w:val="C00000"/>
                                <w:sz w:val="16"/>
                                <w:szCs w:val="16"/>
                              </w:rPr>
                              <w:t>Bone marrow</w:t>
                            </w:r>
                          </w:p>
                        </w:txbxContent>
                      </v:textbox>
                    </v:shape>
                    <v:group id="Group 122" o:spid="_x0000_s1042" style="position:absolute;left:12112;top:2789;width:43106;height:18957" coordorigin="-653" coordsize="43106,1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oval id="Oval 315" o:spid="_x0000_s1043" style="position:absolute;left:35329;top:11637;width:5276;height:2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" fillcolor="#c4bc96 [2414]" stroked="f" strokeweight="2pt"/>
                      <v:shape id="_x0000_s1044" type="#_x0000_t202" style="position:absolute;left:17931;top:7600;width:544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" stroked="f">
                        <v:textbox>
                          <w:txbxContent>
                            <w:p w:rsidR="004166BC" w:rsidRPr="009B6152" w:rsidRDefault="004166BC" w:rsidP="00B67BBF">
                              <w:pPr>
                                <w:rPr>
                                  <w:sz w:val="12"/>
                                  <w:szCs w:val="12"/>
                                </w:rPr>
                              </w:pPr>
                              <w:r w:rsidRPr="009B6152">
                                <w:rPr>
                                  <w:sz w:val="12"/>
                                  <w:szCs w:val="12"/>
                                </w:rPr>
                                <w:t>Osteoid</w:t>
                              </w:r>
                            </w:p>
                          </w:txbxContent>
                        </v:textbox>
                      </v:shape>
                      <v:shape id="_x0000_s1045" type="#_x0000_t202" style="position:absolute;left:8906;top:10507;width:1074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" stroked="f">
                        <v:textbox>
                          <w:txbxContent>
                            <w:p w:rsidR="004166BC" w:rsidRPr="00E84998" w:rsidRDefault="004166BC" w:rsidP="009B6152">
                              <w:pPr>
                                <w:rPr>
                                  <w:color w:val="002060"/>
                                  <w:sz w:val="16"/>
                                  <w:szCs w:val="16"/>
                                </w:rPr>
                              </w:pPr>
                              <w:r w:rsidRPr="00E3570E">
                                <w:rPr>
                                  <w:b/>
                                  <w:color w:val="002060"/>
                                  <w:sz w:val="16"/>
                                  <w:szCs w:val="16"/>
                                </w:rPr>
                                <w:t>ii)</w:t>
                              </w:r>
                              <w:r>
                                <w:rPr>
                                  <w:color w:val="002060"/>
                                  <w:sz w:val="16"/>
                                  <w:szCs w:val="16"/>
                                </w:rPr>
                                <w:t xml:space="preserve"> </w:t>
                              </w:r>
                              <w:r w:rsidRPr="00E3570E">
                                <w:rPr>
                                  <w:b/>
                                  <w:color w:val="002060"/>
                                  <w:sz w:val="16"/>
                                  <w:szCs w:val="16"/>
                                </w:rPr>
                                <w:t>Osteocyte lineage</w:t>
                              </w:r>
                            </w:p>
                          </w:txbxContent>
                        </v:textbox>
                      </v:shape>
                      <v:shape id="_x0000_s1046" type="#_x0000_t202" style="position:absolute;left:34794;top:6234;width:7658;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" stroked="f">
                        <v:textbox>
                          <w:txbxContent>
                            <w:p w:rsidR="004166BC" w:rsidRPr="00B67BBF" w:rsidRDefault="004166BC" w:rsidP="00B67BBF">
                              <w:pPr>
                                <w:rPr>
                                  <w:sz w:val="12"/>
                                  <w:szCs w:val="12"/>
                                </w:rPr>
                              </w:pPr>
                              <w:r>
                                <w:rPr>
                                  <w:sz w:val="12"/>
                                  <w:szCs w:val="12"/>
                                </w:rPr>
                                <w:t xml:space="preserve">Mineralised </w:t>
                              </w:r>
                              <w:r w:rsidRPr="00B67BBF">
                                <w:rPr>
                                  <w:sz w:val="12"/>
                                  <w:szCs w:val="12"/>
                                </w:rPr>
                                <w:t>bone</w:t>
                              </w:r>
                            </w:p>
                          </w:txbxContent>
                        </v:textbox>
                      </v:shape>
                      <v:shape id="Text Box 99" o:spid="_x0000_s1047" type="#_x0000_t202" style="position:absolute;left:18763;top:9144;width:807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" fillcolor="#f6f4a6" stroked="f" strokeweight=".5pt">
                        <v:textbox>
                          <w:txbxContent>
                            <w:p w:rsidR="004166BC" w:rsidRPr="004F7B64" w:rsidRDefault="004166BC" w:rsidP="00B67BBF">
                              <w:pPr>
                                <w:jc w:val="center"/>
                                <w:rPr>
                                  <w:color w:val="31849B" w:themeColor="accent5" w:themeShade="BF"/>
                                  <w:sz w:val="12"/>
                                  <w:szCs w:val="12"/>
                                </w:rPr>
                              </w:pPr>
                            </w:p>
                          </w:txbxContent>
                        </v:textbox>
                      </v:shape>
                      <v:shape id="Freeform 314" o:spid="_x0000_s1048" style="position:absolute;left:20128;top:10153;width:5188;height:5410;visibility:visible;mso-wrap-style:square;v-text-anchor:middle" coordsize="518959,541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" path="m20195,220927v989,-3958,13126,-19142,17813,-29688c53861,155570,38885,76397,38008,60610,39583,46434,30091,-30188,79572,13109v9420,8243,7917,23751,11875,35626l115198,119987v2581,7742,1411,16961,5938,23751c125094,149676,133011,151655,138949,155613v9896,-1979,21291,-340,29688,-5938c173845,146203,173057,137934,174575,131862v2448,-9791,3489,-19897,5937,-29688c186240,79260,185868,84943,204263,66548v13854,1979,30516,-2654,41563,5938c276441,96298,241363,108291,269577,125925v10615,6634,35626,11875,35626,11875c324799,133880,336398,137269,346767,119987v3220,-5367,2897,-12342,5937,-17813c359635,89698,376455,66548,376455,66548v7917,1979,16961,1411,23751,5938c418837,84907,415880,124963,418019,137800v4377,26265,2168,19982,17813,35626c441770,169468,449187,167123,453645,161551v3910,-4887,4817,-11655,5937,-17813c462436,128038,462897,111976,465520,96236v2991,-17942,12536,-43545,17813,-59376c485312,30922,495208,32901,501146,30922v3958,5938,8684,11430,11875,17813c515820,54333,518959,60289,518959,66548v,53476,-3454,106899,-5938,160317c511547,258560,510241,290296,507084,321868v-812,8120,-4338,15748,-5938,23750c498785,357423,497187,369369,495208,381244v-1979,49481,-753,99194,-5937,148442c488011,541659,485164,505959,483333,494060v-8810,-57260,-527,-25332,-17813,-77190c463541,410932,453645,412912,447707,410933v-1707,-2561,-17242,-28387,-23751,-29689c417819,380016,412081,385203,406143,387182v-13010,19515,-11668,14118,-17813,35626c386088,430654,386042,439259,382393,446558v-6521,13042,-17499,13750,-29689,17813c346766,468330,342027,476247,334891,476247v-5598,,-11181,-6321,-11875,-11876c321523,452425,326975,440621,328954,428746v-19043,-19043,-18054,-24304,-59377,-5938c263858,425350,265618,434683,263639,440621v-1979,19792,-3124,39685,-5937,59376c256548,508076,257960,518437,251764,523748v-9504,8146,-23751,7917,-35626,11875l198325,541561v-5938,-1979,-12926,-2028,-17813,-5938c157113,516903,169296,481308,174575,458434v1605,-6953,7917,-11875,11875,-17813c184471,424787,186993,407702,180512,393120v-2542,-5719,-11554,-5938,-17813,-5938c148704,387182,134990,391141,121136,393120v-14497,14496,-12621,15123,-35626,23750c70288,422578,58303,421568,43946,428746v-6383,3191,-11875,7917,-17813,11875c5243,471957,-17443,512395,20195,369369v2849,-10828,23751,-23751,23751,-23751c45925,339680,54310,332231,49884,327805,41033,318954,14258,315930,14258,315930v-9273,-27816,-11078,-24694,,-65314c16136,243731,22942,239186,26133,232803v2799,-5598,3614,-12002,5938,-17813c33715,210881,19206,224885,20195,220927xe" fillcolor="#c4bc96 [2414]" stroked="f" strokeweight="2pt">
                        <v:path arrowok="t" o:connecttype="custom" o:connectlocs="20189,220706;37996,191048;37996,60549;79547,13096;91418,48686;115162,119867;121098,143594;138905,155458;168584,149525;174520,131730;180455,102072;204198,66482;245748,72414;269492,125799;305107,137662;346657,119867;352593,102072;376336,66482;400080,72414;417887,137662;435694,173253;453502,161390;459437,143594;465373,96140;483180,36823;500988,30891;512859,48686;518795,66482;512859,226638;506924,321546;500988,345273;495052,380863;489116,529157;483180,493566;465373,416454;447566,410522;423822,380863;406015,386795;388207,422386;382272,446112;352593,463907;334785,475771;322914,463907;328850,428318;269492,422386;263556,440181;257621,499498;251684,523225;216070,535088;198262,541020;180455,535088;174520,457976;186391,440181;180455,392727;162648,386795;121098,392727;85483,416454;43932,428318;26125,440181;20189,369000;43932,345273;49868,327478;14253,315614;14253,250366;26125,232570;32061,214775;20189,220706" o:connectangles="0,0,0,0,0,0,0,0,0,0,0,0,0,0,0,0,0,0,0,0,0,0,0,0,0,0,0,0,0,0,0,0,0,0,0,0,0,0,0,0,0,0,0,0,0,0,0,0,0,0,0,0,0,0,0,0,0,0,0,0,0,0,0,0,0,0,0"/>
                      </v:shape>
                      <v:group id="Group 29" o:spid="_x0000_s1049" style="position:absolute;left:1900;top:7303;width:6292;height:4096" coordorigin="59,1009" coordsize="10179,8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199" o:spid="_x0000_s1050" style="position:absolute;left:59;top:5462;width:1017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" fillcolor="#c4af92" stroked="f" strokeweight="2pt"/>
                        <v:oval id="Oval 198" o:spid="_x0000_s1051" style="position:absolute;left:59;top:1009;width:10179;height:8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" fillcolor="#c4af92" stroked="f" strokeweight="2pt"/>
                      </v:group>
                      <v:shape id="Text Box 31" o:spid="_x0000_s1052" type="#_x0000_t202" style="position:absolute;left:1009;top:11459;width:807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" fillcolor="#f6f4a6" stroked="f" strokeweight=".5pt">
                        <v:textbox>
                          <w:txbxContent>
                            <w:p w:rsidR="004166BC" w:rsidRPr="00E84998" w:rsidRDefault="004166BC" w:rsidP="00B67BBF">
                              <w:pPr>
                                <w:jc w:val="center"/>
                                <w:rPr>
                                  <w:b/>
                                  <w:color w:val="C00000"/>
                                  <w:sz w:val="16"/>
                                  <w:szCs w:val="16"/>
                                </w:rPr>
                              </w:pPr>
                              <w:r w:rsidRPr="00E84998">
                                <w:rPr>
                                  <w:b/>
                                  <w:color w:val="C00000"/>
                                  <w:sz w:val="16"/>
                                  <w:szCs w:val="16"/>
                                </w:rPr>
                                <w:t>Bone</w:t>
                              </w:r>
                              <w:r>
                                <w:rPr>
                                  <w:b/>
                                  <w:color w:val="C00000"/>
                                  <w:sz w:val="16"/>
                                  <w:szCs w:val="16"/>
                                </w:rPr>
                                <w:t xml:space="preserve"> matrix</w:t>
                              </w:r>
                            </w:p>
                            <w:p w:rsidR="004166BC" w:rsidRPr="004F7B64" w:rsidRDefault="004166BC" w:rsidP="004F7B64">
                              <w:pPr>
                                <w:jc w:val="center"/>
                                <w:rPr>
                                  <w:color w:val="31849B" w:themeColor="accent5" w:themeShade="BF"/>
                                  <w:sz w:val="12"/>
                                  <w:szCs w:val="12"/>
                                </w:rPr>
                              </w:pPr>
                            </w:p>
                          </w:txbxContent>
                        </v:textbox>
                      </v:shape>
                      <v:oval id="Oval 288" o:spid="_x0000_s1053" style="position:absolute;left:6353;top:8728;width:889;height:1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" fillcolor="#5a5a5a [2109]" stroked="f" strokeweight="2pt">
                        <v:textbox>
                          <w:txbxContent>
                            <w:p w:rsidR="004166BC" w:rsidRDefault="004166BC" w:rsidP="000202D0">
                              <w:pPr>
                                <w:jc w:val="center"/>
                              </w:pPr>
                              <w:r>
                                <w:t>CV</w:t>
                              </w:r>
                              <w:r>
                                <w:rPr>
                                  <w:noProof/>
                                  <w:lang w:eastAsia="zh-CN"/>
                                </w:rPr>
                                <w:drawing>
                                  <wp:inline distT="0" distB="0" distL="0" distR="0" wp14:anchorId="5A44C300" wp14:editId="1AF9C7EB">
                                    <wp:extent cx="0" cy="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v:shape id="Straight Arrow Connector 123" o:spid="_x0000_s1054" type="#_x0000_t32" style="position:absolute;left:10034;top:12528;width:72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" strokecolor="black [3213]">
                        <v:stroke endarrow="open"/>
                      </v:shape>
                      <v:shape id="_x0000_s1055" type="#_x0000_t202" style="position:absolute;left:771;top:5106;width:955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" stroked="f">
                        <v:textbox>
                          <w:txbxContent>
                            <w:p w:rsidR="004166BC" w:rsidRPr="00E84998" w:rsidRDefault="004166BC">
                              <w:pPr>
                                <w:rPr>
                                  <w:color w:val="002060"/>
                                  <w:sz w:val="16"/>
                                  <w:szCs w:val="16"/>
                                </w:rPr>
                              </w:pPr>
                              <w:r w:rsidRPr="00E84998">
                                <w:rPr>
                                  <w:color w:val="002060"/>
                                  <w:sz w:val="16"/>
                                  <w:szCs w:val="16"/>
                                </w:rPr>
                                <w:t>Mature osteoblast</w:t>
                              </w:r>
                            </w:p>
                          </w:txbxContent>
                        </v:textbox>
                      </v:shape>
                      <v:oval id="Oval 309" o:spid="_x0000_s1056" style="position:absolute;left:20128;top:11519;width:5277;height:2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" fillcolor="#c4bc96 [2414]" stroked="f" strokeweight="2pt"/>
                      <v:oval id="Oval 312" o:spid="_x0000_s1057" style="position:absolute;left:21375;top:12172;width:2623;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" fillcolor="#5a5a5a [2109]" stroked="f" strokeweight="2pt">
                        <v:textbox>
                          <w:txbxContent>
                            <w:p w:rsidR="004166BC" w:rsidRDefault="004166BC" w:rsidP="000202D0">
                              <w:pPr>
                                <w:jc w:val="center"/>
                              </w:pPr>
                              <w:r>
                                <w:t>CV</w:t>
                              </w:r>
                              <w:r>
                                <w:rPr>
                                  <w:noProof/>
                                  <w:lang w:eastAsia="zh-CN"/>
                                </w:rPr>
                                <w:drawing>
                                  <wp:inline distT="0" distB="0" distL="0" distR="0" wp14:anchorId="7B7751F1" wp14:editId="2B8F8702">
                                    <wp:extent cx="0" cy="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v:shape id="Straight Arrow Connector 123" o:spid="_x0000_s1058" type="#_x0000_t32" style="position:absolute;left:26956;top:12409;width:72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" strokecolor="black [3213]">
                        <v:stroke endarrow="open"/>
                      </v:shape>
                      <v:shape id="Freeform 97" o:spid="_x0000_s1059" style="position:absolute;left:34972;top:7065;width:7062;height:5715;visibility:visible;mso-wrap-style:square;v-text-anchor:middle" coordsize="706582,57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" path="m53439,572049c47501,562153,40402,552867,35626,542360,30446,530964,23751,506734,23751,506734,21772,484963,20905,463061,17813,441420v-885,-6196,-4817,-11655,-5937,-17813c5783,390094,2236,327982,,298916,1979,253394,2572,207791,5938,162350v603,-8138,3593,-15934,5938,-23751c15473,126609,23751,102973,23751,102973v35585,11862,11875,-2511,11875,53439c35626,235606,37968,314807,41564,393919v371,8152,3696,15904,5938,23750c53476,438578,60174,454091,77190,471108v3958,3959,7075,8996,11875,11876c94432,486204,100940,486942,106878,488921v9896,-1979,20926,-930,29688,-5937c148527,476149,151790,451776,154379,441420v1979,-17813,3403,-35697,5938,-53439c161744,377990,166255,368385,166255,358293v,-21861,-2846,-43673,-5938,-65315c159432,286782,155897,281238,154379,275166v-2448,-9791,-3958,-19793,-5937,-29689c144572,202914,132642,106859,148442,73285v5959,-12663,27709,3959,41563,5938c209413,137445,198413,97340,190005,227664v-1154,17885,-3958,35626,-5937,53439c186047,320687,186572,360371,190005,399856v542,6235,2300,12720,5938,17813c202451,426780,211777,433503,219694,441420v4426,4426,11875,3959,17813,5938c241465,443399,244582,438362,249382,435482v5367,-3220,12926,-2027,17813,-5937c272767,425087,275112,417670,279070,411732v1979,-11875,4445,-23680,5938,-35626c287475,356369,287280,336279,290946,316729v2307,-12303,11875,-35626,11875,-35626c300842,241519,300316,201835,296883,162350v-542,-6235,-5937,-11554,-5937,-17813c290946,124646,294904,104952,296883,85160v15834,1979,32920,-543,47502,5938c350104,93640,350322,102652,350322,108911v,67322,-3958,134587,-5937,201880c346364,358292,344873,406066,350322,453295v642,5562,6321,11182,11876,11876c374144,466664,385949,461212,397824,459233r23750,-71252c427936,368893,430538,326806,433450,310791v1120,-6158,3958,-11875,5937,-17813c441366,197976,433292,102229,445325,7971v3186,-24957,40299,16548,41564,17813l498764,61410v1385,4156,-10707,47013,-11875,53439c482154,140894,480753,166209,475013,192038v-1358,6110,-4290,11775,-5937,17813c448986,283515,464928,234165,451263,275166v-12650,132814,-1751,84185,-17813,148441c436264,448932,427882,474893,451263,488921v5367,3220,11875,3959,17813,5938c470624,494472,506769,486080,510639,482984v5573,-4458,7418,-12240,11876,-17813c558802,419812,503184,501346,546265,429545v7343,-12238,15834,-23751,23751,-35626c573974,387981,579634,382876,581891,376106v14132,-42396,4931,-25211,23751,-53439c607621,312771,609920,302933,611579,292978v2301,-13805,3193,-27840,5938,-41563c618745,245278,621736,239620,623455,233602v2242,-7847,4167,-15785,5937,-23751c631581,199999,633141,190015,635330,180163v3893,-17520,4713,-28464,17813,-41564c658189,133553,665018,130682,670956,126724v5938,1979,12926,2028,17813,5938c699232,141033,702671,156554,706582,168288v-1979,21771,-1357,43938,-5938,65314c699149,240580,691960,245032,688769,251415v-2799,5598,-2466,12605,-5938,17813c656567,308624,672570,266001,653143,304854v-2799,5598,-3472,12060,-5938,17813c641579,335794,632628,352763,623455,364230v-3497,4372,-7917,7917,-11876,11876c594761,426567,618217,365042,593766,405794v-23124,38539,12278,-401,-17813,29688c573974,445378,572464,455380,570016,465171v-1518,6072,-4420,11741,-5938,17813c561630,492775,560588,502881,558140,512672v-3670,14679,-5731,17400,-11875,29688e" fillcolor="#c4bc96 [2414]" stroked="f" strokeweight="2pt">
                        <v:path arrowok="t" o:connecttype="custom" o:connectlocs="53404,571500;35603,541839;23735,506248;17801,440996;11868,423200;0,298629;5934,162194;11868,138466;23735,102874;35603,156262;41537,393541;47471,417268;77140,470656;89007,482520;106808,488452;136477,482520;154278,440996;160212,387609;166146,357949;160212,292697;154278,274902;148345,245241;148345,73215;189881,79147;189881,227446;183948,280833;189881,399472;195815,417268;219550,440996;237352,446929;249219,435064;267020,429133;278888,411337;284822,375745;290756,316425;302623,280833;296689,162194;290756,144398;296689,85078;344160,91011;350093,108806;344160,310493;350093,452860;361961,464725;397564,458792;421298,387609;433167,310493;439100,292697;445034,7963;486571,25759;498438,61351;486571,114739;474702,191854;468769,209650;450968,274902;433167,423200;450968,488452;468769,494384;510305,482520;522173,464725;545908,429133;569643,393541;581511,375745;605246,322357;611179,292697;617113,251174;623047,233378;628980,209650;634915,179990;652716,138466;670517,126602;688319,132535;706120,168126;700186,233378;688319,251174;682385,268970;652716,304561;646782,322357;623047,363880;611179,375745;593378,405405;575576,435064;569643,464725;563709,482520;557775,512180;545908,541839" o:connectangles="0,0,0,0,0,0,0,0,0,0,0,0,0,0,0,0,0,0,0,0,0,0,0,0,0,0,0,0,0,0,0,0,0,0,0,0,0,0,0,0,0,0,0,0,0,0,0,0,0,0,0,0,0,0,0,0,0,0,0,0,0,0,0,0,0,0,0,0,0,0,0,0,0,0,0,0,0,0,0,0,0,0,0,0,0,0"/>
                      </v:shape>
                      <v:shape id="Freeform 98" o:spid="_x0000_s1060" style="position:absolute;left:34022;top:13240;width:7062;height:5715;rotation:180;visibility:visible;mso-wrap-style:square;v-text-anchor:middle" coordsize="706582,57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" path="m53439,572049c47501,562153,40402,552867,35626,542360,30446,530964,23751,506734,23751,506734,21772,484963,20905,463061,17813,441420v-885,-6196,-4817,-11655,-5937,-17813c5783,390094,2236,327982,,298916,1979,253394,2572,207791,5938,162350v603,-8138,3593,-15934,5938,-23751c15473,126609,23751,102973,23751,102973v35585,11862,11875,-2511,11875,53439c35626,235606,37968,314807,41564,393919v371,8152,3696,15904,5938,23750c53476,438578,60174,454091,77190,471108v3958,3959,7075,8996,11875,11876c94432,486204,100940,486942,106878,488921v9896,-1979,20926,-930,29688,-5937c148527,476149,151790,451776,154379,441420v1979,-17813,3403,-35697,5938,-53439c161744,377990,166255,368385,166255,358293v,-21861,-2846,-43673,-5938,-65315c159432,286782,155897,281238,154379,275166v-2448,-9791,-3958,-19793,-5937,-29689c144572,202914,132642,106859,148442,73285v5959,-12663,27709,3959,41563,5938c209413,137445,198413,97340,190005,227664v-1154,17885,-3958,35626,-5937,53439c186047,320687,186572,360371,190005,399856v542,6235,2300,12720,5938,17813c202451,426780,211777,433503,219694,441420v4426,4426,11875,3959,17813,5938c241465,443399,244582,438362,249382,435482v5367,-3220,12926,-2027,17813,-5937c272767,425087,275112,417670,279070,411732v1979,-11875,4445,-23680,5938,-35626c287475,356369,287280,336279,290946,316729v2307,-12303,11875,-35626,11875,-35626c300842,241519,300316,201835,296883,162350v-542,-6235,-5937,-11554,-5937,-17813c290946,124646,294904,104952,296883,85160v15834,1979,32920,-543,47502,5938c350104,93640,350322,102652,350322,108911v,67322,-3958,134587,-5937,201880c346364,358292,344873,406066,350322,453295v642,5562,6321,11182,11876,11876c374144,466664,385949,461212,397824,459233r23750,-71252c427936,368893,430538,326806,433450,310791v1120,-6158,3958,-11875,5937,-17813c441366,197976,433292,102229,445325,7971v3186,-24957,40299,16548,41564,17813l498764,61410v1385,4156,-10707,47013,-11875,53439c482154,140894,480753,166209,475013,192038v-1358,6110,-4290,11775,-5937,17813c448986,283515,464928,234165,451263,275166v-12650,132814,-1751,84185,-17813,148441c436264,448932,427882,474893,451263,488921v5367,3220,11875,3959,17813,5938c470624,494472,506769,486080,510639,482984v5573,-4458,7418,-12240,11876,-17813c558802,419812,503184,501346,546265,429545v7343,-12238,15834,-23751,23751,-35626c573974,387981,579634,382876,581891,376106v14132,-42396,4931,-25211,23751,-53439c607621,312771,609920,302933,611579,292978v2301,-13805,3193,-27840,5938,-41563c618745,245278,621736,239620,623455,233602v2242,-7847,4167,-15785,5937,-23751c631581,199999,633141,190015,635330,180163v3893,-17520,4713,-28464,17813,-41564c658189,133553,665018,130682,670956,126724v5938,1979,12926,2028,17813,5938c699232,141033,702671,156554,706582,168288v-1979,21771,-1357,43938,-5938,65314c699149,240580,691960,245032,688769,251415v-2799,5598,-2466,12605,-5938,17813c656567,308624,672570,266001,653143,304854v-2799,5598,-3472,12060,-5938,17813c641579,335794,632628,352763,623455,364230v-3497,4372,-7917,7917,-11876,11876c594761,426567,618217,365042,593766,405794v-23124,38539,12278,-401,-17813,29688c573974,445378,572464,455380,570016,465171v-1518,6072,-4420,11741,-5938,17813c561630,492775,560588,502881,558140,512672v-3670,14679,-5731,17400,-11875,29688e" fillcolor="#c4bc96 [2414]" stroked="f" strokeweight="2pt">
                        <v:path arrowok="t" o:connecttype="custom" o:connectlocs="53404,571500;35603,541839;23735,506248;17801,440996;11868,423200;0,298629;5934,162194;11868,138466;23735,102874;35603,156262;41537,393541;47471,417268;77140,470656;89007,482520;106808,488452;136477,482520;154278,440996;160212,387609;166146,357949;160212,292697;154278,274902;148345,245241;148345,73215;189881,79147;189881,227446;183948,280833;189881,399472;195815,417268;219550,440996;237352,446929;249219,435064;267020,429133;278888,411337;284822,375745;290756,316425;302623,280833;296689,162194;290756,144398;296689,85078;344160,91011;350093,108806;344160,310493;350093,452860;361961,464725;397564,458792;421298,387609;433167,310493;439100,292697;445034,7963;486571,25759;498438,61351;486571,114739;474702,191854;468769,209650;450968,274902;433167,423200;450968,488452;468769,494384;510305,482520;522173,464725;545908,429133;569643,393541;581511,375745;605246,322357;611179,292697;617113,251174;623047,233378;628980,209650;634915,179990;652716,138466;670517,126602;688319,132535;706120,168126;700186,233378;688319,251174;682385,268970;652716,304561;646782,322357;623047,363880;611179,375745;593378,405405;575576,435064;569643,464725;563709,482520;557775,512180;545908,541839" o:connectangles="0,0,0,0,0,0,0,0,0,0,0,0,0,0,0,0,0,0,0,0,0,0,0,0,0,0,0,0,0,0,0,0,0,0,0,0,0,0,0,0,0,0,0,0,0,0,0,0,0,0,0,0,0,0,0,0,0,0,0,0,0,0,0,0,0,0,0,0,0,0,0,0,0,0,0,0,0,0,0,0,0,0,0,0,0,0"/>
                      </v:shape>
                      <v:shape id="_x0000_s1061" type="#_x0000_t202" style="position:absolute;left:-653;width:11518;height:2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rsidR="004166BC" w:rsidRPr="00E84998" w:rsidRDefault="004166BC" w:rsidP="00E84998">
                              <w:pPr>
                                <w:rPr>
                                  <w:b/>
                                  <w:color w:val="C00000"/>
                                  <w:sz w:val="16"/>
                                  <w:szCs w:val="16"/>
                                </w:rPr>
                              </w:pPr>
                              <w:r w:rsidRPr="00E84998">
                                <w:rPr>
                                  <w:b/>
                                  <w:color w:val="C00000"/>
                                  <w:sz w:val="16"/>
                                  <w:szCs w:val="16"/>
                                </w:rPr>
                                <w:t>Peripheral circulation</w:t>
                              </w:r>
                            </w:p>
                          </w:txbxContent>
                        </v:textbox>
                      </v:shape>
                      <v:shape id="Straight Arrow Connector 123" o:spid="_x0000_s1062" type="#_x0000_t32" style="position:absolute;left:5046;top:1484;width:0;height:55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" strokecolor="#a5a5a5 [2092]">
                        <v:stroke dashstyle="dash" endarrow="open"/>
                      </v:shape>
                    </v:group>
                    <v:roundrect id="Rounded Rectangle 123" o:spid="_x0000_s1063" style="position:absolute;left:12350;top:2790;width:9849;height:4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" fillcolor="#c4bc96 [2414]" stroked="f" strokeweight="2pt"/>
                    <v:oval id="Oval 125" o:spid="_x0000_s1064" style="position:absolute;left:15734;top:2137;width:3791;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" fillcolor="#c4bc96 [2414]" stroked="f" strokeweight="2pt"/>
                    <v:shape id="_x0000_s1065" type="#_x0000_t202" style="position:absolute;left:8193;width:9619;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rsidR="004166BC" w:rsidRPr="00E84998" w:rsidRDefault="004166BC" w:rsidP="00C82F38">
                            <w:pPr>
                              <w:rPr>
                                <w:color w:val="002060"/>
                                <w:sz w:val="16"/>
                                <w:szCs w:val="16"/>
                              </w:rPr>
                            </w:pPr>
                            <w:r w:rsidRPr="00E3570E">
                              <w:rPr>
                                <w:b/>
                                <w:color w:val="002060"/>
                                <w:sz w:val="16"/>
                                <w:szCs w:val="16"/>
                              </w:rPr>
                              <w:t>iii)</w:t>
                            </w:r>
                            <w:r>
                              <w:rPr>
                                <w:color w:val="002060"/>
                                <w:sz w:val="16"/>
                                <w:szCs w:val="16"/>
                              </w:rPr>
                              <w:t xml:space="preserve"> </w:t>
                            </w:r>
                            <w:r w:rsidRPr="00E3570E">
                              <w:rPr>
                                <w:b/>
                                <w:color w:val="002060"/>
                                <w:sz w:val="16"/>
                                <w:szCs w:val="16"/>
                              </w:rPr>
                              <w:t>Bone lining cell</w:t>
                            </w:r>
                          </w:p>
                        </w:txbxContent>
                      </v:textbox>
                    </v:shape>
                    <v:oval id="Oval 127" o:spid="_x0000_s1066" style="position:absolute;left:17516;top:2434;width:711;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" fillcolor="#5a5a5a [2109]" stroked="f" strokeweight="2pt">
                      <v:textbox>
                        <w:txbxContent>
                          <w:p w:rsidR="004166BC" w:rsidRDefault="004166BC" w:rsidP="00C82F38">
                            <w:pPr>
                              <w:jc w:val="center"/>
                            </w:pPr>
                            <w:r>
                              <w:t>CV</w:t>
                            </w:r>
                            <w:r>
                              <w:rPr>
                                <w:noProof/>
                                <w:lang w:eastAsia="zh-CN"/>
                              </w:rPr>
                              <w:drawing>
                                <wp:inline distT="0" distB="0" distL="0" distR="0" wp14:anchorId="3C3B2654" wp14:editId="443A2CBF">
                                  <wp:extent cx="0" cy="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v:group>
                </v:group>
              </v:group>
            </w:pict>
          </mc:Fallback>
        </mc:AlternateContent>
      </w:r>
    </w:p>
    <w:p w:rsidR="00E84998" w:rsidRDefault="00A516FD" w:rsidP="00900F2C">
      <w:pPr>
        <w:spacing w:line="360" w:lineRule="auto"/>
        <w:rPr>
          <w:rFonts w:ascii="Arial" w:hAnsi="Arial" w:cs="Arial"/>
          <w:color w:val="C00000"/>
        </w:rPr>
      </w:pPr>
      <w:r>
        <w:rPr>
          <w:noProof/>
          <w:lang w:eastAsia="zh-CN"/>
        </w:rPr>
        <mc:AlternateContent>
          <mc:Choice Requires="wps">
            <w:drawing>
              <wp:anchor distT="0" distB="0" distL="114300" distR="114300" simplePos="0" relativeHeight="253246976" behindDoc="0" locked="0" layoutInCell="1" allowOverlap="1" wp14:anchorId="2DCBFE0D" wp14:editId="05DE0574">
                <wp:simplePos x="0" y="0"/>
                <wp:positionH relativeFrom="column">
                  <wp:posOffset>4776742</wp:posOffset>
                </wp:positionH>
                <wp:positionV relativeFrom="paragraph">
                  <wp:posOffset>64893</wp:posOffset>
                </wp:positionV>
                <wp:extent cx="88900" cy="148590"/>
                <wp:effectExtent l="0" t="0" r="6350" b="3810"/>
                <wp:wrapNone/>
                <wp:docPr id="293" name="Up Arrow 293"/>
                <wp:cNvGraphicFramePr/>
                <a:graphic xmlns:a="http://schemas.openxmlformats.org/drawingml/2006/main">
                  <a:graphicData uri="http://schemas.microsoft.com/office/word/2010/wordprocessingShape">
                    <wps:wsp>
                      <wps:cNvSpPr/>
                      <wps:spPr>
                        <a:xfrm>
                          <a:off x="0" y="0"/>
                          <a:ext cx="88900" cy="148590"/>
                        </a:xfrm>
                        <a:prstGeom prs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BC9E1D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93" o:spid="_x0000_s1026" type="#_x0000_t68" style="position:absolute;margin-left:376.1pt;margin-top:5.1pt;width:7pt;height:11.7pt;z-index:2532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" adj="6462" fillcolor="black [3213]" stroked="f" strokeweight="2pt"/>
            </w:pict>
          </mc:Fallback>
        </mc:AlternateContent>
      </w:r>
      <w:r>
        <w:rPr>
          <w:noProof/>
          <w:lang w:eastAsia="zh-CN"/>
        </w:rPr>
        <mc:AlternateContent>
          <mc:Choice Requires="wps">
            <w:drawing>
              <wp:anchor distT="0" distB="0" distL="114300" distR="114300" simplePos="0" relativeHeight="253229568" behindDoc="0" locked="0" layoutInCell="1" allowOverlap="1" wp14:anchorId="3183E69E" wp14:editId="2C330D12">
                <wp:simplePos x="0" y="0"/>
                <wp:positionH relativeFrom="column">
                  <wp:posOffset>4049395</wp:posOffset>
                </wp:positionH>
                <wp:positionV relativeFrom="paragraph">
                  <wp:posOffset>323215</wp:posOffset>
                </wp:positionV>
                <wp:extent cx="88900" cy="148590"/>
                <wp:effectExtent l="0" t="0" r="6350" b="3810"/>
                <wp:wrapNone/>
                <wp:docPr id="291" name="Up Arrow 291"/>
                <wp:cNvGraphicFramePr/>
                <a:graphic xmlns:a="http://schemas.openxmlformats.org/drawingml/2006/main">
                  <a:graphicData uri="http://schemas.microsoft.com/office/word/2010/wordprocessingShape">
                    <wps:wsp>
                      <wps:cNvSpPr/>
                      <wps:spPr>
                        <a:xfrm rot="10800000">
                          <a:off x="0" y="0"/>
                          <a:ext cx="88900" cy="148590"/>
                        </a:xfrm>
                        <a:prstGeom prs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43A638" id="Up Arrow 291" o:spid="_x0000_s1026" type="#_x0000_t68" style="position:absolute;margin-left:318.85pt;margin-top:25.45pt;width:7pt;height:11.7pt;rotation:180;z-index:2532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" adj="6462" fillcolor="black [3213]" stroked="f" strokeweight="2pt"/>
            </w:pict>
          </mc:Fallback>
        </mc:AlternateContent>
      </w:r>
      <w:r w:rsidR="00FD079C">
        <w:rPr>
          <w:noProof/>
          <w:lang w:eastAsia="zh-CN"/>
        </w:rPr>
        <mc:AlternateContent>
          <mc:Choice Requires="wps">
            <w:drawing>
              <wp:anchor distT="0" distB="0" distL="114300" distR="114300" simplePos="0" relativeHeight="249955840" behindDoc="0" locked="0" layoutInCell="1" allowOverlap="1" wp14:anchorId="3D8944EE" wp14:editId="56262CAF">
                <wp:simplePos x="0" y="0"/>
                <wp:positionH relativeFrom="column">
                  <wp:posOffset>2295937</wp:posOffset>
                </wp:positionH>
                <wp:positionV relativeFrom="paragraph">
                  <wp:posOffset>227330</wp:posOffset>
                </wp:positionV>
                <wp:extent cx="1341755" cy="432435"/>
                <wp:effectExtent l="0" t="0" r="0" b="5715"/>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432435"/>
                        </a:xfrm>
                        <a:prstGeom prst="rect">
                          <a:avLst/>
                        </a:prstGeom>
                        <a:solidFill>
                          <a:srgbClr val="FFFFFF"/>
                        </a:solidFill>
                        <a:ln w="9525">
                          <a:noFill/>
                          <a:miter lim="800000"/>
                          <a:headEnd/>
                          <a:tailEnd/>
                        </a:ln>
                      </wps:spPr>
                      <wps:txbx>
                        <w:txbxContent>
                          <w:p w:rsidR="004166BC" w:rsidRPr="00F3359B" w:rsidRDefault="004166BC" w:rsidP="00F8307E">
                            <w:pPr>
                              <w:rPr>
                                <w:color w:val="000000" w:themeColor="text1"/>
                                <w:sz w:val="12"/>
                                <w:szCs w:val="12"/>
                                <w:lang w:val="it-IT"/>
                              </w:rPr>
                            </w:pPr>
                            <w:r w:rsidRPr="00F3359B">
                              <w:rPr>
                                <w:color w:val="000000" w:themeColor="text1"/>
                                <w:sz w:val="12"/>
                                <w:szCs w:val="12"/>
                                <w:lang w:val="it-IT"/>
                              </w:rPr>
                              <w:t>Osteocalcin, ALKP, type I collagen, osteopontin, osteonectin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944EE" id="_x0000_s1067" type="#_x0000_t202" style="position:absolute;margin-left:180.8pt;margin-top:17.9pt;width:105.65pt;height:34.05pt;z-index:2499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" stroked="f">
                <v:textbox>
                  <w:txbxContent>
                    <w:p w:rsidR="004166BC" w:rsidRPr="00F3359B" w:rsidRDefault="004166BC" w:rsidP="00F8307E">
                      <w:pPr>
                        <w:rPr>
                          <w:color w:val="000000" w:themeColor="text1"/>
                          <w:sz w:val="12"/>
                          <w:szCs w:val="12"/>
                          <w:lang w:val="it-IT"/>
                        </w:rPr>
                      </w:pPr>
                      <w:r w:rsidRPr="00F3359B">
                        <w:rPr>
                          <w:color w:val="000000" w:themeColor="text1"/>
                          <w:sz w:val="12"/>
                          <w:szCs w:val="12"/>
                          <w:lang w:val="it-IT"/>
                        </w:rPr>
                        <w:t>Osteocalcin, ALKP, type I collagen, osteopontin, osteonectin</w:t>
                      </w:r>
                    </w:p>
                  </w:txbxContent>
                </v:textbox>
              </v:shape>
            </w:pict>
          </mc:Fallback>
        </mc:AlternateContent>
      </w:r>
      <w:r w:rsidR="007228E7">
        <w:rPr>
          <w:noProof/>
          <w:lang w:eastAsia="zh-CN"/>
        </w:rPr>
        <mc:AlternateContent>
          <mc:Choice Requires="wps">
            <w:drawing>
              <wp:anchor distT="0" distB="0" distL="114300" distR="114300" simplePos="0" relativeHeight="249938432" behindDoc="0" locked="0" layoutInCell="1" allowOverlap="1" wp14:anchorId="118D27B1" wp14:editId="6F387D47">
                <wp:simplePos x="0" y="0"/>
                <wp:positionH relativeFrom="column">
                  <wp:posOffset>4054698</wp:posOffset>
                </wp:positionH>
                <wp:positionV relativeFrom="paragraph">
                  <wp:posOffset>248285</wp:posOffset>
                </wp:positionV>
                <wp:extent cx="1341755" cy="432435"/>
                <wp:effectExtent l="0" t="0" r="0" b="5715"/>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432435"/>
                        </a:xfrm>
                        <a:prstGeom prst="rect">
                          <a:avLst/>
                        </a:prstGeom>
                        <a:solidFill>
                          <a:srgbClr val="FFFFFF"/>
                        </a:solidFill>
                        <a:ln w="9525">
                          <a:noFill/>
                          <a:miter lim="800000"/>
                          <a:headEnd/>
                          <a:tailEnd/>
                        </a:ln>
                      </wps:spPr>
                      <wps:txbx>
                        <w:txbxContent>
                          <w:p w:rsidR="004166BC" w:rsidRPr="00F8307E" w:rsidRDefault="004166BC" w:rsidP="00C26FD9">
                            <w:pPr>
                              <w:rPr>
                                <w:color w:val="000000" w:themeColor="text1"/>
                                <w:sz w:val="12"/>
                                <w:szCs w:val="12"/>
                              </w:rPr>
                            </w:pPr>
                            <w:r>
                              <w:rPr>
                                <w:color w:val="000000" w:themeColor="text1"/>
                                <w:sz w:val="12"/>
                                <w:szCs w:val="12"/>
                              </w:rPr>
                              <w:t>Sclerostin, DMP1, FGF-23,           RANKL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D27B1" id="_x0000_s1068" type="#_x0000_t202" style="position:absolute;margin-left:319.25pt;margin-top:19.55pt;width:105.65pt;height:34.05pt;z-index:2499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" stroked="f">
                <v:textbox>
                  <w:txbxContent>
                    <w:p w:rsidR="004166BC" w:rsidRPr="00F8307E" w:rsidRDefault="004166BC" w:rsidP="00C26FD9">
                      <w:pPr>
                        <w:rPr>
                          <w:color w:val="000000" w:themeColor="text1"/>
                          <w:sz w:val="12"/>
                          <w:szCs w:val="12"/>
                        </w:rPr>
                      </w:pPr>
                      <w:r>
                        <w:rPr>
                          <w:color w:val="000000" w:themeColor="text1"/>
                          <w:sz w:val="12"/>
                          <w:szCs w:val="12"/>
                        </w:rPr>
                        <w:t>Sclerostin, DMP1, FGF-23,           RANKL</w:t>
                      </w:r>
                    </w:p>
                  </w:txbxContent>
                </v:textbox>
              </v:shape>
            </w:pict>
          </mc:Fallback>
        </mc:AlternateContent>
      </w:r>
      <w:r w:rsidR="007228E7">
        <w:rPr>
          <w:noProof/>
          <w:lang w:eastAsia="zh-CN"/>
        </w:rPr>
        <mc:AlternateContent>
          <mc:Choice Requires="wps">
            <w:drawing>
              <wp:anchor distT="0" distB="0" distL="114300" distR="114300" simplePos="0" relativeHeight="249921024" behindDoc="0" locked="0" layoutInCell="1" allowOverlap="1" wp14:anchorId="652AEDAC" wp14:editId="3AECDA71">
                <wp:simplePos x="0" y="0"/>
                <wp:positionH relativeFrom="column">
                  <wp:posOffset>2979008</wp:posOffset>
                </wp:positionH>
                <wp:positionV relativeFrom="paragraph">
                  <wp:posOffset>635</wp:posOffset>
                </wp:positionV>
                <wp:extent cx="326390" cy="326390"/>
                <wp:effectExtent l="0" t="0" r="0" b="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26390"/>
                        </a:xfrm>
                        <a:prstGeom prst="rect">
                          <a:avLst/>
                        </a:prstGeom>
                        <a:solidFill>
                          <a:srgbClr val="FFFFFF"/>
                        </a:solidFill>
                        <a:ln w="9525">
                          <a:noFill/>
                          <a:miter lim="800000"/>
                          <a:headEnd/>
                          <a:tailEnd/>
                        </a:ln>
                      </wps:spPr>
                      <wps:txbx>
                        <w:txbxContent>
                          <w:p w:rsidR="004166BC" w:rsidRPr="007228E7" w:rsidRDefault="004166BC" w:rsidP="007228E7">
                            <w:pPr>
                              <w:rPr>
                                <w:b/>
                                <w:color w:val="C00000"/>
                                <w:sz w:val="28"/>
                                <w:szCs w:val="28"/>
                              </w:rPr>
                            </w:pPr>
                            <w:r w:rsidRPr="007228E7">
                              <w:rPr>
                                <w:b/>
                                <w:color w:val="C00000"/>
                                <w:sz w:val="28"/>
                                <w:szCs w:val="28"/>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AEDAC" id="_x0000_s1069" type="#_x0000_t202" style="position:absolute;margin-left:234.55pt;margin-top:.05pt;width:25.7pt;height:25.7pt;z-index:2499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" stroked="f">
                <v:textbox>
                  <w:txbxContent>
                    <w:p w:rsidR="004166BC" w:rsidRPr="007228E7" w:rsidRDefault="004166BC" w:rsidP="007228E7">
                      <w:pPr>
                        <w:rPr>
                          <w:b/>
                          <w:color w:val="C00000"/>
                          <w:sz w:val="28"/>
                          <w:szCs w:val="28"/>
                        </w:rPr>
                      </w:pPr>
                      <w:r w:rsidRPr="007228E7">
                        <w:rPr>
                          <w:b/>
                          <w:color w:val="C00000"/>
                          <w:sz w:val="28"/>
                          <w:szCs w:val="28"/>
                        </w:rPr>
                        <w:t>X</w:t>
                      </w:r>
                    </w:p>
                  </w:txbxContent>
                </v:textbox>
              </v:shape>
            </w:pict>
          </mc:Fallback>
        </mc:AlternateContent>
      </w:r>
      <w:r w:rsidR="007228E7" w:rsidRPr="00F8307E">
        <w:rPr>
          <w:rFonts w:ascii="Arial" w:hAnsi="Arial" w:cs="Arial"/>
          <w:noProof/>
          <w:color w:val="C00000"/>
          <w:lang w:eastAsia="zh-CN"/>
        </w:rPr>
        <mc:AlternateContent>
          <mc:Choice Requires="wps">
            <w:drawing>
              <wp:anchor distT="0" distB="0" distL="114300" distR="114300" simplePos="0" relativeHeight="253194752" behindDoc="0" locked="0" layoutInCell="1" allowOverlap="1" wp14:anchorId="2B84FDAA" wp14:editId="280429B7">
                <wp:simplePos x="0" y="0"/>
                <wp:positionH relativeFrom="column">
                  <wp:posOffset>3133928</wp:posOffset>
                </wp:positionH>
                <wp:positionV relativeFrom="paragraph">
                  <wp:posOffset>161408</wp:posOffset>
                </wp:positionV>
                <wp:extent cx="712470" cy="711200"/>
                <wp:effectExtent l="0" t="0" r="11430" b="31750"/>
                <wp:wrapNone/>
                <wp:docPr id="93" name="Elbow Connector 93"/>
                <wp:cNvGraphicFramePr/>
                <a:graphic xmlns:a="http://schemas.openxmlformats.org/drawingml/2006/main">
                  <a:graphicData uri="http://schemas.microsoft.com/office/word/2010/wordprocessingShape">
                    <wps:wsp>
                      <wps:cNvCnPr/>
                      <wps:spPr>
                        <a:xfrm flipH="1" flipV="1">
                          <a:off x="0" y="0"/>
                          <a:ext cx="712470" cy="711200"/>
                        </a:xfrm>
                        <a:prstGeom prst="bentConnector3">
                          <a:avLst/>
                        </a:prstGeom>
                        <a:ln>
                          <a:solidFill>
                            <a:srgbClr val="C0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47200F"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3" o:spid="_x0000_s1026" type="#_x0000_t34" style="position:absolute;margin-left:246.75pt;margin-top:12.7pt;width:56.1pt;height:56pt;flip:x y;z-index:2531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" strokecolor="#c00000"/>
            </w:pict>
          </mc:Fallback>
        </mc:AlternateContent>
      </w:r>
      <w:r w:rsidR="007228E7" w:rsidRPr="00F8307E">
        <w:rPr>
          <w:rFonts w:ascii="Arial" w:hAnsi="Arial" w:cs="Arial"/>
          <w:noProof/>
          <w:color w:val="C00000"/>
          <w:lang w:eastAsia="zh-CN"/>
        </w:rPr>
        <mc:AlternateContent>
          <mc:Choice Requires="wps">
            <w:drawing>
              <wp:anchor distT="0" distB="0" distL="114300" distR="114300" simplePos="0" relativeHeight="253159936" behindDoc="0" locked="0" layoutInCell="1" allowOverlap="1" wp14:anchorId="42C12BD8" wp14:editId="07BBD98F">
                <wp:simplePos x="0" y="0"/>
                <wp:positionH relativeFrom="column">
                  <wp:posOffset>2002378</wp:posOffset>
                </wp:positionH>
                <wp:positionV relativeFrom="paragraph">
                  <wp:posOffset>148590</wp:posOffset>
                </wp:positionV>
                <wp:extent cx="712470" cy="711200"/>
                <wp:effectExtent l="0" t="76200" r="0" b="31750"/>
                <wp:wrapNone/>
                <wp:docPr id="78" name="Elbow Connector 78"/>
                <wp:cNvGraphicFramePr/>
                <a:graphic xmlns:a="http://schemas.openxmlformats.org/drawingml/2006/main">
                  <a:graphicData uri="http://schemas.microsoft.com/office/word/2010/wordprocessingShape">
                    <wps:wsp>
                      <wps:cNvCnPr/>
                      <wps:spPr>
                        <a:xfrm flipV="1">
                          <a:off x="0" y="0"/>
                          <a:ext cx="712470" cy="711200"/>
                        </a:xfrm>
                        <a:prstGeom prst="bentConnector3">
                          <a:avLst/>
                        </a:prstGeom>
                        <a:ln>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E4B81E" id="Elbow Connector 78" o:spid="_x0000_s1026" type="#_x0000_t34" style="position:absolute;margin-left:157.65pt;margin-top:11.7pt;width:56.1pt;height:56pt;flip:y;z-index:2531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" strokecolor="#c00000">
                <v:stroke endarrow="open"/>
              </v:shape>
            </w:pict>
          </mc:Fallback>
        </mc:AlternateContent>
      </w:r>
      <w:r w:rsidR="00F8307E" w:rsidRPr="00F8307E">
        <w:rPr>
          <w:rFonts w:ascii="Arial" w:hAnsi="Arial" w:cs="Arial"/>
          <w:noProof/>
          <w:color w:val="C00000"/>
          <w:lang w:eastAsia="zh-CN"/>
        </w:rPr>
        <mc:AlternateContent>
          <mc:Choice Requires="wps">
            <w:drawing>
              <wp:anchor distT="0" distB="0" distL="114300" distR="114300" simplePos="0" relativeHeight="253177344" behindDoc="0" locked="0" layoutInCell="1" allowOverlap="1" wp14:anchorId="4C95FF7E" wp14:editId="3177559F">
                <wp:simplePos x="0" y="0"/>
                <wp:positionH relativeFrom="column">
                  <wp:posOffset>4358005</wp:posOffset>
                </wp:positionH>
                <wp:positionV relativeFrom="paragraph">
                  <wp:posOffset>157257</wp:posOffset>
                </wp:positionV>
                <wp:extent cx="712470" cy="711200"/>
                <wp:effectExtent l="38100" t="76200" r="11430" b="31750"/>
                <wp:wrapNone/>
                <wp:docPr id="80" name="Elbow Connector 80"/>
                <wp:cNvGraphicFramePr/>
                <a:graphic xmlns:a="http://schemas.openxmlformats.org/drawingml/2006/main">
                  <a:graphicData uri="http://schemas.microsoft.com/office/word/2010/wordprocessingShape">
                    <wps:wsp>
                      <wps:cNvCnPr/>
                      <wps:spPr>
                        <a:xfrm flipH="1" flipV="1">
                          <a:off x="0" y="0"/>
                          <a:ext cx="712470" cy="711200"/>
                        </a:xfrm>
                        <a:prstGeom prst="bentConnector3">
                          <a:avLst/>
                        </a:prstGeom>
                        <a:ln>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FAFC00" id="Elbow Connector 80" o:spid="_x0000_s1026" type="#_x0000_t34" style="position:absolute;margin-left:343.15pt;margin-top:12.4pt;width:56.1pt;height:56pt;flip:x y;z-index:2531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" strokecolor="#c00000">
                <v:stroke endarrow="open"/>
              </v:shape>
            </w:pict>
          </mc:Fallback>
        </mc:AlternateContent>
      </w:r>
    </w:p>
    <w:p w:rsidR="00300A1C" w:rsidRDefault="00300A1C" w:rsidP="00900F2C">
      <w:pPr>
        <w:spacing w:line="360" w:lineRule="auto"/>
        <w:rPr>
          <w:rFonts w:ascii="Arial" w:hAnsi="Arial" w:cs="Arial"/>
          <w:color w:val="C00000"/>
        </w:rPr>
      </w:pPr>
    </w:p>
    <w:p w:rsidR="00ED576D" w:rsidRDefault="005B373B" w:rsidP="00900F2C">
      <w:pPr>
        <w:spacing w:line="360" w:lineRule="auto"/>
        <w:rPr>
          <w:rFonts w:ascii="Arial" w:hAnsi="Arial" w:cs="Arial"/>
          <w:color w:val="C00000"/>
        </w:rPr>
      </w:pPr>
      <w:r>
        <w:rPr>
          <w:noProof/>
          <w:lang w:eastAsia="zh-CN"/>
        </w:rPr>
        <mc:AlternateContent>
          <mc:Choice Requires="wps">
            <w:drawing>
              <wp:anchor distT="0" distB="0" distL="114300" distR="114300" simplePos="0" relativeHeight="249903616" behindDoc="0" locked="0" layoutInCell="1" allowOverlap="1" wp14:anchorId="4A1C8E3A" wp14:editId="44891C44">
                <wp:simplePos x="0" y="0"/>
                <wp:positionH relativeFrom="column">
                  <wp:posOffset>4034567</wp:posOffset>
                </wp:positionH>
                <wp:positionV relativeFrom="paragraph">
                  <wp:posOffset>65405</wp:posOffset>
                </wp:positionV>
                <wp:extent cx="955040" cy="24828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248285"/>
                        </a:xfrm>
                        <a:prstGeom prst="rect">
                          <a:avLst/>
                        </a:prstGeom>
                        <a:solidFill>
                          <a:srgbClr val="FFFFFF"/>
                        </a:solidFill>
                        <a:ln w="9525">
                          <a:noFill/>
                          <a:miter lim="800000"/>
                          <a:headEnd/>
                          <a:tailEnd/>
                        </a:ln>
                      </wps:spPr>
                      <wps:txbx>
                        <w:txbxContent>
                          <w:p w:rsidR="004166BC" w:rsidRPr="005B373B" w:rsidRDefault="004166BC" w:rsidP="005B373B">
                            <w:pPr>
                              <w:rPr>
                                <w:sz w:val="12"/>
                                <w:szCs w:val="12"/>
                              </w:rPr>
                            </w:pPr>
                            <w:r w:rsidRPr="005B373B">
                              <w:rPr>
                                <w:sz w:val="12"/>
                                <w:szCs w:val="12"/>
                              </w:rPr>
                              <w:t>Mechanical loading</w:t>
                            </w:r>
                          </w:p>
                        </w:txbxContent>
                      </wps:txbx>
                      <wps:bodyPr rot="0" vert="horz" wrap="square" lIns="91440" tIns="45720" rIns="91440" bIns="45720" anchor="t" anchorCtr="0">
                        <a:noAutofit/>
                      </wps:bodyPr>
                    </wps:wsp>
                  </a:graphicData>
                </a:graphic>
              </wp:anchor>
            </w:drawing>
          </mc:Choice>
          <mc:Fallback>
            <w:pict>
              <v:shape w14:anchorId="4A1C8E3A" id="_x0000_s1070" type="#_x0000_t202" style="position:absolute;margin-left:317.7pt;margin-top:5.15pt;width:75.2pt;height:19.55pt;z-index:2499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" stroked="f">
                <v:textbox>
                  <w:txbxContent>
                    <w:p w:rsidR="004166BC" w:rsidRPr="005B373B" w:rsidRDefault="004166BC" w:rsidP="005B373B">
                      <w:pPr>
                        <w:rPr>
                          <w:sz w:val="12"/>
                          <w:szCs w:val="12"/>
                        </w:rPr>
                      </w:pPr>
                      <w:r w:rsidRPr="005B373B">
                        <w:rPr>
                          <w:sz w:val="12"/>
                          <w:szCs w:val="12"/>
                        </w:rPr>
                        <w:t>Mechanical loading</w:t>
                      </w:r>
                    </w:p>
                  </w:txbxContent>
                </v:textbox>
              </v:shape>
            </w:pict>
          </mc:Fallback>
        </mc:AlternateContent>
      </w:r>
      <w:r w:rsidR="00641A3A">
        <w:rPr>
          <w:noProof/>
          <w:lang w:eastAsia="zh-CN"/>
        </w:rPr>
        <mc:AlternateContent>
          <mc:Choice Requires="wps">
            <w:drawing>
              <wp:anchor distT="0" distB="0" distL="114300" distR="114300" simplePos="0" relativeHeight="253212160" behindDoc="0" locked="0" layoutInCell="1" allowOverlap="1" wp14:anchorId="5B0E2455" wp14:editId="4894C398">
                <wp:simplePos x="0" y="0"/>
                <wp:positionH relativeFrom="column">
                  <wp:posOffset>4394003</wp:posOffset>
                </wp:positionH>
                <wp:positionV relativeFrom="paragraph">
                  <wp:posOffset>215396</wp:posOffset>
                </wp:positionV>
                <wp:extent cx="385883" cy="213791"/>
                <wp:effectExtent l="0" t="0" r="14605" b="15240"/>
                <wp:wrapNone/>
                <wp:docPr id="30" name="Curved Down Arrow 30"/>
                <wp:cNvGraphicFramePr/>
                <a:graphic xmlns:a="http://schemas.openxmlformats.org/drawingml/2006/main">
                  <a:graphicData uri="http://schemas.microsoft.com/office/word/2010/wordprocessingShape">
                    <wps:wsp>
                      <wps:cNvSpPr/>
                      <wps:spPr>
                        <a:xfrm>
                          <a:off x="0" y="0"/>
                          <a:ext cx="385883" cy="213791"/>
                        </a:xfrm>
                        <a:prstGeom prst="curvedDownArrow">
                          <a:avLst/>
                        </a:prstGeom>
                        <a:solidFill>
                          <a:schemeClr val="tx1"/>
                        </a:solidFill>
                        <a:ln w="317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CD79DD4"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30" o:spid="_x0000_s1026" type="#_x0000_t105" style="position:absolute;margin-left:346pt;margin-top:16.95pt;width:30.4pt;height:16.85pt;z-index:2532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" adj="15616,20104,16200" fillcolor="black [3213]" strokecolor="black [3213]" strokeweight=".25pt"/>
            </w:pict>
          </mc:Fallback>
        </mc:AlternateContent>
      </w:r>
      <w:r w:rsidR="00C82F38" w:rsidRPr="004F7B64">
        <w:rPr>
          <w:noProof/>
          <w:lang w:eastAsia="zh-CN"/>
        </w:rPr>
        <mc:AlternateContent>
          <mc:Choice Requires="wps">
            <w:drawing>
              <wp:anchor distT="0" distB="0" distL="114300" distR="114300" simplePos="0" relativeHeight="250008064" behindDoc="0" locked="0" layoutInCell="1" allowOverlap="1" wp14:anchorId="0E207B95" wp14:editId="0F31C30C">
                <wp:simplePos x="0" y="0"/>
                <wp:positionH relativeFrom="column">
                  <wp:posOffset>4691603</wp:posOffset>
                </wp:positionH>
                <wp:positionV relativeFrom="paragraph">
                  <wp:posOffset>245745</wp:posOffset>
                </wp:positionV>
                <wp:extent cx="807085" cy="640715"/>
                <wp:effectExtent l="0" t="0" r="0" b="6985"/>
                <wp:wrapNone/>
                <wp:docPr id="103" name="Text Box 103"/>
                <wp:cNvGraphicFramePr/>
                <a:graphic xmlns:a="http://schemas.openxmlformats.org/drawingml/2006/main">
                  <a:graphicData uri="http://schemas.microsoft.com/office/word/2010/wordprocessingShape">
                    <wps:wsp>
                      <wps:cNvSpPr txBox="1"/>
                      <wps:spPr>
                        <a:xfrm>
                          <a:off x="0" y="0"/>
                          <a:ext cx="807085" cy="640715"/>
                        </a:xfrm>
                        <a:prstGeom prst="rect">
                          <a:avLst/>
                        </a:prstGeom>
                        <a:solidFill>
                          <a:srgbClr val="F6F4A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166BC" w:rsidRPr="004F7B64" w:rsidRDefault="004166BC" w:rsidP="00B67BBF">
                            <w:pPr>
                              <w:jc w:val="center"/>
                              <w:rPr>
                                <w:color w:val="31849B" w:themeColor="accent5" w:themeShade="BF"/>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07B95" id="Text Box 103" o:spid="_x0000_s1071" type="#_x0000_t202" style="position:absolute;margin-left:369.4pt;margin-top:19.35pt;width:63.55pt;height:50.45pt;z-index:2500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" fillcolor="#f6f4a6" stroked="f" strokeweight=".5pt">
                <v:textbox>
                  <w:txbxContent>
                    <w:p w:rsidR="004166BC" w:rsidRPr="004F7B64" w:rsidRDefault="004166BC" w:rsidP="00B67BBF">
                      <w:pPr>
                        <w:jc w:val="center"/>
                        <w:rPr>
                          <w:color w:val="31849B" w:themeColor="accent5" w:themeShade="BF"/>
                          <w:sz w:val="12"/>
                          <w:szCs w:val="12"/>
                        </w:rPr>
                      </w:pPr>
                    </w:p>
                  </w:txbxContent>
                </v:textbox>
              </v:shape>
            </w:pict>
          </mc:Fallback>
        </mc:AlternateContent>
      </w:r>
    </w:p>
    <w:p w:rsidR="00ED576D" w:rsidRDefault="0089403D" w:rsidP="00900F2C">
      <w:pPr>
        <w:spacing w:line="360" w:lineRule="auto"/>
        <w:rPr>
          <w:rFonts w:ascii="Arial" w:hAnsi="Arial" w:cs="Arial"/>
          <w:color w:val="C00000"/>
        </w:rPr>
      </w:pPr>
      <w:r>
        <w:rPr>
          <w:noProof/>
          <w:lang w:eastAsia="zh-CN"/>
        </w:rPr>
        <mc:AlternateContent>
          <mc:Choice Requires="wps">
            <w:drawing>
              <wp:anchor distT="0" distB="0" distL="114300" distR="114300" simplePos="0" relativeHeight="253125120" behindDoc="0" locked="0" layoutInCell="1" allowOverlap="1" wp14:anchorId="03145484" wp14:editId="3DFB056C">
                <wp:simplePos x="0" y="0"/>
                <wp:positionH relativeFrom="column">
                  <wp:posOffset>4867910</wp:posOffset>
                </wp:positionH>
                <wp:positionV relativeFrom="paragraph">
                  <wp:posOffset>178435</wp:posOffset>
                </wp:positionV>
                <wp:extent cx="356870" cy="141605"/>
                <wp:effectExtent l="0" t="0" r="5080" b="0"/>
                <wp:wrapNone/>
                <wp:docPr id="70" name="Oval 70"/>
                <wp:cNvGraphicFramePr/>
                <a:graphic xmlns:a="http://schemas.openxmlformats.org/drawingml/2006/main">
                  <a:graphicData uri="http://schemas.microsoft.com/office/word/2010/wordprocessingShape">
                    <wps:wsp>
                      <wps:cNvSpPr/>
                      <wps:spPr>
                        <a:xfrm flipH="1">
                          <a:off x="0" y="0"/>
                          <a:ext cx="356870" cy="141605"/>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89403D">
                            <w:pPr>
                              <w:jc w:val="center"/>
                            </w:pPr>
                            <w:r>
                              <w:t>CV</w:t>
                            </w:r>
                            <w:r>
                              <w:rPr>
                                <w:noProof/>
                                <w:lang w:eastAsia="zh-CN"/>
                              </w:rPr>
                              <w:drawing>
                                <wp:inline distT="0" distB="0" distL="0" distR="0" wp14:anchorId="06D37920" wp14:editId="79DA7D04">
                                  <wp:extent cx="0" cy="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145484" id="Oval 70" o:spid="_x0000_s1072" style="position:absolute;margin-left:383.3pt;margin-top:14.05pt;width:28.1pt;height:11.15pt;flip:x;z-index:2531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" fillcolor="#5a5a5a [2109]" stroked="f" strokeweight="2pt">
                <v:textbox>
                  <w:txbxContent>
                    <w:p w:rsidR="004166BC" w:rsidRDefault="004166BC" w:rsidP="0089403D">
                      <w:pPr>
                        <w:jc w:val="center"/>
                      </w:pPr>
                      <w:r>
                        <w:t>CV</w:t>
                      </w:r>
                      <w:r>
                        <w:rPr>
                          <w:noProof/>
                          <w:lang w:eastAsia="zh-CN"/>
                        </w:rPr>
                        <w:drawing>
                          <wp:inline distT="0" distB="0" distL="0" distR="0" wp14:anchorId="06D37920" wp14:editId="79DA7D04">
                            <wp:extent cx="0" cy="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w:pict>
          </mc:Fallback>
        </mc:AlternateContent>
      </w:r>
      <w:r w:rsidR="00C82F38">
        <w:rPr>
          <w:rFonts w:ascii="Arial" w:hAnsi="Arial" w:cs="Arial"/>
          <w:noProof/>
          <w:lang w:eastAsia="zh-CN"/>
        </w:rPr>
        <mc:AlternateContent>
          <mc:Choice Requires="wps">
            <w:drawing>
              <wp:anchor distT="0" distB="0" distL="114300" distR="114300" simplePos="0" relativeHeight="253038080" behindDoc="0" locked="0" layoutInCell="1" allowOverlap="1" wp14:anchorId="620BE64A" wp14:editId="7D8E7E7E">
                <wp:simplePos x="0" y="0"/>
                <wp:positionH relativeFrom="column">
                  <wp:posOffset>4919122</wp:posOffset>
                </wp:positionH>
                <wp:positionV relativeFrom="paragraph">
                  <wp:posOffset>191135</wp:posOffset>
                </wp:positionV>
                <wp:extent cx="262255" cy="130175"/>
                <wp:effectExtent l="0" t="0" r="4445" b="3175"/>
                <wp:wrapNone/>
                <wp:docPr id="316" name="Oval 316"/>
                <wp:cNvGraphicFramePr/>
                <a:graphic xmlns:a="http://schemas.openxmlformats.org/drawingml/2006/main">
                  <a:graphicData uri="http://schemas.microsoft.com/office/word/2010/wordprocessingShape">
                    <wps:wsp>
                      <wps:cNvSpPr/>
                      <wps:spPr>
                        <a:xfrm>
                          <a:off x="0" y="0"/>
                          <a:ext cx="262255" cy="130175"/>
                        </a:xfrm>
                        <a:prstGeom prst="ellipse">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0202D0">
                            <w:pPr>
                              <w:jc w:val="center"/>
                            </w:pPr>
                            <w:r>
                              <w:t>CV</w:t>
                            </w:r>
                            <w:r>
                              <w:rPr>
                                <w:noProof/>
                                <w:lang w:eastAsia="zh-CN"/>
                              </w:rPr>
                              <w:drawing>
                                <wp:inline distT="0" distB="0" distL="0" distR="0" wp14:anchorId="4DFAEBBA" wp14:editId="2E32205A">
                                  <wp:extent cx="0" cy="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0BE64A" id="Oval 316" o:spid="_x0000_s1073" style="position:absolute;margin-left:387.35pt;margin-top:15.05pt;width:20.65pt;height:10.25pt;z-index:2530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" fillcolor="#5a5a5a [2109]" stroked="f" strokeweight="2pt">
                <v:textbox>
                  <w:txbxContent>
                    <w:p w:rsidR="004166BC" w:rsidRDefault="004166BC" w:rsidP="000202D0">
                      <w:pPr>
                        <w:jc w:val="center"/>
                      </w:pPr>
                      <w:r>
                        <w:t>CV</w:t>
                      </w:r>
                      <w:r>
                        <w:rPr>
                          <w:noProof/>
                          <w:lang w:eastAsia="zh-CN"/>
                        </w:rPr>
                        <w:drawing>
                          <wp:inline distT="0" distB="0" distL="0" distR="0" wp14:anchorId="4DFAEBBA" wp14:editId="2E32205A">
                            <wp:extent cx="0" cy="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oval>
            </w:pict>
          </mc:Fallback>
        </mc:AlternateContent>
      </w:r>
    </w:p>
    <w:p w:rsidR="001B3096" w:rsidRPr="00C94C83" w:rsidRDefault="00C82F38" w:rsidP="00900F2C">
      <w:pPr>
        <w:spacing w:line="360" w:lineRule="auto"/>
        <w:rPr>
          <w:rFonts w:ascii="Arial" w:hAnsi="Arial" w:cs="Arial"/>
          <w:color w:val="C00000"/>
        </w:rPr>
      </w:pPr>
      <w:r w:rsidRPr="00300A1C">
        <w:rPr>
          <w:rFonts w:ascii="Arial" w:hAnsi="Arial" w:cs="Arial"/>
          <w:noProof/>
          <w:color w:val="C00000"/>
          <w:lang w:eastAsia="zh-CN"/>
        </w:rPr>
        <mc:AlternateContent>
          <mc:Choice Requires="wps">
            <w:drawing>
              <wp:anchor distT="0" distB="0" distL="114300" distR="114300" simplePos="0" relativeHeight="249973248" behindDoc="0" locked="0" layoutInCell="1" allowOverlap="1" wp14:anchorId="5E97B144" wp14:editId="7C786387">
                <wp:simplePos x="0" y="0"/>
                <wp:positionH relativeFrom="column">
                  <wp:posOffset>4640357</wp:posOffset>
                </wp:positionH>
                <wp:positionV relativeFrom="paragraph">
                  <wp:posOffset>111125</wp:posOffset>
                </wp:positionV>
                <wp:extent cx="955675" cy="248920"/>
                <wp:effectExtent l="0" t="0" r="0" b="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48920"/>
                        </a:xfrm>
                        <a:prstGeom prst="rect">
                          <a:avLst/>
                        </a:prstGeom>
                        <a:solidFill>
                          <a:srgbClr val="FFFFFF"/>
                        </a:solidFill>
                        <a:ln w="9525">
                          <a:noFill/>
                          <a:miter lim="800000"/>
                          <a:headEnd/>
                          <a:tailEnd/>
                        </a:ln>
                      </wps:spPr>
                      <wps:txbx>
                        <w:txbxContent>
                          <w:p w:rsidR="004166BC" w:rsidRPr="00E84998" w:rsidRDefault="004166BC" w:rsidP="009B6152">
                            <w:pPr>
                              <w:rPr>
                                <w:color w:val="002060"/>
                                <w:sz w:val="16"/>
                                <w:szCs w:val="16"/>
                              </w:rPr>
                            </w:pPr>
                            <w:r w:rsidRPr="00E84998">
                              <w:rPr>
                                <w:color w:val="002060"/>
                                <w:sz w:val="16"/>
                                <w:szCs w:val="16"/>
                              </w:rPr>
                              <w:t>Mature osteocyte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7B144" id="_x0000_s1074" type="#_x0000_t202" style="position:absolute;margin-left:365.4pt;margin-top:8.75pt;width:75.25pt;height:19.6pt;z-index:2499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" stroked="f">
                <v:textbox>
                  <w:txbxContent>
                    <w:p w:rsidR="004166BC" w:rsidRPr="00E84998" w:rsidRDefault="004166BC" w:rsidP="009B6152">
                      <w:pPr>
                        <w:rPr>
                          <w:color w:val="002060"/>
                          <w:sz w:val="16"/>
                          <w:szCs w:val="16"/>
                        </w:rPr>
                      </w:pPr>
                      <w:r w:rsidRPr="00E84998">
                        <w:rPr>
                          <w:color w:val="002060"/>
                          <w:sz w:val="16"/>
                          <w:szCs w:val="16"/>
                        </w:rPr>
                        <w:t>Mature osteocyte</w:t>
                      </w:r>
                    </w:p>
                  </w:txbxContent>
                </v:textbox>
              </v:shape>
            </w:pict>
          </mc:Fallback>
        </mc:AlternateContent>
      </w:r>
    </w:p>
    <w:p w:rsidR="00DB0A74" w:rsidRDefault="00491482" w:rsidP="00900F2C">
      <w:pPr>
        <w:spacing w:line="360" w:lineRule="auto"/>
        <w:rPr>
          <w:rFonts w:ascii="Arial" w:hAnsi="Arial" w:cs="Arial"/>
          <w:color w:val="C00000"/>
        </w:rPr>
      </w:pPr>
      <w:r>
        <w:rPr>
          <w:noProof/>
          <w:lang w:eastAsia="zh-CN"/>
        </w:rPr>
        <mc:AlternateContent>
          <mc:Choice Requires="wps">
            <w:drawing>
              <wp:anchor distT="0" distB="0" distL="114300" distR="114300" simplePos="0" relativeHeight="253090304" behindDoc="0" locked="0" layoutInCell="1" allowOverlap="1" wp14:anchorId="318F2C7A" wp14:editId="5CAA16AA">
                <wp:simplePos x="0" y="0"/>
                <wp:positionH relativeFrom="column">
                  <wp:posOffset>-29210</wp:posOffset>
                </wp:positionH>
                <wp:positionV relativeFrom="paragraph">
                  <wp:posOffset>96520</wp:posOffset>
                </wp:positionV>
                <wp:extent cx="5492115" cy="63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5492115" cy="635"/>
                        </a:xfrm>
                        <a:prstGeom prst="rect">
                          <a:avLst/>
                        </a:prstGeom>
                        <a:solidFill>
                          <a:prstClr val="white"/>
                        </a:solidFill>
                        <a:ln>
                          <a:noFill/>
                        </a:ln>
                        <a:effectLst/>
                      </wps:spPr>
                      <wps:txbx>
                        <w:txbxContent>
                          <w:p w:rsidR="004166BC" w:rsidRDefault="004166BC" w:rsidP="00491482">
                            <w:pPr>
                              <w:pStyle w:val="Caption"/>
                              <w:jc w:val="center"/>
                              <w:rPr>
                                <w:rFonts w:ascii="Arial" w:hAnsi="Arial" w:cs="Arial"/>
                                <w:b w:val="0"/>
                                <w:color w:val="auto"/>
                              </w:rPr>
                            </w:pPr>
                            <w:bookmarkStart w:id="23" w:name="_Toc422736048"/>
                            <w:bookmarkStart w:id="24" w:name="_Toc422736156"/>
                          </w:p>
                          <w:p w:rsidR="004166BC" w:rsidRPr="00491482" w:rsidRDefault="004166BC" w:rsidP="00491482">
                            <w:pPr>
                              <w:pStyle w:val="Caption"/>
                              <w:jc w:val="center"/>
                              <w:rPr>
                                <w:rFonts w:ascii="Arial" w:hAnsi="Arial" w:cs="Arial"/>
                                <w:b w:val="0"/>
                                <w:noProof/>
                                <w:color w:val="auto"/>
                              </w:rPr>
                            </w:pPr>
                            <w:bookmarkStart w:id="25" w:name="_Toc425419491"/>
                            <w:r w:rsidRPr="00491482">
                              <w:rPr>
                                <w:rFonts w:ascii="Arial" w:hAnsi="Arial" w:cs="Arial"/>
                                <w:b w:val="0"/>
                                <w:color w:val="auto"/>
                              </w:rPr>
                              <w:t xml:space="preserve">Figure </w:t>
                            </w:r>
                            <w:r w:rsidRPr="00491482">
                              <w:rPr>
                                <w:rFonts w:ascii="Arial" w:hAnsi="Arial" w:cs="Arial"/>
                                <w:b w:val="0"/>
                                <w:color w:val="auto"/>
                              </w:rPr>
                              <w:fldChar w:fldCharType="begin"/>
                            </w:r>
                            <w:r w:rsidRPr="00491482">
                              <w:rPr>
                                <w:rFonts w:ascii="Arial" w:hAnsi="Arial" w:cs="Arial"/>
                                <w:b w:val="0"/>
                                <w:color w:val="auto"/>
                              </w:rPr>
                              <w:instrText xml:space="preserve"> SEQ Figure \* ARABIC </w:instrText>
                            </w:r>
                            <w:r w:rsidRPr="00491482">
                              <w:rPr>
                                <w:rFonts w:ascii="Arial" w:hAnsi="Arial" w:cs="Arial"/>
                                <w:b w:val="0"/>
                                <w:color w:val="auto"/>
                              </w:rPr>
                              <w:fldChar w:fldCharType="separate"/>
                            </w:r>
                            <w:r>
                              <w:rPr>
                                <w:rFonts w:ascii="Arial" w:hAnsi="Arial" w:cs="Arial"/>
                                <w:b w:val="0"/>
                                <w:noProof/>
                                <w:color w:val="auto"/>
                              </w:rPr>
                              <w:t>8</w:t>
                            </w:r>
                            <w:r w:rsidRPr="00491482">
                              <w:rPr>
                                <w:rFonts w:ascii="Arial" w:hAnsi="Arial" w:cs="Arial"/>
                                <w:b w:val="0"/>
                                <w:color w:val="auto"/>
                              </w:rPr>
                              <w:fldChar w:fldCharType="end"/>
                            </w:r>
                            <w:r w:rsidRPr="00491482">
                              <w:rPr>
                                <w:rFonts w:ascii="Arial" w:hAnsi="Arial" w:cs="Arial"/>
                                <w:b w:val="0"/>
                                <w:color w:val="auto"/>
                              </w:rPr>
                              <w:t>: The process of osteocyte differentiation and formation.</w:t>
                            </w:r>
                            <w:bookmarkEnd w:id="23"/>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8F2C7A" id="Text Box 69" o:spid="_x0000_s1075" type="#_x0000_t202" style="position:absolute;margin-left:-2.3pt;margin-top:7.6pt;width:432.45pt;height:.05pt;z-index:25309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" stroked="f">
                <v:textbox style="mso-fit-shape-to-text:t" inset="0,0,0,0">
                  <w:txbxContent>
                    <w:p w:rsidR="004166BC" w:rsidRDefault="004166BC" w:rsidP="00491482">
                      <w:pPr>
                        <w:pStyle w:val="Caption"/>
                        <w:jc w:val="center"/>
                        <w:rPr>
                          <w:rFonts w:ascii="Arial" w:hAnsi="Arial" w:cs="Arial"/>
                          <w:b w:val="0"/>
                          <w:color w:val="auto"/>
                        </w:rPr>
                      </w:pPr>
                      <w:bookmarkStart w:id="29" w:name="_Toc422736048"/>
                      <w:bookmarkStart w:id="30" w:name="_Toc422736156"/>
                    </w:p>
                    <w:p w:rsidR="004166BC" w:rsidRPr="00491482" w:rsidRDefault="004166BC" w:rsidP="00491482">
                      <w:pPr>
                        <w:pStyle w:val="Caption"/>
                        <w:jc w:val="center"/>
                        <w:rPr>
                          <w:rFonts w:ascii="Arial" w:hAnsi="Arial" w:cs="Arial"/>
                          <w:b w:val="0"/>
                          <w:noProof/>
                          <w:color w:val="auto"/>
                        </w:rPr>
                      </w:pPr>
                      <w:bookmarkStart w:id="31" w:name="_Toc425419491"/>
                      <w:r w:rsidRPr="00491482">
                        <w:rPr>
                          <w:rFonts w:ascii="Arial" w:hAnsi="Arial" w:cs="Arial"/>
                          <w:b w:val="0"/>
                          <w:color w:val="auto"/>
                        </w:rPr>
                        <w:t xml:space="preserve">Figure </w:t>
                      </w:r>
                      <w:r w:rsidRPr="00491482">
                        <w:rPr>
                          <w:rFonts w:ascii="Arial" w:hAnsi="Arial" w:cs="Arial"/>
                          <w:b w:val="0"/>
                          <w:color w:val="auto"/>
                        </w:rPr>
                        <w:fldChar w:fldCharType="begin"/>
                      </w:r>
                      <w:r w:rsidRPr="00491482">
                        <w:rPr>
                          <w:rFonts w:ascii="Arial" w:hAnsi="Arial" w:cs="Arial"/>
                          <w:b w:val="0"/>
                          <w:color w:val="auto"/>
                        </w:rPr>
                        <w:instrText xml:space="preserve"> SEQ Figure \* ARABIC </w:instrText>
                      </w:r>
                      <w:r w:rsidRPr="00491482">
                        <w:rPr>
                          <w:rFonts w:ascii="Arial" w:hAnsi="Arial" w:cs="Arial"/>
                          <w:b w:val="0"/>
                          <w:color w:val="auto"/>
                        </w:rPr>
                        <w:fldChar w:fldCharType="separate"/>
                      </w:r>
                      <w:r>
                        <w:rPr>
                          <w:rFonts w:ascii="Arial" w:hAnsi="Arial" w:cs="Arial"/>
                          <w:b w:val="0"/>
                          <w:noProof/>
                          <w:color w:val="auto"/>
                        </w:rPr>
                        <w:t>8</w:t>
                      </w:r>
                      <w:r w:rsidRPr="00491482">
                        <w:rPr>
                          <w:rFonts w:ascii="Arial" w:hAnsi="Arial" w:cs="Arial"/>
                          <w:b w:val="0"/>
                          <w:color w:val="auto"/>
                        </w:rPr>
                        <w:fldChar w:fldCharType="end"/>
                      </w:r>
                      <w:r w:rsidRPr="00491482">
                        <w:rPr>
                          <w:rFonts w:ascii="Arial" w:hAnsi="Arial" w:cs="Arial"/>
                          <w:b w:val="0"/>
                          <w:color w:val="auto"/>
                        </w:rPr>
                        <w:t>: The process of osteocyte differentiation and formation.</w:t>
                      </w:r>
                      <w:bookmarkEnd w:id="29"/>
                      <w:bookmarkEnd w:id="30"/>
                      <w:bookmarkEnd w:id="31"/>
                    </w:p>
                  </w:txbxContent>
                </v:textbox>
              </v:shape>
            </w:pict>
          </mc:Fallback>
        </mc:AlternateContent>
      </w:r>
    </w:p>
    <w:p w:rsidR="00491482" w:rsidRDefault="00491482" w:rsidP="00900F2C">
      <w:pPr>
        <w:spacing w:line="360" w:lineRule="auto"/>
        <w:rPr>
          <w:rFonts w:ascii="Arial" w:hAnsi="Arial" w:cs="Arial"/>
          <w:color w:val="C00000"/>
        </w:rPr>
      </w:pPr>
    </w:p>
    <w:p w:rsidR="00E90683" w:rsidRDefault="00076197" w:rsidP="003B725E">
      <w:pPr>
        <w:spacing w:line="360" w:lineRule="auto"/>
        <w:jc w:val="both"/>
        <w:rPr>
          <w:rFonts w:ascii="Arial" w:hAnsi="Arial" w:cs="Arial"/>
        </w:rPr>
      </w:pPr>
      <w:r w:rsidRPr="00AE30E2">
        <w:rPr>
          <w:rFonts w:ascii="Arial" w:hAnsi="Arial" w:cs="Arial"/>
        </w:rPr>
        <w:t xml:space="preserve">Osteocytes are able to </w:t>
      </w:r>
      <w:r w:rsidR="00AE30E2">
        <w:rPr>
          <w:rFonts w:ascii="Arial" w:hAnsi="Arial" w:cs="Arial"/>
        </w:rPr>
        <w:t>sense mechanical loading</w:t>
      </w:r>
      <w:r w:rsidR="00B56280" w:rsidRPr="00AE30E2">
        <w:rPr>
          <w:rFonts w:ascii="Arial" w:hAnsi="Arial" w:cs="Arial"/>
        </w:rPr>
        <w:t xml:space="preserve">, from the stress created by the </w:t>
      </w:r>
      <w:r w:rsidR="001536A5">
        <w:rPr>
          <w:rFonts w:ascii="Arial" w:hAnsi="Arial" w:cs="Arial"/>
        </w:rPr>
        <w:t xml:space="preserve">extra cellular </w:t>
      </w:r>
      <w:r w:rsidR="00B56280" w:rsidRPr="00AE30E2">
        <w:rPr>
          <w:rFonts w:ascii="Arial" w:hAnsi="Arial" w:cs="Arial"/>
        </w:rPr>
        <w:t>fluid flowing along the lacuna-canalicular network. This stimulus is applied to the skeleton and translated into biochemical signals</w:t>
      </w:r>
      <w:r w:rsidR="00F10207" w:rsidRPr="00AE30E2">
        <w:rPr>
          <w:rFonts w:ascii="Arial" w:hAnsi="Arial" w:cs="Arial"/>
        </w:rPr>
        <w:t xml:space="preserve"> </w:t>
      </w:r>
      <w:r w:rsidR="00F10207" w:rsidRPr="00AE30E2">
        <w:rPr>
          <w:rFonts w:ascii="Arial" w:hAnsi="Arial" w:cs="Arial"/>
        </w:rPr>
        <w:fldChar w:fldCharType="begin">
          <w:fldData xml:space="preserve">PEVuZE5vdGU+PENpdGU+PEF1dGhvcj5QcmljZTwvQXV0aG9yPjxZZWFyPjIwMTE8L1llYXI+PFJl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PEVuZE5vdGU+PENpdGU+PEF1dGhvcj5QcmljZTwvQXV0aG9yPjxZZWFyPjIwMTE8L1llYXI+PFJl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F10207" w:rsidRPr="00AE30E2">
        <w:rPr>
          <w:rFonts w:ascii="Arial" w:hAnsi="Arial" w:cs="Arial"/>
        </w:rPr>
      </w:r>
      <w:r w:rsidR="00F10207" w:rsidRPr="00AE30E2">
        <w:rPr>
          <w:rFonts w:ascii="Arial" w:hAnsi="Arial" w:cs="Arial"/>
        </w:rPr>
        <w:fldChar w:fldCharType="separate"/>
      </w:r>
      <w:r w:rsidR="00EF6236">
        <w:rPr>
          <w:rFonts w:ascii="Arial" w:hAnsi="Arial" w:cs="Arial"/>
          <w:noProof/>
        </w:rPr>
        <w:t>(</w:t>
      </w:r>
      <w:hyperlink w:anchor="_ENREF_84" w:tooltip="Price, 2011 #81" w:history="1">
        <w:r w:rsidR="003B725E">
          <w:rPr>
            <w:rFonts w:ascii="Arial" w:hAnsi="Arial" w:cs="Arial"/>
            <w:noProof/>
          </w:rPr>
          <w:t>84</w:t>
        </w:r>
      </w:hyperlink>
      <w:r w:rsidR="00EF6236">
        <w:rPr>
          <w:rFonts w:ascii="Arial" w:hAnsi="Arial" w:cs="Arial"/>
          <w:noProof/>
        </w:rPr>
        <w:t>)</w:t>
      </w:r>
      <w:r w:rsidR="00F10207" w:rsidRPr="00AE30E2">
        <w:rPr>
          <w:rFonts w:ascii="Arial" w:hAnsi="Arial" w:cs="Arial"/>
        </w:rPr>
        <w:fldChar w:fldCharType="end"/>
      </w:r>
      <w:r w:rsidR="00B56280" w:rsidRPr="00AE30E2">
        <w:rPr>
          <w:rFonts w:ascii="Arial" w:hAnsi="Arial" w:cs="Arial"/>
        </w:rPr>
        <w:t>.</w:t>
      </w:r>
      <w:r w:rsidR="00F10207" w:rsidRPr="00AE30E2">
        <w:rPr>
          <w:rFonts w:ascii="Arial" w:hAnsi="Arial" w:cs="Arial"/>
        </w:rPr>
        <w:t xml:space="preserve"> </w:t>
      </w:r>
      <w:r w:rsidR="006246AB">
        <w:rPr>
          <w:rFonts w:ascii="Arial" w:hAnsi="Arial" w:cs="Arial"/>
        </w:rPr>
        <w:t xml:space="preserve">The primary </w:t>
      </w:r>
      <w:r w:rsidR="00D54649">
        <w:rPr>
          <w:rFonts w:ascii="Arial" w:hAnsi="Arial" w:cs="Arial"/>
        </w:rPr>
        <w:t>cilia of the osteocyte act as mechanosensors and detect</w:t>
      </w:r>
      <w:r w:rsidR="006246AB">
        <w:rPr>
          <w:rFonts w:ascii="Arial" w:hAnsi="Arial" w:cs="Arial"/>
        </w:rPr>
        <w:t xml:space="preserve"> the stimulus. </w:t>
      </w:r>
      <w:r w:rsidR="00F10207" w:rsidRPr="00AE30E2">
        <w:rPr>
          <w:rFonts w:ascii="Arial" w:hAnsi="Arial" w:cs="Arial"/>
        </w:rPr>
        <w:t>The response of the osteocytes to skeletal loading remains unclear</w:t>
      </w:r>
      <w:r w:rsidR="00491482">
        <w:rPr>
          <w:rFonts w:ascii="Arial" w:hAnsi="Arial" w:cs="Arial"/>
        </w:rPr>
        <w:t xml:space="preserve"> but has been previously studied. Possible responses include</w:t>
      </w:r>
      <w:r w:rsidR="00820819" w:rsidRPr="00AE30E2">
        <w:rPr>
          <w:rFonts w:ascii="Arial" w:hAnsi="Arial" w:cs="Arial"/>
        </w:rPr>
        <w:t xml:space="preserve"> the expression of mechanosensitive transcripts and the secretion of nitric oxide</w:t>
      </w:r>
      <w:r w:rsidR="00AE30E2">
        <w:rPr>
          <w:rFonts w:ascii="Arial" w:hAnsi="Arial" w:cs="Arial"/>
        </w:rPr>
        <w:t xml:space="preserve"> </w:t>
      </w:r>
      <w:r w:rsidR="00AE30E2" w:rsidRPr="00AE30E2">
        <w:rPr>
          <w:rFonts w:ascii="Arial" w:hAnsi="Arial" w:cs="Arial"/>
        </w:rPr>
        <w:fldChar w:fldCharType="begin">
          <w:fldData xml:space="preserve">PEVuZE5vdGU+PENpdGU+PEF1dGhvcj5IYXJyaXM8L0F1dGhvcj48WWVhcj4yMDA3PC9ZZWFyPjxS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==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PEVuZE5vdGU+PENpdGU+PEF1dGhvcj5IYXJyaXM8L0F1dGhvcj48WWVhcj4yMDA3PC9ZZWFyPjxS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==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AE30E2" w:rsidRPr="00AE30E2">
        <w:rPr>
          <w:rFonts w:ascii="Arial" w:hAnsi="Arial" w:cs="Arial"/>
        </w:rPr>
      </w:r>
      <w:r w:rsidR="00AE30E2" w:rsidRPr="00AE30E2">
        <w:rPr>
          <w:rFonts w:ascii="Arial" w:hAnsi="Arial" w:cs="Arial"/>
        </w:rPr>
        <w:fldChar w:fldCharType="separate"/>
      </w:r>
      <w:r w:rsidR="00EF6236">
        <w:rPr>
          <w:rFonts w:ascii="Arial" w:hAnsi="Arial" w:cs="Arial"/>
          <w:noProof/>
        </w:rPr>
        <w:t>(</w:t>
      </w:r>
      <w:hyperlink w:anchor="_ENREF_85" w:tooltip="Harris, 2007 #82" w:history="1">
        <w:r w:rsidR="003B725E">
          <w:rPr>
            <w:rFonts w:ascii="Arial" w:hAnsi="Arial" w:cs="Arial"/>
            <w:noProof/>
          </w:rPr>
          <w:t>85-87</w:t>
        </w:r>
      </w:hyperlink>
      <w:r w:rsidR="00EF6236">
        <w:rPr>
          <w:rFonts w:ascii="Arial" w:hAnsi="Arial" w:cs="Arial"/>
          <w:noProof/>
        </w:rPr>
        <w:t>)</w:t>
      </w:r>
      <w:r w:rsidR="00AE30E2" w:rsidRPr="00AE30E2">
        <w:rPr>
          <w:rFonts w:ascii="Arial" w:hAnsi="Arial" w:cs="Arial"/>
        </w:rPr>
        <w:fldChar w:fldCharType="end"/>
      </w:r>
      <w:r w:rsidR="006246AB">
        <w:rPr>
          <w:rFonts w:ascii="Arial" w:hAnsi="Arial" w:cs="Arial"/>
        </w:rPr>
        <w:t xml:space="preserve">. </w:t>
      </w:r>
      <w:r w:rsidR="00AE30E2">
        <w:rPr>
          <w:rFonts w:ascii="Arial" w:hAnsi="Arial" w:cs="Arial"/>
        </w:rPr>
        <w:t>More important</w:t>
      </w:r>
      <w:r w:rsidR="00FD56A6">
        <w:rPr>
          <w:rFonts w:ascii="Arial" w:hAnsi="Arial" w:cs="Arial"/>
        </w:rPr>
        <w:t>ly in regulating bone formation,</w:t>
      </w:r>
      <w:r w:rsidR="00AE30E2">
        <w:rPr>
          <w:rFonts w:ascii="Arial" w:hAnsi="Arial" w:cs="Arial"/>
        </w:rPr>
        <w:t xml:space="preserve"> </w:t>
      </w:r>
      <w:r w:rsidR="008E0012">
        <w:rPr>
          <w:rFonts w:ascii="Arial" w:hAnsi="Arial" w:cs="Arial"/>
        </w:rPr>
        <w:t xml:space="preserve">sclerostin secreted by the </w:t>
      </w:r>
      <w:r w:rsidR="00FD56A6">
        <w:rPr>
          <w:rFonts w:ascii="Arial" w:hAnsi="Arial" w:cs="Arial"/>
        </w:rPr>
        <w:t>o</w:t>
      </w:r>
      <w:r w:rsidR="008E0012">
        <w:rPr>
          <w:rFonts w:ascii="Arial" w:hAnsi="Arial" w:cs="Arial"/>
        </w:rPr>
        <w:t>steocytes is inhibited by</w:t>
      </w:r>
      <w:r w:rsidR="00866350">
        <w:rPr>
          <w:rFonts w:ascii="Arial" w:hAnsi="Arial" w:cs="Arial"/>
        </w:rPr>
        <w:t xml:space="preserve"> mechanical loading leading to </w:t>
      </w:r>
      <w:r w:rsidR="003D67A2">
        <w:rPr>
          <w:rFonts w:ascii="Arial" w:hAnsi="Arial" w:cs="Arial"/>
        </w:rPr>
        <w:t xml:space="preserve"> increas</w:t>
      </w:r>
      <w:r w:rsidR="00866350">
        <w:rPr>
          <w:rFonts w:ascii="Arial" w:hAnsi="Arial" w:cs="Arial"/>
        </w:rPr>
        <w:t>ed</w:t>
      </w:r>
      <w:r w:rsidR="00417713">
        <w:rPr>
          <w:rFonts w:ascii="Arial" w:hAnsi="Arial" w:cs="Arial"/>
        </w:rPr>
        <w:t xml:space="preserve"> </w:t>
      </w:r>
      <w:r w:rsidR="001536A5">
        <w:rPr>
          <w:rFonts w:ascii="Arial" w:hAnsi="Arial" w:cs="Arial"/>
        </w:rPr>
        <w:t xml:space="preserve">Wnt signalling, </w:t>
      </w:r>
      <w:r w:rsidR="00E90683">
        <w:rPr>
          <w:rFonts w:ascii="Arial" w:hAnsi="Arial" w:cs="Arial"/>
        </w:rPr>
        <w:t>osteoblast activity</w:t>
      </w:r>
      <w:r w:rsidR="00417713">
        <w:rPr>
          <w:rFonts w:ascii="Arial" w:hAnsi="Arial" w:cs="Arial"/>
        </w:rPr>
        <w:t xml:space="preserve"> and bone formation. In contrast, as a result of </w:t>
      </w:r>
      <w:r w:rsidR="001536A5">
        <w:rPr>
          <w:rFonts w:ascii="Arial" w:hAnsi="Arial" w:cs="Arial"/>
        </w:rPr>
        <w:t xml:space="preserve">mechanical </w:t>
      </w:r>
      <w:r w:rsidR="00417713">
        <w:rPr>
          <w:rFonts w:ascii="Arial" w:hAnsi="Arial" w:cs="Arial"/>
        </w:rPr>
        <w:t>unloading higher sclerostin levels are secreted</w:t>
      </w:r>
      <w:r w:rsidR="003D67A2">
        <w:rPr>
          <w:rFonts w:ascii="Arial" w:hAnsi="Arial" w:cs="Arial"/>
        </w:rPr>
        <w:t>,</w:t>
      </w:r>
      <w:r w:rsidR="00417713">
        <w:rPr>
          <w:rFonts w:ascii="Arial" w:hAnsi="Arial" w:cs="Arial"/>
        </w:rPr>
        <w:t xml:space="preserve"> </w:t>
      </w:r>
      <w:r w:rsidR="003D67A2">
        <w:rPr>
          <w:rFonts w:ascii="Arial" w:hAnsi="Arial" w:cs="Arial"/>
        </w:rPr>
        <w:t xml:space="preserve">inhibiting </w:t>
      </w:r>
      <w:r w:rsidR="00417713">
        <w:rPr>
          <w:rFonts w:ascii="Arial" w:hAnsi="Arial" w:cs="Arial"/>
        </w:rPr>
        <w:t>Wnt signalling, osteoblast activity and bone forma</w:t>
      </w:r>
      <w:r w:rsidR="004900FC">
        <w:rPr>
          <w:rFonts w:ascii="Arial" w:hAnsi="Arial" w:cs="Arial"/>
        </w:rPr>
        <w:t>tion, (Figure 8</w:t>
      </w:r>
      <w:r w:rsidR="00397C78">
        <w:rPr>
          <w:rFonts w:ascii="Arial" w:hAnsi="Arial" w:cs="Arial"/>
        </w:rPr>
        <w:t>)</w:t>
      </w:r>
      <w:r w:rsidR="001536A5">
        <w:rPr>
          <w:rFonts w:ascii="Arial" w:hAnsi="Arial" w:cs="Arial"/>
        </w:rPr>
        <w:t xml:space="preserve"> </w:t>
      </w:r>
      <w:r w:rsidR="001536A5">
        <w:rPr>
          <w:rFonts w:ascii="Arial" w:hAnsi="Arial" w:cs="Arial"/>
        </w:rPr>
        <w:fldChar w:fldCharType="begin">
          <w:fldData xml:space="preserve">PEVuZE5vdGU+PENpdGU+PEF1dGhvcj5TYWthaTwvQXV0aG9yPjxZZWFyPjIwMTM8L1llYXI+PFJl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PEVuZE5vdGU+PENpdGU+PEF1dGhvcj5TYWthaTwvQXV0aG9yPjxZZWFyPjIwMTM8L1llYXI+PFJl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536A5">
        <w:rPr>
          <w:rFonts w:ascii="Arial" w:hAnsi="Arial" w:cs="Arial"/>
        </w:rPr>
      </w:r>
      <w:r w:rsidR="001536A5">
        <w:rPr>
          <w:rFonts w:ascii="Arial" w:hAnsi="Arial" w:cs="Arial"/>
        </w:rPr>
        <w:fldChar w:fldCharType="separate"/>
      </w:r>
      <w:r w:rsidR="00EF6236">
        <w:rPr>
          <w:rFonts w:ascii="Arial" w:hAnsi="Arial" w:cs="Arial"/>
          <w:noProof/>
        </w:rPr>
        <w:t>(</w:t>
      </w:r>
      <w:hyperlink w:anchor="_ENREF_88" w:tooltip="Sakai, 2013 #85" w:history="1">
        <w:r w:rsidR="003B725E">
          <w:rPr>
            <w:rFonts w:ascii="Arial" w:hAnsi="Arial" w:cs="Arial"/>
            <w:noProof/>
          </w:rPr>
          <w:t>88-90</w:t>
        </w:r>
      </w:hyperlink>
      <w:r w:rsidR="00EF6236">
        <w:rPr>
          <w:rFonts w:ascii="Arial" w:hAnsi="Arial" w:cs="Arial"/>
          <w:noProof/>
        </w:rPr>
        <w:t>)</w:t>
      </w:r>
      <w:r w:rsidR="001536A5">
        <w:rPr>
          <w:rFonts w:ascii="Arial" w:hAnsi="Arial" w:cs="Arial"/>
        </w:rPr>
        <w:fldChar w:fldCharType="end"/>
      </w:r>
      <w:r w:rsidR="00AE30E2">
        <w:rPr>
          <w:rFonts w:ascii="Arial" w:hAnsi="Arial" w:cs="Arial"/>
        </w:rPr>
        <w:t>.</w:t>
      </w:r>
    </w:p>
    <w:p w:rsidR="00A516FD" w:rsidRDefault="00A516FD" w:rsidP="003B725E">
      <w:pPr>
        <w:spacing w:line="360" w:lineRule="auto"/>
        <w:jc w:val="both"/>
        <w:rPr>
          <w:rFonts w:ascii="Arial" w:hAnsi="Arial" w:cs="Arial"/>
        </w:rPr>
      </w:pPr>
      <w:r>
        <w:rPr>
          <w:rFonts w:ascii="Arial" w:hAnsi="Arial" w:cs="Arial"/>
        </w:rPr>
        <w:lastRenderedPageBreak/>
        <w:t xml:space="preserve">Osteocytes express </w:t>
      </w:r>
      <w:r w:rsidR="00FE7CA6">
        <w:rPr>
          <w:rFonts w:ascii="Arial" w:hAnsi="Arial" w:cs="Arial"/>
        </w:rPr>
        <w:t xml:space="preserve">and secrete </w:t>
      </w:r>
      <w:r>
        <w:rPr>
          <w:rFonts w:ascii="Arial" w:hAnsi="Arial" w:cs="Arial"/>
        </w:rPr>
        <w:t>other molecules</w:t>
      </w:r>
      <w:r w:rsidR="00FE7CA6">
        <w:rPr>
          <w:rFonts w:ascii="Arial" w:hAnsi="Arial" w:cs="Arial"/>
        </w:rPr>
        <w:t xml:space="preserve"> </w:t>
      </w:r>
      <w:r>
        <w:rPr>
          <w:rFonts w:ascii="Arial" w:hAnsi="Arial" w:cs="Arial"/>
        </w:rPr>
        <w:t>that regulate the activity of osteoclasts and osteoblasts</w:t>
      </w:r>
      <w:r w:rsidR="00FE7CA6">
        <w:rPr>
          <w:rFonts w:ascii="Arial" w:hAnsi="Arial" w:cs="Arial"/>
        </w:rPr>
        <w:t xml:space="preserve"> by paracrine or autocrine mechanisms, and hormones that affect other tissues by endocrine mechanisms</w:t>
      </w:r>
      <w:r w:rsidR="00736F03">
        <w:rPr>
          <w:rFonts w:ascii="Arial" w:hAnsi="Arial" w:cs="Arial"/>
        </w:rPr>
        <w:t xml:space="preserve"> </w:t>
      </w:r>
      <w:r w:rsidR="00736F03">
        <w:rPr>
          <w:rFonts w:ascii="Arial" w:hAnsi="Arial" w:cs="Arial"/>
        </w:rPr>
        <w:fldChar w:fldCharType="begin"/>
      </w:r>
      <w:r w:rsidR="00736F03">
        <w:rPr>
          <w:rFonts w:ascii="Arial" w:hAnsi="Arial" w:cs="Arial"/>
        </w:rPr>
        <w:instrText xml:space="preserve"> ADDIN EN.CITE &lt;EndNote&gt;&lt;Cite&gt;&lt;Author&gt;Rodan&lt;/Author&gt;&lt;Year&gt;1992&lt;/Year&gt;&lt;RecNum&gt;521&lt;/RecNum&gt;&lt;DisplayText&gt;(91)&lt;/DisplayText&gt;&lt;record&gt;&lt;rec-number&gt;521&lt;/rec-number&gt;&lt;foreign-keys&gt;&lt;key app="EN" db-id="p9a5ttsvyvde9me5aw2x05fp5p55axf0wr90" timestamp="1437387479"&gt;521&lt;/key&gt;&lt;/foreign-keys&gt;&lt;ref-type name="Journal Article"&gt;17&lt;/ref-type&gt;&lt;contributors&gt;&lt;authors&gt;&lt;author&gt;Rodan, G. A.&lt;/author&gt;&lt;/authors&gt;&lt;/contributors&gt;&lt;auth-address&gt;Department of Bone Biology and Osteoporosis Research, Merck Sharp &amp;amp; Dohme Research Laboratories, West Point, PA 19486.&lt;/auth-address&gt;&lt;titles&gt;&lt;title&gt;Introduction to bone biology&lt;/title&gt;&lt;secondary-title&gt;Bone&lt;/secondary-title&gt;&lt;/titles&gt;&lt;periodical&gt;&lt;full-title&gt;Bone&lt;/full-title&gt;&lt;abbr-1&gt;Bone&lt;/abbr-1&gt;&lt;/periodical&gt;&lt;pages&gt;S3-6&lt;/pages&gt;&lt;volume&gt;13 Suppl 1&lt;/volume&gt;&lt;edition&gt;1992/01/01&lt;/edition&gt;&lt;keywords&gt;&lt;keyword&gt;Animals&lt;/keyword&gt;&lt;keyword&gt;Bone Remodeling/ physiology&lt;/keyword&gt;&lt;keyword&gt;Growth Substances/physiology&lt;/keyword&gt;&lt;keyword&gt;Humans&lt;/keyword&gt;&lt;keyword&gt;Osteoblasts/physiology&lt;/keyword&gt;&lt;keyword&gt;Osteoclasts/physiology&lt;/keyword&gt;&lt;/keywords&gt;&lt;dates&gt;&lt;year&gt;1992&lt;/year&gt;&lt;/dates&gt;&lt;isbn&gt;8756-3282 (Print)&amp;#xD;1873-2763 (Linking)&lt;/isbn&gt;&lt;accession-num&gt;1581117&lt;/accession-num&gt;&lt;urls&gt;&lt;/urls&gt;&lt;remote-database-provider&gt;NLM&lt;/remote-database-provider&gt;&lt;language&gt;eng&lt;/language&gt;&lt;/record&gt;&lt;/Cite&gt;&lt;/EndNote&gt;</w:instrText>
      </w:r>
      <w:r w:rsidR="00736F03">
        <w:rPr>
          <w:rFonts w:ascii="Arial" w:hAnsi="Arial" w:cs="Arial"/>
        </w:rPr>
        <w:fldChar w:fldCharType="separate"/>
      </w:r>
      <w:r w:rsidR="00736F03">
        <w:rPr>
          <w:rFonts w:ascii="Arial" w:hAnsi="Arial" w:cs="Arial"/>
          <w:noProof/>
        </w:rPr>
        <w:t>(</w:t>
      </w:r>
      <w:hyperlink w:anchor="_ENREF_91" w:tooltip="Rodan, 1992 #521" w:history="1">
        <w:r w:rsidR="003B725E">
          <w:rPr>
            <w:rFonts w:ascii="Arial" w:hAnsi="Arial" w:cs="Arial"/>
            <w:noProof/>
          </w:rPr>
          <w:t>91</w:t>
        </w:r>
      </w:hyperlink>
      <w:r w:rsidR="00736F03">
        <w:rPr>
          <w:rFonts w:ascii="Arial" w:hAnsi="Arial" w:cs="Arial"/>
          <w:noProof/>
        </w:rPr>
        <w:t>)</w:t>
      </w:r>
      <w:r w:rsidR="00736F03">
        <w:rPr>
          <w:rFonts w:ascii="Arial" w:hAnsi="Arial" w:cs="Arial"/>
        </w:rPr>
        <w:fldChar w:fldCharType="end"/>
      </w:r>
      <w:r w:rsidR="00FE7CA6">
        <w:rPr>
          <w:rFonts w:ascii="Arial" w:hAnsi="Arial" w:cs="Arial"/>
        </w:rPr>
        <w:t xml:space="preserve">. </w:t>
      </w:r>
      <w:r w:rsidR="008D72E7">
        <w:rPr>
          <w:rFonts w:ascii="Arial" w:hAnsi="Arial" w:cs="Arial"/>
        </w:rPr>
        <w:t>Osteocytes isolated from mice models have shown that they e</w:t>
      </w:r>
      <w:r w:rsidR="00C57A54">
        <w:rPr>
          <w:rFonts w:ascii="Arial" w:hAnsi="Arial" w:cs="Arial"/>
        </w:rPr>
        <w:t xml:space="preserve">xpress high levels of RANKL, </w:t>
      </w:r>
      <w:r w:rsidR="008D72E7">
        <w:rPr>
          <w:rFonts w:ascii="Arial" w:hAnsi="Arial" w:cs="Arial"/>
        </w:rPr>
        <w:t>OPG,</w:t>
      </w:r>
      <w:r w:rsidR="00C57A54">
        <w:rPr>
          <w:rFonts w:ascii="Arial" w:hAnsi="Arial" w:cs="Arial"/>
        </w:rPr>
        <w:t xml:space="preserve"> interleukin-1 and 6 (IL-1 and IL-6) and TNFα,</w:t>
      </w:r>
      <w:r w:rsidR="008D72E7">
        <w:rPr>
          <w:rFonts w:ascii="Arial" w:hAnsi="Arial" w:cs="Arial"/>
        </w:rPr>
        <w:t xml:space="preserve"> required for osteoclast differentiation and </w:t>
      </w:r>
      <w:r w:rsidR="00747532">
        <w:rPr>
          <w:rFonts w:ascii="Arial" w:hAnsi="Arial" w:cs="Arial"/>
        </w:rPr>
        <w:t>activity</w:t>
      </w:r>
      <w:r w:rsidR="008D72E7">
        <w:rPr>
          <w:rFonts w:ascii="Arial" w:hAnsi="Arial" w:cs="Arial"/>
        </w:rPr>
        <w:t xml:space="preserve"> </w:t>
      </w:r>
      <w:r w:rsidR="008D72E7">
        <w:rPr>
          <w:rFonts w:ascii="Arial" w:hAnsi="Arial" w:cs="Arial"/>
        </w:rPr>
        <w:fldChar w:fldCharType="begin">
          <w:fldData xml:space="preserve">PEVuZE5vdGU+PENpdGU+PEF1dGhvcj5OYWthc2hpbWE8L0F1dGhvcj48WWVhcj4yMDExPC9ZZWFy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PEVuZE5vdGU+PENpdGU+PEF1dGhvcj5OYWthc2hpbWE8L0F1dGhvcj48WWVhcj4yMDExPC9ZZWFy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008D72E7">
        <w:rPr>
          <w:rFonts w:ascii="Arial" w:hAnsi="Arial" w:cs="Arial"/>
        </w:rPr>
      </w:r>
      <w:r w:rsidR="008D72E7">
        <w:rPr>
          <w:rFonts w:ascii="Arial" w:hAnsi="Arial" w:cs="Arial"/>
        </w:rPr>
        <w:fldChar w:fldCharType="separate"/>
      </w:r>
      <w:r w:rsidR="00736F03">
        <w:rPr>
          <w:rFonts w:ascii="Arial" w:hAnsi="Arial" w:cs="Arial"/>
          <w:noProof/>
        </w:rPr>
        <w:t>(</w:t>
      </w:r>
      <w:hyperlink w:anchor="_ENREF_92" w:tooltip="Nakashima, 2011 #88" w:history="1">
        <w:r w:rsidR="003B725E">
          <w:rPr>
            <w:rFonts w:ascii="Arial" w:hAnsi="Arial" w:cs="Arial"/>
            <w:noProof/>
          </w:rPr>
          <w:t>92</w:t>
        </w:r>
      </w:hyperlink>
      <w:r w:rsidR="00736F03">
        <w:rPr>
          <w:rFonts w:ascii="Arial" w:hAnsi="Arial" w:cs="Arial"/>
          <w:noProof/>
        </w:rPr>
        <w:t xml:space="preserve">, </w:t>
      </w:r>
      <w:hyperlink w:anchor="_ENREF_93" w:tooltip="Kramer, 2010 #68" w:history="1">
        <w:r w:rsidR="003B725E">
          <w:rPr>
            <w:rFonts w:ascii="Arial" w:hAnsi="Arial" w:cs="Arial"/>
            <w:noProof/>
          </w:rPr>
          <w:t>93</w:t>
        </w:r>
      </w:hyperlink>
      <w:r w:rsidR="00736F03">
        <w:rPr>
          <w:rFonts w:ascii="Arial" w:hAnsi="Arial" w:cs="Arial"/>
          <w:noProof/>
        </w:rPr>
        <w:t>)</w:t>
      </w:r>
      <w:r w:rsidR="008D72E7">
        <w:rPr>
          <w:rFonts w:ascii="Arial" w:hAnsi="Arial" w:cs="Arial"/>
        </w:rPr>
        <w:fldChar w:fldCharType="end"/>
      </w:r>
      <w:r w:rsidR="008D72E7">
        <w:rPr>
          <w:rFonts w:ascii="Arial" w:hAnsi="Arial" w:cs="Arial"/>
        </w:rPr>
        <w:t xml:space="preserve">. </w:t>
      </w:r>
      <w:r>
        <w:rPr>
          <w:rFonts w:ascii="Arial" w:hAnsi="Arial" w:cs="Arial"/>
        </w:rPr>
        <w:t xml:space="preserve"> </w:t>
      </w:r>
      <w:r w:rsidR="00747532">
        <w:rPr>
          <w:rFonts w:ascii="Arial" w:hAnsi="Arial" w:cs="Arial"/>
        </w:rPr>
        <w:t xml:space="preserve">In addition, there has also been some evidence that osteocytes are another source of M-CSF in bone and mice deficient in the CSF-1 gene </w:t>
      </w:r>
      <w:r w:rsidR="00072A22">
        <w:rPr>
          <w:rFonts w:ascii="Arial" w:hAnsi="Arial" w:cs="Arial"/>
        </w:rPr>
        <w:t xml:space="preserve">expressed an osteopetrotic phenotype </w:t>
      </w:r>
      <w:r w:rsidR="00072A22">
        <w:rPr>
          <w:rFonts w:ascii="Arial" w:hAnsi="Arial" w:cs="Arial"/>
        </w:rPr>
        <w:fldChar w:fldCharType="begin">
          <w:fldData xml:space="preserve">PEVuZE5vdGU+PENpdGU+PEF1dGhvcj5IYXJyaXM8L0F1dGhvcj48WWVhcj4yMDEyPC9ZZWFyPjxS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PEVuZE5vdGU+PENpdGU+PEF1dGhvcj5IYXJyaXM8L0F1dGhvcj48WWVhcj4yMDEyPC9ZZWFyPjxS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00072A22">
        <w:rPr>
          <w:rFonts w:ascii="Arial" w:hAnsi="Arial" w:cs="Arial"/>
        </w:rPr>
      </w:r>
      <w:r w:rsidR="00072A22">
        <w:rPr>
          <w:rFonts w:ascii="Arial" w:hAnsi="Arial" w:cs="Arial"/>
        </w:rPr>
        <w:fldChar w:fldCharType="separate"/>
      </w:r>
      <w:r w:rsidR="00736F03">
        <w:rPr>
          <w:rFonts w:ascii="Arial" w:hAnsi="Arial" w:cs="Arial"/>
          <w:noProof/>
        </w:rPr>
        <w:t>(</w:t>
      </w:r>
      <w:hyperlink w:anchor="_ENREF_94" w:tooltip="Harris, 2012 #89" w:history="1">
        <w:r w:rsidR="003B725E">
          <w:rPr>
            <w:rFonts w:ascii="Arial" w:hAnsi="Arial" w:cs="Arial"/>
            <w:noProof/>
          </w:rPr>
          <w:t>94</w:t>
        </w:r>
      </w:hyperlink>
      <w:r w:rsidR="00736F03">
        <w:rPr>
          <w:rFonts w:ascii="Arial" w:hAnsi="Arial" w:cs="Arial"/>
          <w:noProof/>
        </w:rPr>
        <w:t>)</w:t>
      </w:r>
      <w:r w:rsidR="00072A22">
        <w:rPr>
          <w:rFonts w:ascii="Arial" w:hAnsi="Arial" w:cs="Arial"/>
        </w:rPr>
        <w:fldChar w:fldCharType="end"/>
      </w:r>
      <w:r w:rsidR="00747532">
        <w:rPr>
          <w:rFonts w:ascii="Arial" w:hAnsi="Arial" w:cs="Arial"/>
        </w:rPr>
        <w:t xml:space="preserve"> .</w:t>
      </w:r>
      <w:r w:rsidR="009C3F08">
        <w:rPr>
          <w:rFonts w:ascii="Arial" w:hAnsi="Arial" w:cs="Arial"/>
        </w:rPr>
        <w:t xml:space="preserve"> Osteocytes also secrete</w:t>
      </w:r>
      <w:r w:rsidR="00747532">
        <w:rPr>
          <w:rFonts w:ascii="Arial" w:hAnsi="Arial" w:cs="Arial"/>
        </w:rPr>
        <w:t xml:space="preserve"> </w:t>
      </w:r>
      <w:r w:rsidR="009C3F08">
        <w:rPr>
          <w:rFonts w:ascii="Arial" w:hAnsi="Arial" w:cs="Arial"/>
        </w:rPr>
        <w:t>fibroblast growth factor 23 (FGF23), a hormone that regulates phosphate metabolism and bone mineralisation</w:t>
      </w:r>
      <w:r w:rsidR="00E76602">
        <w:rPr>
          <w:rFonts w:ascii="Arial" w:hAnsi="Arial" w:cs="Arial"/>
        </w:rPr>
        <w:t xml:space="preserve"> </w:t>
      </w:r>
      <w:r w:rsidR="00E76602">
        <w:rPr>
          <w:rFonts w:ascii="Arial" w:hAnsi="Arial" w:cs="Arial"/>
        </w:rPr>
        <w:fldChar w:fldCharType="begin">
          <w:fldData xml:space="preserve">PEVuZE5vdGU+PENpdGU+PEF1dGhvcj5Zb3NoaWtvPC9BdXRob3I+PFllYXI+MjAwNzwvWWVhcj48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YnItMT48L2FsdC1wZXJpb2RpY2FsPjxwYWdlcz4xNTY1LTczPC9wYWdlcz48dm9sdW1lPjQwPC92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PEVuZE5vdGU+PENpdGU+PEF1dGhvcj5Zb3NoaWtvPC9BdXRob3I+PFllYXI+MjAwNzwvWWVhcj48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YnItMT48L2FsdC1wZXJpb2RpY2FsPjxwYWdlcz4xNTY1LTczPC9wYWdlcz48dm9sdW1lPjQwPC92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00E76602">
        <w:rPr>
          <w:rFonts w:ascii="Arial" w:hAnsi="Arial" w:cs="Arial"/>
        </w:rPr>
      </w:r>
      <w:r w:rsidR="00E76602">
        <w:rPr>
          <w:rFonts w:ascii="Arial" w:hAnsi="Arial" w:cs="Arial"/>
        </w:rPr>
        <w:fldChar w:fldCharType="separate"/>
      </w:r>
      <w:r w:rsidR="00736F03">
        <w:rPr>
          <w:rFonts w:ascii="Arial" w:hAnsi="Arial" w:cs="Arial"/>
          <w:noProof/>
        </w:rPr>
        <w:t>(</w:t>
      </w:r>
      <w:hyperlink w:anchor="_ENREF_95" w:tooltip="Yoshiko, 2007 #90" w:history="1">
        <w:r w:rsidR="003B725E">
          <w:rPr>
            <w:rFonts w:ascii="Arial" w:hAnsi="Arial" w:cs="Arial"/>
            <w:noProof/>
          </w:rPr>
          <w:t>95</w:t>
        </w:r>
      </w:hyperlink>
      <w:r w:rsidR="00736F03">
        <w:rPr>
          <w:rFonts w:ascii="Arial" w:hAnsi="Arial" w:cs="Arial"/>
          <w:noProof/>
        </w:rPr>
        <w:t xml:space="preserve">, </w:t>
      </w:r>
      <w:hyperlink w:anchor="_ENREF_96" w:tooltip="Feng, 2006 #91" w:history="1">
        <w:r w:rsidR="003B725E">
          <w:rPr>
            <w:rFonts w:ascii="Arial" w:hAnsi="Arial" w:cs="Arial"/>
            <w:noProof/>
          </w:rPr>
          <w:t>96</w:t>
        </w:r>
      </w:hyperlink>
      <w:r w:rsidR="00736F03">
        <w:rPr>
          <w:rFonts w:ascii="Arial" w:hAnsi="Arial" w:cs="Arial"/>
          <w:noProof/>
        </w:rPr>
        <w:t>)</w:t>
      </w:r>
      <w:r w:rsidR="00E76602">
        <w:rPr>
          <w:rFonts w:ascii="Arial" w:hAnsi="Arial" w:cs="Arial"/>
        </w:rPr>
        <w:fldChar w:fldCharType="end"/>
      </w:r>
      <w:r w:rsidR="009C3F08">
        <w:rPr>
          <w:rFonts w:ascii="Arial" w:hAnsi="Arial" w:cs="Arial"/>
        </w:rPr>
        <w:t>.</w:t>
      </w:r>
      <w:r w:rsidR="00E76602">
        <w:rPr>
          <w:rFonts w:ascii="Arial" w:hAnsi="Arial" w:cs="Arial"/>
        </w:rPr>
        <w:t xml:space="preserve"> </w:t>
      </w:r>
      <w:r w:rsidR="00866350">
        <w:rPr>
          <w:rFonts w:ascii="Arial" w:hAnsi="Arial" w:cs="Arial"/>
          <w:i/>
        </w:rPr>
        <w:t xml:space="preserve">In vitro, </w:t>
      </w:r>
      <w:r w:rsidR="00E76602">
        <w:rPr>
          <w:rFonts w:ascii="Arial" w:hAnsi="Arial" w:cs="Arial"/>
        </w:rPr>
        <w:t>FGF23 binds to the FGFR1/KLOTHO receptors and activate</w:t>
      </w:r>
      <w:r w:rsidR="00537845">
        <w:rPr>
          <w:rFonts w:ascii="Arial" w:hAnsi="Arial" w:cs="Arial"/>
        </w:rPr>
        <w:t>s</w:t>
      </w:r>
      <w:r w:rsidR="00E76602">
        <w:rPr>
          <w:rFonts w:ascii="Arial" w:hAnsi="Arial" w:cs="Arial"/>
        </w:rPr>
        <w:t xml:space="preserve"> intracellular signalling in the osteocytes. </w:t>
      </w:r>
      <w:r w:rsidR="00537845">
        <w:rPr>
          <w:rFonts w:ascii="Arial" w:hAnsi="Arial" w:cs="Arial"/>
        </w:rPr>
        <w:t>High levels of circulating FGF23 (such as in renal impairment) have</w:t>
      </w:r>
      <w:r w:rsidR="00E76602">
        <w:rPr>
          <w:rFonts w:ascii="Arial" w:hAnsi="Arial" w:cs="Arial"/>
        </w:rPr>
        <w:t xml:space="preserve"> been shown to inhibit osteoblast differentiation and causing impaired mineralisation </w:t>
      </w:r>
      <w:r w:rsidR="00537845">
        <w:rPr>
          <w:rFonts w:ascii="Arial" w:hAnsi="Arial" w:cs="Arial"/>
        </w:rPr>
        <w:t xml:space="preserve">which can lead to rickets and osteomalacia </w:t>
      </w:r>
      <w:r w:rsidR="00537845">
        <w:rPr>
          <w:rFonts w:ascii="Arial" w:hAnsi="Arial" w:cs="Arial"/>
        </w:rPr>
        <w:fldChar w:fldCharType="begin">
          <w:fldData xml:space="preserve">PEVuZE5vdGU+PENpdGU+PEF1dGhvcj5XYW5nPC9BdXRob3I+PFllYXI+MjAwODwvWWVhcj48UmVj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ZXNlYXJjaDwvYWJici0xPjwvYWx0LXBlcmlvZGljYWw+PHBhZ2VzPjkzOS00ODwvcGFnZXM+PHZv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PEVuZE5vdGU+PENpdGU+PEF1dGhvcj5XYW5nPC9BdXRob3I+PFllYXI+MjAwODwvWWVhcj48UmVj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ZXNlYXJjaDwvYWJici0xPjwvYWx0LXBlcmlvZGljYWw+PHBhZ2VzPjkzOS00ODwvcGFnZXM+PHZv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00537845">
        <w:rPr>
          <w:rFonts w:ascii="Arial" w:hAnsi="Arial" w:cs="Arial"/>
        </w:rPr>
      </w:r>
      <w:r w:rsidR="00537845">
        <w:rPr>
          <w:rFonts w:ascii="Arial" w:hAnsi="Arial" w:cs="Arial"/>
        </w:rPr>
        <w:fldChar w:fldCharType="separate"/>
      </w:r>
      <w:r w:rsidR="00736F03">
        <w:rPr>
          <w:rFonts w:ascii="Arial" w:hAnsi="Arial" w:cs="Arial"/>
          <w:noProof/>
        </w:rPr>
        <w:t>(</w:t>
      </w:r>
      <w:hyperlink w:anchor="_ENREF_97" w:tooltip="Wang, 2008 #92" w:history="1">
        <w:r w:rsidR="003B725E">
          <w:rPr>
            <w:rFonts w:ascii="Arial" w:hAnsi="Arial" w:cs="Arial"/>
            <w:noProof/>
          </w:rPr>
          <w:t>97</w:t>
        </w:r>
      </w:hyperlink>
      <w:r w:rsidR="00736F03">
        <w:rPr>
          <w:rFonts w:ascii="Arial" w:hAnsi="Arial" w:cs="Arial"/>
          <w:noProof/>
        </w:rPr>
        <w:t xml:space="preserve">, </w:t>
      </w:r>
      <w:hyperlink w:anchor="_ENREF_98" w:tooltip="Quarles, 2008 #93" w:history="1">
        <w:r w:rsidR="003B725E">
          <w:rPr>
            <w:rFonts w:ascii="Arial" w:hAnsi="Arial" w:cs="Arial"/>
            <w:noProof/>
          </w:rPr>
          <w:t>98</w:t>
        </w:r>
      </w:hyperlink>
      <w:r w:rsidR="00736F03">
        <w:rPr>
          <w:rFonts w:ascii="Arial" w:hAnsi="Arial" w:cs="Arial"/>
          <w:noProof/>
        </w:rPr>
        <w:t>)</w:t>
      </w:r>
      <w:r w:rsidR="00537845">
        <w:rPr>
          <w:rFonts w:ascii="Arial" w:hAnsi="Arial" w:cs="Arial"/>
        </w:rPr>
        <w:fldChar w:fldCharType="end"/>
      </w:r>
      <w:r w:rsidR="00537845">
        <w:rPr>
          <w:rFonts w:ascii="Arial" w:hAnsi="Arial" w:cs="Arial"/>
        </w:rPr>
        <w:t>.</w:t>
      </w:r>
    </w:p>
    <w:p w:rsidR="00253B00" w:rsidRPr="00490494" w:rsidRDefault="00B8317B" w:rsidP="003B725E">
      <w:pPr>
        <w:spacing w:after="0" w:line="360" w:lineRule="auto"/>
        <w:jc w:val="both"/>
        <w:rPr>
          <w:rFonts w:ascii="Arial" w:hAnsi="Arial" w:cs="Arial"/>
        </w:rPr>
      </w:pPr>
      <w:r>
        <w:rPr>
          <w:rFonts w:ascii="Arial" w:hAnsi="Arial" w:cs="Arial"/>
        </w:rPr>
        <w:t>In skeletal disorders such as postmenopausal osteoporosis</w:t>
      </w:r>
      <w:r w:rsidR="00866350">
        <w:rPr>
          <w:rFonts w:ascii="Arial" w:hAnsi="Arial" w:cs="Arial"/>
        </w:rPr>
        <w:t>, increased</w:t>
      </w:r>
      <w:r>
        <w:rPr>
          <w:rFonts w:ascii="Arial" w:hAnsi="Arial" w:cs="Arial"/>
        </w:rPr>
        <w:t xml:space="preserve"> osteocyte apoptosis occurs causing increased </w:t>
      </w:r>
      <w:r w:rsidR="00746C32">
        <w:rPr>
          <w:rFonts w:ascii="Arial" w:hAnsi="Arial" w:cs="Arial"/>
        </w:rPr>
        <w:t xml:space="preserve">bone resorption and </w:t>
      </w:r>
      <w:r>
        <w:rPr>
          <w:rFonts w:ascii="Arial" w:hAnsi="Arial" w:cs="Arial"/>
        </w:rPr>
        <w:t>fragility</w:t>
      </w:r>
      <w:r w:rsidR="00736F03">
        <w:rPr>
          <w:rFonts w:ascii="Arial" w:hAnsi="Arial" w:cs="Arial"/>
        </w:rPr>
        <w:t xml:space="preserve"> </w:t>
      </w:r>
      <w:r w:rsidR="00736F03">
        <w:rPr>
          <w:rFonts w:ascii="Arial" w:hAnsi="Arial" w:cs="Arial"/>
        </w:rPr>
        <w:fldChar w:fldCharType="begin"/>
      </w:r>
      <w:r w:rsidR="00736F03">
        <w:rPr>
          <w:rFonts w:ascii="Arial" w:hAnsi="Arial" w:cs="Arial"/>
        </w:rPr>
        <w:instrText xml:space="preserve"> ADDIN EN.CITE &lt;EndNote&gt;&lt;Cite&gt;&lt;Author&gt;Jilka&lt;/Author&gt;&lt;Year&gt;2013&lt;/Year&gt;&lt;RecNum&gt;522&lt;/RecNum&gt;&lt;DisplayText&gt;(99)&lt;/DisplayText&gt;&lt;record&gt;&lt;rec-number&gt;522&lt;/rec-number&gt;&lt;foreign-keys&gt;&lt;key app="EN" db-id="p9a5ttsvyvde9me5aw2x05fp5p55axf0wr90" timestamp="1437387711"&gt;522&lt;/key&gt;&lt;/foreign-keys&gt;&lt;ref-type name="Journal Article"&gt;17&lt;/ref-type&gt;&lt;contributors&gt;&lt;authors&gt;&lt;author&gt;Jilka, R. L.&lt;/author&gt;&lt;author&gt;Noble, B.&lt;/author&gt;&lt;author&gt;Weinstein, R. S.&lt;/author&gt;&lt;/authors&gt;&lt;/contributors&gt;&lt;auth-address&gt;Division of Endocrinology &amp;amp; Metabolism, Center for Osteoporosis and Metabolic Bone Diseases, Central Arkansas Veterans Healthcare System, 4301 W. Markham, Slot 587, University of Arkansas for Medical Sciences, Little Rock, AR 72205, USA. rljilka@uams.edu&lt;/auth-address&gt;&lt;titles&gt;&lt;title&gt;Osteocyte apoptosis&lt;/title&gt;&lt;secondary-title&gt;Bone&lt;/secondary-title&gt;&lt;/titles&gt;&lt;periodical&gt;&lt;full-title&gt;Bone&lt;/full-title&gt;&lt;abbr-1&gt;Bone&lt;/abbr-1&gt;&lt;/periodical&gt;&lt;pages&gt;264-71&lt;/pages&gt;&lt;volume&gt;54&lt;/volume&gt;&lt;number&gt;2&lt;/number&gt;&lt;edition&gt;2012/12/15&lt;/edition&gt;&lt;keywords&gt;&lt;keyword&gt;Animals&lt;/keyword&gt;&lt;keyword&gt;Apoptosis&lt;/keyword&gt;&lt;keyword&gt;Bone Remodeling&lt;/keyword&gt;&lt;keyword&gt;Humans&lt;/keyword&gt;&lt;keyword&gt;Osteocytes/ cytology/metabolism/ultrastructure&lt;/keyword&gt;&lt;keyword&gt;RANK Ligand/metabolism&lt;/keyword&gt;&lt;keyword&gt;Signal Transduction&lt;/keyword&gt;&lt;keyword&gt;Weight-Bearing&lt;/keyword&gt;&lt;/keywords&gt;&lt;dates&gt;&lt;year&gt;2013&lt;/year&gt;&lt;pub-dates&gt;&lt;date&gt;Jun&lt;/date&gt;&lt;/pub-dates&gt;&lt;/dates&gt;&lt;isbn&gt;1873-2763 (Electronic)&amp;#xD;1873-2763 (Linking)&lt;/isbn&gt;&lt;accession-num&gt;23238124&lt;/accession-num&gt;&lt;urls&gt;&lt;/urls&gt;&lt;custom2&gt;PMC3624050&lt;/custom2&gt;&lt;custom6&gt;Nihms428132&lt;/custom6&gt;&lt;electronic-resource-num&gt;10.1016/j.bone.2012.11.038&lt;/electronic-resource-num&gt;&lt;remote-database-provider&gt;NLM&lt;/remote-database-provider&gt;&lt;language&gt;eng&lt;/language&gt;&lt;/record&gt;&lt;/Cite&gt;&lt;/EndNote&gt;</w:instrText>
      </w:r>
      <w:r w:rsidR="00736F03">
        <w:rPr>
          <w:rFonts w:ascii="Arial" w:hAnsi="Arial" w:cs="Arial"/>
        </w:rPr>
        <w:fldChar w:fldCharType="separate"/>
      </w:r>
      <w:r w:rsidR="00736F03">
        <w:rPr>
          <w:rFonts w:ascii="Arial" w:hAnsi="Arial" w:cs="Arial"/>
          <w:noProof/>
        </w:rPr>
        <w:t>(</w:t>
      </w:r>
      <w:hyperlink w:anchor="_ENREF_99" w:tooltip="Jilka, 2013 #522" w:history="1">
        <w:r w:rsidR="003B725E">
          <w:rPr>
            <w:rFonts w:ascii="Arial" w:hAnsi="Arial" w:cs="Arial"/>
            <w:noProof/>
          </w:rPr>
          <w:t>99</w:t>
        </w:r>
      </w:hyperlink>
      <w:r w:rsidR="00736F03">
        <w:rPr>
          <w:rFonts w:ascii="Arial" w:hAnsi="Arial" w:cs="Arial"/>
          <w:noProof/>
        </w:rPr>
        <w:t>)</w:t>
      </w:r>
      <w:r w:rsidR="00736F03">
        <w:rPr>
          <w:rFonts w:ascii="Arial" w:hAnsi="Arial" w:cs="Arial"/>
        </w:rPr>
        <w:fldChar w:fldCharType="end"/>
      </w:r>
      <w:r>
        <w:rPr>
          <w:rFonts w:ascii="Arial" w:hAnsi="Arial" w:cs="Arial"/>
        </w:rPr>
        <w:t>. This may be related to the inability of the osteocyte to sense mechanical stimulus and micro</w:t>
      </w:r>
      <w:r w:rsidR="007646C8">
        <w:rPr>
          <w:rFonts w:ascii="Arial" w:hAnsi="Arial" w:cs="Arial"/>
        </w:rPr>
        <w:t>-</w:t>
      </w:r>
      <w:r>
        <w:rPr>
          <w:rFonts w:ascii="Arial" w:hAnsi="Arial" w:cs="Arial"/>
        </w:rPr>
        <w:t>damage and initiating the repair processes required. Low oxygen levels (as in immobilisation), low estrogen levels (as in postmenopausal osteoporosis) and glucocorticoid treatments are all related to osteocyte apoptosis</w:t>
      </w:r>
      <w:r w:rsidR="00C57A54">
        <w:rPr>
          <w:rFonts w:ascii="Arial" w:hAnsi="Arial" w:cs="Arial"/>
          <w:color w:val="C00000"/>
        </w:rPr>
        <w:t xml:space="preserve"> </w:t>
      </w:r>
      <w:r w:rsidR="00820D16" w:rsidRPr="00A27C15">
        <w:rPr>
          <w:rFonts w:ascii="Arial" w:hAnsi="Arial" w:cs="Arial"/>
        </w:rPr>
        <w:fldChar w:fldCharType="begin">
          <w:fldData xml:space="preserve">PEVuZE5vdGU+PENpdGU+PEF1dGhvcj5XZWluc3RlaW48L0F1dGhvcj48WWVhcj4yMDAwPC9ZZWFy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PEVuZE5vdGU+PENpdGU+PEF1dGhvcj5XZWluc3RlaW48L0F1dGhvcj48WWVhcj4yMDAwPC9ZZWFy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00820D16" w:rsidRPr="00A27C15">
        <w:rPr>
          <w:rFonts w:ascii="Arial" w:hAnsi="Arial" w:cs="Arial"/>
        </w:rPr>
      </w:r>
      <w:r w:rsidR="00820D16" w:rsidRPr="00A27C15">
        <w:rPr>
          <w:rFonts w:ascii="Arial" w:hAnsi="Arial" w:cs="Arial"/>
        </w:rPr>
        <w:fldChar w:fldCharType="separate"/>
      </w:r>
      <w:r w:rsidR="00736F03">
        <w:rPr>
          <w:rFonts w:ascii="Arial" w:hAnsi="Arial" w:cs="Arial"/>
          <w:noProof/>
        </w:rPr>
        <w:t>(</w:t>
      </w:r>
      <w:hyperlink w:anchor="_ENREF_90" w:tooltip="Kido, 2012 #87" w:history="1">
        <w:r w:rsidR="003B725E">
          <w:rPr>
            <w:rFonts w:ascii="Arial" w:hAnsi="Arial" w:cs="Arial"/>
            <w:noProof/>
          </w:rPr>
          <w:t>90</w:t>
        </w:r>
      </w:hyperlink>
      <w:proofErr w:type="gramStart"/>
      <w:r w:rsidR="00736F03">
        <w:rPr>
          <w:rFonts w:ascii="Arial" w:hAnsi="Arial" w:cs="Arial"/>
          <w:noProof/>
        </w:rPr>
        <w:t xml:space="preserve">, </w:t>
      </w:r>
      <w:hyperlink w:anchor="_ENREF_100" w:tooltip="Weinstein, 2000 #260" w:history="1">
        <w:r w:rsidR="003B725E">
          <w:rPr>
            <w:rFonts w:ascii="Arial" w:hAnsi="Arial" w:cs="Arial"/>
            <w:noProof/>
          </w:rPr>
          <w:t>100</w:t>
        </w:r>
      </w:hyperlink>
      <w:r w:rsidR="00736F03">
        <w:rPr>
          <w:rFonts w:ascii="Arial" w:hAnsi="Arial" w:cs="Arial"/>
          <w:noProof/>
        </w:rPr>
        <w:t>,</w:t>
      </w:r>
      <w:proofErr w:type="gramEnd"/>
      <w:r w:rsidR="00736F03">
        <w:rPr>
          <w:rFonts w:ascii="Arial" w:hAnsi="Arial" w:cs="Arial"/>
          <w:noProof/>
        </w:rPr>
        <w:t xml:space="preserve"> </w:t>
      </w:r>
      <w:hyperlink w:anchor="_ENREF_101" w:tooltip="Brennan, 2014 #262" w:history="1">
        <w:r w:rsidR="003B725E">
          <w:rPr>
            <w:rFonts w:ascii="Arial" w:hAnsi="Arial" w:cs="Arial"/>
            <w:noProof/>
          </w:rPr>
          <w:t>101</w:t>
        </w:r>
      </w:hyperlink>
      <w:r w:rsidR="00736F03">
        <w:rPr>
          <w:rFonts w:ascii="Arial" w:hAnsi="Arial" w:cs="Arial"/>
          <w:noProof/>
        </w:rPr>
        <w:t>)</w:t>
      </w:r>
      <w:r w:rsidR="00820D16" w:rsidRPr="00A27C15">
        <w:rPr>
          <w:rFonts w:ascii="Arial" w:hAnsi="Arial" w:cs="Arial"/>
        </w:rPr>
        <w:fldChar w:fldCharType="end"/>
      </w:r>
      <w:r w:rsidR="00253B00" w:rsidRPr="00A27C15">
        <w:rPr>
          <w:rFonts w:ascii="Arial" w:hAnsi="Arial" w:cs="Arial"/>
        </w:rPr>
        <w:t xml:space="preserve">. </w:t>
      </w:r>
      <w:r w:rsidR="00A27C15">
        <w:rPr>
          <w:rFonts w:ascii="Arial" w:hAnsi="Arial" w:cs="Arial"/>
        </w:rPr>
        <w:t xml:space="preserve"> By </w:t>
      </w:r>
      <w:r w:rsidR="00490494">
        <w:rPr>
          <w:rFonts w:ascii="Arial" w:hAnsi="Arial" w:cs="Arial"/>
        </w:rPr>
        <w:t>increasing</w:t>
      </w:r>
      <w:r w:rsidR="00A27C15">
        <w:rPr>
          <w:rFonts w:ascii="Arial" w:hAnsi="Arial" w:cs="Arial"/>
        </w:rPr>
        <w:t xml:space="preserve"> oxygen levels (by improved mobilisation</w:t>
      </w:r>
      <w:r w:rsidR="00490494">
        <w:rPr>
          <w:rFonts w:ascii="Arial" w:hAnsi="Arial" w:cs="Arial"/>
        </w:rPr>
        <w:t xml:space="preserve"> i.e. </w:t>
      </w:r>
      <w:r w:rsidR="00A27C15">
        <w:rPr>
          <w:rFonts w:ascii="Arial" w:hAnsi="Arial" w:cs="Arial"/>
        </w:rPr>
        <w:t>applying physical loading) and replacing estrogen levels it may b</w:t>
      </w:r>
      <w:r w:rsidR="00A533B9">
        <w:rPr>
          <w:rFonts w:ascii="Arial" w:hAnsi="Arial" w:cs="Arial"/>
        </w:rPr>
        <w:t>e possible to alter the survival</w:t>
      </w:r>
      <w:r w:rsidR="00A27C15">
        <w:rPr>
          <w:rFonts w:ascii="Arial" w:hAnsi="Arial" w:cs="Arial"/>
        </w:rPr>
        <w:t xml:space="preserve"> of the osteocyte</w:t>
      </w:r>
      <w:r w:rsidR="00A533B9">
        <w:rPr>
          <w:rFonts w:ascii="Arial" w:hAnsi="Arial" w:cs="Arial"/>
        </w:rPr>
        <w:t>.</w:t>
      </w:r>
    </w:p>
    <w:p w:rsidR="002E4ACE" w:rsidRDefault="002E4ACE" w:rsidP="009143C3">
      <w:pPr>
        <w:pStyle w:val="Heading5"/>
        <w:jc w:val="both"/>
      </w:pPr>
      <w:r>
        <w:t xml:space="preserve">Regulators of bone formation </w:t>
      </w:r>
    </w:p>
    <w:p w:rsidR="00490494" w:rsidRPr="00244514" w:rsidRDefault="002E4ACE" w:rsidP="003B725E">
      <w:pPr>
        <w:spacing w:line="360" w:lineRule="auto"/>
        <w:jc w:val="both"/>
        <w:rPr>
          <w:rFonts w:ascii="Arial" w:hAnsi="Arial" w:cs="Arial"/>
        </w:rPr>
      </w:pPr>
      <w:r w:rsidRPr="00244514">
        <w:rPr>
          <w:rFonts w:ascii="Arial" w:hAnsi="Arial" w:cs="Arial"/>
        </w:rPr>
        <w:t xml:space="preserve">There are several signalling pathways responsible for the regulation of bone formation. One of the most studied is the Wnt pathway and it regulates osteoblast differentiation from the osteochondrial progenitor through the osteoblast lineage. Wnts are a family of about 19 glycoproteins that secrete their signals via 7-transmembrane frizzled receptors and co-receptors low density lipoprotein receptor-related protein (LRP-5 and LRP-6) to the β-catenin canonical pathway </w:t>
      </w:r>
      <w:r w:rsidRPr="00244514">
        <w:rPr>
          <w:rFonts w:ascii="Arial" w:hAnsi="Arial" w:cs="Arial"/>
        </w:rPr>
        <w:fldChar w:fldCharType="begin">
          <w:fldData xml:space="preserve">PEVuZE5vdGU+PENpdGU+PEF1dGhvcj5DbGV2ZXJzPC9BdXRob3I+PFllYXI+MjAwNjwvWWVhcj48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bnRhbCBjZWxsPC9hYmJyLTE+PC9hbHQtcGVyaW9kaWNhbD48cGFnZXM+NzI3LTM4PC9wYWdlcz48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PEVuZE5vdGU+PENpdGU+PEF1dGhvcj5DbGV2ZXJzPC9BdXRob3I+PFllYXI+MjAwNjwvWWVhcj48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bnRhbCBjZWxsPC9hYmJyLTE+PC9hbHQtcGVyaW9kaWNhbD48cGFnZXM+NzI3LTM4PC9wYWdlcz48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Pr="00244514">
        <w:rPr>
          <w:rFonts w:ascii="Arial" w:hAnsi="Arial" w:cs="Arial"/>
        </w:rPr>
      </w:r>
      <w:r w:rsidRPr="00244514">
        <w:rPr>
          <w:rFonts w:ascii="Arial" w:hAnsi="Arial" w:cs="Arial"/>
        </w:rPr>
        <w:fldChar w:fldCharType="separate"/>
      </w:r>
      <w:r w:rsidR="00736F03">
        <w:rPr>
          <w:rFonts w:ascii="Arial" w:hAnsi="Arial" w:cs="Arial"/>
          <w:noProof/>
        </w:rPr>
        <w:t>(</w:t>
      </w:r>
      <w:hyperlink w:anchor="_ENREF_102" w:tooltip="Clevers, 2006 #60" w:history="1">
        <w:r w:rsidR="003B725E">
          <w:rPr>
            <w:rFonts w:ascii="Arial" w:hAnsi="Arial" w:cs="Arial"/>
            <w:noProof/>
          </w:rPr>
          <w:t>102-106</w:t>
        </w:r>
      </w:hyperlink>
      <w:r w:rsidR="00736F03">
        <w:rPr>
          <w:rFonts w:ascii="Arial" w:hAnsi="Arial" w:cs="Arial"/>
          <w:noProof/>
        </w:rPr>
        <w:t>)</w:t>
      </w:r>
      <w:r w:rsidRPr="00244514">
        <w:rPr>
          <w:rFonts w:ascii="Arial" w:hAnsi="Arial" w:cs="Arial"/>
        </w:rPr>
        <w:fldChar w:fldCharType="end"/>
      </w:r>
      <w:r w:rsidRPr="00244514">
        <w:rPr>
          <w:rFonts w:ascii="Arial" w:hAnsi="Arial" w:cs="Arial"/>
        </w:rPr>
        <w:t xml:space="preserve">. Wnt proteins such as Wnt3a, Wnt10b and Wnt5a bind to the frizzled and to LRP5/6 receptors.  A signal is turned on to inhibit the activity of glycogen synthase kinase 3 beta (GSK3β) preventing the phosphorylation of β-catenin. This means that β-catenin remains active and stable </w:t>
      </w:r>
      <w:r w:rsidRPr="00244514">
        <w:rPr>
          <w:rFonts w:ascii="Arial" w:hAnsi="Arial" w:cs="Arial"/>
        </w:rPr>
        <w:fldChar w:fldCharType="begin"/>
      </w:r>
      <w:r w:rsidR="00736F03">
        <w:rPr>
          <w:rFonts w:ascii="Arial" w:hAnsi="Arial" w:cs="Arial"/>
        </w:rPr>
        <w:instrText xml:space="preserve"> ADDIN EN.CITE &lt;EndNote&gt;&lt;Cite&gt;&lt;Author&gt;Clevers&lt;/Author&gt;&lt;Year&gt;2006&lt;/Year&gt;&lt;RecNum&gt;60&lt;/RecNum&gt;&lt;DisplayText&gt;(102)&lt;/DisplayText&gt;&lt;record&gt;&lt;rec-number&gt;60&lt;/rec-number&gt;&lt;foreign-keys&gt;&lt;key app="EN" db-id="p9a5ttsvyvde9me5aw2x05fp5p55axf0wr90" timestamp="1417714998"&gt;60&lt;/key&gt;&lt;/foreign-keys&gt;&lt;ref-type name="Journal Article"&gt;17&lt;/ref-type&gt;&lt;contributors&gt;&lt;authors&gt;&lt;author&gt;Clevers, H.&lt;/author&gt;&lt;/authors&gt;&lt;/contributors&gt;&lt;auth-address&gt;Hubrecht Laboratory and Utrecht University, Uppsalalaan 8, 3584CT, Utrecht, the Netherlands. clevers@niob.knaw.nl&lt;/auth-address&gt;&lt;titles&gt;&lt;title&gt;Wnt/beta-catenin signaling in development and disease&lt;/title&gt;&lt;secondary-title&gt;Cell&lt;/secondary-title&gt;&lt;alt-title&gt;Cell&lt;/alt-title&gt;&lt;/titles&gt;&lt;periodical&gt;&lt;full-title&gt;Cell&lt;/full-title&gt;&lt;abbr-1&gt;Cell&lt;/abbr-1&gt;&lt;/periodical&gt;&lt;alt-periodical&gt;&lt;full-title&gt;Cell&lt;/full-title&gt;&lt;abbr-1&gt;Cell&lt;/abbr-1&gt;&lt;/alt-periodical&gt;&lt;pages&gt;469-80&lt;/pages&gt;&lt;volume&gt;127&lt;/volume&gt;&lt;number&gt;3&lt;/number&gt;&lt;edition&gt;2006/11/04&lt;/edition&gt;&lt;keywords&gt;&lt;keyword&gt;Adult&lt;/keyword&gt;&lt;keyword&gt;Animals&lt;/keyword&gt;&lt;keyword&gt;Embryonic Development&lt;/keyword&gt;&lt;keyword&gt;Gene Expression Regulation, Developmental&lt;/keyword&gt;&lt;keyword&gt;Gene Expression Regulation, Neoplastic&lt;/keyword&gt;&lt;keyword&gt;Germ-Line Mutation&lt;/keyword&gt;&lt;keyword&gt;Humans&lt;/keyword&gt;&lt;keyword&gt;Intestinal Neoplasms/etiology&lt;/keyword&gt;&lt;keyword&gt;Signal Transduction&lt;/keyword&gt;&lt;keyword&gt;Trans-Activators/ physiology&lt;/keyword&gt;&lt;keyword&gt;Wnt Proteins&lt;/keyword&gt;&lt;keyword&gt;beta Catenin&lt;/keyword&gt;&lt;/keywords&gt;&lt;dates&gt;&lt;year&gt;2006&lt;/year&gt;&lt;pub-dates&gt;&lt;date&gt;Nov 3&lt;/date&gt;&lt;/pub-dates&gt;&lt;/dates&gt;&lt;isbn&gt;0092-8674 (Print)&amp;#xD;0092-8674 (Linking)&lt;/isbn&gt;&lt;accession-num&gt;17081971&lt;/accession-num&gt;&lt;urls&gt;&lt;/urls&gt;&lt;electronic-resource-num&gt;10.1016/j.cell.2006.10.018&lt;/electronic-resource-num&gt;&lt;remote-database-provider&gt;NLM&lt;/remote-database-provider&gt;&lt;language&gt;eng&lt;/language&gt;&lt;/record&gt;&lt;/Cite&gt;&lt;/EndNote&gt;</w:instrText>
      </w:r>
      <w:r w:rsidRPr="00244514">
        <w:rPr>
          <w:rFonts w:ascii="Arial" w:hAnsi="Arial" w:cs="Arial"/>
        </w:rPr>
        <w:fldChar w:fldCharType="separate"/>
      </w:r>
      <w:r w:rsidR="00736F03">
        <w:rPr>
          <w:rFonts w:ascii="Arial" w:hAnsi="Arial" w:cs="Arial"/>
          <w:noProof/>
        </w:rPr>
        <w:t>(</w:t>
      </w:r>
      <w:hyperlink w:anchor="_ENREF_102" w:tooltip="Clevers, 2006 #60" w:history="1">
        <w:r w:rsidR="003B725E">
          <w:rPr>
            <w:rFonts w:ascii="Arial" w:hAnsi="Arial" w:cs="Arial"/>
            <w:noProof/>
          </w:rPr>
          <w:t>102</w:t>
        </w:r>
      </w:hyperlink>
      <w:r w:rsidR="00736F03">
        <w:rPr>
          <w:rFonts w:ascii="Arial" w:hAnsi="Arial" w:cs="Arial"/>
          <w:noProof/>
        </w:rPr>
        <w:t>)</w:t>
      </w:r>
      <w:r w:rsidRPr="00244514">
        <w:rPr>
          <w:rFonts w:ascii="Arial" w:hAnsi="Arial" w:cs="Arial"/>
        </w:rPr>
        <w:fldChar w:fldCharType="end"/>
      </w:r>
      <w:r w:rsidRPr="00244514">
        <w:rPr>
          <w:rFonts w:ascii="Arial" w:hAnsi="Arial" w:cs="Arial"/>
        </w:rPr>
        <w:t xml:space="preserve">. There are increased levels of β-catenin in the cytoplasm causing it to translocate to the nucleus. In the nucleus β-catenin binds to the DNA binding proteins leading to the transcription of Wnt </w:t>
      </w:r>
      <w:r w:rsidR="00A533B9">
        <w:rPr>
          <w:rFonts w:ascii="Arial" w:hAnsi="Arial" w:cs="Arial"/>
        </w:rPr>
        <w:t xml:space="preserve">regulated </w:t>
      </w:r>
      <w:r w:rsidRPr="00244514">
        <w:rPr>
          <w:rFonts w:ascii="Arial" w:hAnsi="Arial" w:cs="Arial"/>
        </w:rPr>
        <w:t>genes, stimulating the activity of alkaline phosphatase</w:t>
      </w:r>
      <w:r w:rsidR="007D504C">
        <w:rPr>
          <w:rFonts w:ascii="Arial" w:hAnsi="Arial" w:cs="Arial"/>
        </w:rPr>
        <w:t xml:space="preserve"> and bone formation can occur. </w:t>
      </w:r>
    </w:p>
    <w:p w:rsidR="00490494" w:rsidRPr="00244514" w:rsidRDefault="002E4ACE" w:rsidP="003B725E">
      <w:pPr>
        <w:spacing w:line="360" w:lineRule="auto"/>
        <w:jc w:val="both"/>
        <w:rPr>
          <w:rFonts w:ascii="Arial" w:hAnsi="Arial" w:cs="Arial"/>
        </w:rPr>
      </w:pPr>
      <w:r w:rsidRPr="00244514">
        <w:rPr>
          <w:rFonts w:ascii="Arial" w:hAnsi="Arial" w:cs="Arial"/>
        </w:rPr>
        <w:t xml:space="preserve">The importance of this signalling pathway in regulating normal bone formation and homeostasis has previously been demonstrated. Loss and gain of function mutations in </w:t>
      </w:r>
      <w:r w:rsidRPr="00244514">
        <w:rPr>
          <w:rFonts w:ascii="Arial" w:hAnsi="Arial" w:cs="Arial"/>
        </w:rPr>
        <w:lastRenderedPageBreak/>
        <w:t xml:space="preserve">the LRP-5 gene has been linked to skeletal disorders characterised by low bone mass/decreased bone formation or high bone mass/increased bone formation, respectively </w:t>
      </w:r>
      <w:r w:rsidRPr="00244514">
        <w:rPr>
          <w:rFonts w:ascii="Arial" w:hAnsi="Arial" w:cs="Arial"/>
        </w:rPr>
        <w:fldChar w:fldCharType="begin">
          <w:fldData xml:space="preserve">PEVuZE5vdGU+PENpdGU+PEF1dGhvcj5Cb3lkZW48L0F1dGhvcj48WWVhcj4yMDAyPC9ZZWFyPjxS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aWNpbmU8L2FiYnItMT48L2FsdC1wZXJpb2RpY2FsPjxwYWdlcz4xNTEzLTIxPC9wYWdlcz48dm9s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PEVuZE5vdGU+PENpdGU+PEF1dGhvcj5Cb3lkZW48L0F1dGhvcj48WWVhcj4yMDAyPC9ZZWFyPjxS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aWNpbmU8L2FiYnItMT48L2FsdC1wZXJpb2RpY2FsPjxwYWdlcz4xNTEzLTIxPC9wYWdlcz48dm9s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Pr="00244514">
        <w:rPr>
          <w:rFonts w:ascii="Arial" w:hAnsi="Arial" w:cs="Arial"/>
        </w:rPr>
      </w:r>
      <w:r w:rsidRPr="00244514">
        <w:rPr>
          <w:rFonts w:ascii="Arial" w:hAnsi="Arial" w:cs="Arial"/>
        </w:rPr>
        <w:fldChar w:fldCharType="separate"/>
      </w:r>
      <w:r w:rsidR="00736F03">
        <w:rPr>
          <w:rFonts w:ascii="Arial" w:hAnsi="Arial" w:cs="Arial"/>
          <w:noProof/>
        </w:rPr>
        <w:t>(</w:t>
      </w:r>
      <w:hyperlink w:anchor="_ENREF_107" w:tooltip="Boyden, 2002 #65" w:history="1">
        <w:r w:rsidR="003B725E">
          <w:rPr>
            <w:rFonts w:ascii="Arial" w:hAnsi="Arial" w:cs="Arial"/>
            <w:noProof/>
          </w:rPr>
          <w:t>107</w:t>
        </w:r>
      </w:hyperlink>
      <w:r w:rsidR="00736F03">
        <w:rPr>
          <w:rFonts w:ascii="Arial" w:hAnsi="Arial" w:cs="Arial"/>
          <w:noProof/>
        </w:rPr>
        <w:t xml:space="preserve">, </w:t>
      </w:r>
      <w:hyperlink w:anchor="_ENREF_108" w:tooltip="Van Wesenbeeck, 2003 #66" w:history="1">
        <w:r w:rsidR="003B725E">
          <w:rPr>
            <w:rFonts w:ascii="Arial" w:hAnsi="Arial" w:cs="Arial"/>
            <w:noProof/>
          </w:rPr>
          <w:t>108</w:t>
        </w:r>
      </w:hyperlink>
      <w:r w:rsidR="00736F03">
        <w:rPr>
          <w:rFonts w:ascii="Arial" w:hAnsi="Arial" w:cs="Arial"/>
          <w:noProof/>
        </w:rPr>
        <w:t>)</w:t>
      </w:r>
      <w:r w:rsidRPr="00244514">
        <w:rPr>
          <w:rFonts w:ascii="Arial" w:hAnsi="Arial" w:cs="Arial"/>
        </w:rPr>
        <w:fldChar w:fldCharType="end"/>
      </w:r>
      <w:r w:rsidRPr="00244514">
        <w:rPr>
          <w:rFonts w:ascii="Arial" w:hAnsi="Arial" w:cs="Arial"/>
        </w:rPr>
        <w:t xml:space="preserve">. Also Wnt10b and β-catenin deficient mice had increased bone loss and over expression of Wnt10b promoted osteoblast activity </w:t>
      </w:r>
      <w:r w:rsidRPr="00244514">
        <w:rPr>
          <w:rFonts w:ascii="Arial" w:hAnsi="Arial" w:cs="Arial"/>
        </w:rPr>
        <w:fldChar w:fldCharType="begin">
          <w:fldData xml:space="preserve">PEVuZE5vdGU+PENpdGU+PEF1dGhvcj5CZW5uZXR0PC9BdXRob3I+PFllYXI+MjAwNTwvWWVhcj48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aW9kaWNhbD48cGFnZXM+MzMyNC05PC9wYWdlcz48dm9sdW1lPjEwMjwvdm9sdW1lPjxudW1iZXI+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PEVuZE5vdGU+PENpdGU+PEF1dGhvcj5CZW5uZXR0PC9BdXRob3I+PFllYXI+MjAwNTwvWWVhcj48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aW9kaWNhbD48cGFnZXM+MzMyNC05PC9wYWdlcz48dm9sdW1lPjEwMjwvdm9sdW1lPjxudW1iZXI+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Pr="00244514">
        <w:rPr>
          <w:rFonts w:ascii="Arial" w:hAnsi="Arial" w:cs="Arial"/>
        </w:rPr>
      </w:r>
      <w:r w:rsidRPr="00244514">
        <w:rPr>
          <w:rFonts w:ascii="Arial" w:hAnsi="Arial" w:cs="Arial"/>
        </w:rPr>
        <w:fldChar w:fldCharType="separate"/>
      </w:r>
      <w:r w:rsidR="00736F03">
        <w:rPr>
          <w:rFonts w:ascii="Arial" w:hAnsi="Arial" w:cs="Arial"/>
          <w:noProof/>
        </w:rPr>
        <w:t>(</w:t>
      </w:r>
      <w:hyperlink w:anchor="_ENREF_93" w:tooltip="Kramer, 2010 #68" w:history="1">
        <w:r w:rsidR="003B725E">
          <w:rPr>
            <w:rFonts w:ascii="Arial" w:hAnsi="Arial" w:cs="Arial"/>
            <w:noProof/>
          </w:rPr>
          <w:t>93</w:t>
        </w:r>
      </w:hyperlink>
      <w:r w:rsidR="00736F03">
        <w:rPr>
          <w:rFonts w:ascii="Arial" w:hAnsi="Arial" w:cs="Arial"/>
          <w:noProof/>
        </w:rPr>
        <w:t xml:space="preserve">, </w:t>
      </w:r>
      <w:hyperlink w:anchor="_ENREF_109" w:tooltip="Bennett, 2005 #67" w:history="1">
        <w:r w:rsidR="003B725E">
          <w:rPr>
            <w:rFonts w:ascii="Arial" w:hAnsi="Arial" w:cs="Arial"/>
            <w:noProof/>
          </w:rPr>
          <w:t>109</w:t>
        </w:r>
      </w:hyperlink>
      <w:r w:rsidR="00736F03">
        <w:rPr>
          <w:rFonts w:ascii="Arial" w:hAnsi="Arial" w:cs="Arial"/>
          <w:noProof/>
        </w:rPr>
        <w:t>)</w:t>
      </w:r>
      <w:r w:rsidRPr="00244514">
        <w:rPr>
          <w:rFonts w:ascii="Arial" w:hAnsi="Arial" w:cs="Arial"/>
        </w:rPr>
        <w:fldChar w:fldCharType="end"/>
      </w:r>
      <w:r w:rsidR="007646C8">
        <w:rPr>
          <w:rFonts w:ascii="Arial" w:hAnsi="Arial" w:cs="Arial"/>
        </w:rPr>
        <w:t>.</w:t>
      </w:r>
    </w:p>
    <w:p w:rsidR="002E4ACE" w:rsidRPr="00244514" w:rsidRDefault="002E4ACE" w:rsidP="003B725E">
      <w:pPr>
        <w:spacing w:line="360" w:lineRule="auto"/>
        <w:jc w:val="both"/>
        <w:rPr>
          <w:rFonts w:ascii="Arial" w:hAnsi="Arial" w:cs="Arial"/>
        </w:rPr>
      </w:pPr>
      <w:r w:rsidRPr="00244514">
        <w:rPr>
          <w:rFonts w:ascii="Arial" w:hAnsi="Arial" w:cs="Arial"/>
        </w:rPr>
        <w:t xml:space="preserve">There are several extracellular and intracellular proteins that can interfere with and inhibit the Wnt signalling pathway. These include secreted frizzled related proteins (SFRPs), dikkopf-related protein 1 (DKK1), sclerostin, mesoderm development (MESD) and GSK-3β </w:t>
      </w:r>
      <w:r w:rsidRPr="00244514">
        <w:rPr>
          <w:rFonts w:ascii="Arial" w:hAnsi="Arial" w:cs="Arial"/>
        </w:rPr>
        <w:fldChar w:fldCharType="begin">
          <w:fldData xml:space="preserve">PEVuZE5vdGU+PENpdGU+PEF1dGhvcj5aaGFuZzwvQXV0aG9yPjxZZWFyPjIwMDQ8L1llYXI+PFJl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==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PEVuZE5vdGU+PENpdGU+PEF1dGhvcj5aaGFuZzwvQXV0aG9yPjxZZWFyPjIwMDQ8L1llYXI+PFJl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==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Pr="00244514">
        <w:rPr>
          <w:rFonts w:ascii="Arial" w:hAnsi="Arial" w:cs="Arial"/>
        </w:rPr>
      </w:r>
      <w:r w:rsidRPr="00244514">
        <w:rPr>
          <w:rFonts w:ascii="Arial" w:hAnsi="Arial" w:cs="Arial"/>
        </w:rPr>
        <w:fldChar w:fldCharType="separate"/>
      </w:r>
      <w:r w:rsidR="00736F03">
        <w:rPr>
          <w:rFonts w:ascii="Arial" w:hAnsi="Arial" w:cs="Arial"/>
          <w:noProof/>
        </w:rPr>
        <w:t>(</w:t>
      </w:r>
      <w:hyperlink w:anchor="_ENREF_110" w:tooltip="Zhang, 2004 #69" w:history="1">
        <w:r w:rsidR="003B725E">
          <w:rPr>
            <w:rFonts w:ascii="Arial" w:hAnsi="Arial" w:cs="Arial"/>
            <w:noProof/>
          </w:rPr>
          <w:t>110</w:t>
        </w:r>
      </w:hyperlink>
      <w:r w:rsidR="00736F03">
        <w:rPr>
          <w:rFonts w:ascii="Arial" w:hAnsi="Arial" w:cs="Arial"/>
          <w:noProof/>
        </w:rPr>
        <w:t xml:space="preserve">, </w:t>
      </w:r>
      <w:hyperlink w:anchor="_ENREF_111" w:tooltip="Ellies, 2006 #70" w:history="1">
        <w:r w:rsidR="003B725E">
          <w:rPr>
            <w:rFonts w:ascii="Arial" w:hAnsi="Arial" w:cs="Arial"/>
            <w:noProof/>
          </w:rPr>
          <w:t>111</w:t>
        </w:r>
      </w:hyperlink>
      <w:r w:rsidR="00736F03">
        <w:rPr>
          <w:rFonts w:ascii="Arial" w:hAnsi="Arial" w:cs="Arial"/>
          <w:noProof/>
        </w:rPr>
        <w:t>)</w:t>
      </w:r>
      <w:r w:rsidRPr="00244514">
        <w:rPr>
          <w:rFonts w:ascii="Arial" w:hAnsi="Arial" w:cs="Arial"/>
        </w:rPr>
        <w:fldChar w:fldCharType="end"/>
      </w:r>
      <w:r w:rsidRPr="00244514">
        <w:rPr>
          <w:rFonts w:ascii="Arial" w:hAnsi="Arial" w:cs="Arial"/>
        </w:rPr>
        <w:t xml:space="preserve">. More recently some of these proteins have been identified as possible pharmacological targets for interventions, with the aims being to increase Wnt canonical signalling and increasing bone mass. For example, in mouse models the deletion of the sfrp-1 gene leads to increased osteoblast differentiation, proliferation and function, and decreased apoptosis </w:t>
      </w:r>
      <w:r w:rsidRPr="00244514">
        <w:rPr>
          <w:rFonts w:ascii="Arial" w:hAnsi="Arial" w:cs="Arial"/>
        </w:rPr>
        <w:fldChar w:fldCharType="begin">
          <w:fldData xml:space="preserve">PEVuZE5vdGU+PENpdGU+PEF1dGhvcj5Cb2RpbmU8L0F1dGhvcj48WWVhcj4yMDA0PC9ZZWFyPjxS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PEVuZE5vdGU+PENpdGU+PEF1dGhvcj5Cb2RpbmU8L0F1dGhvcj48WWVhcj4yMDA0PC9ZZWFyPjxS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sidRPr="00244514">
        <w:rPr>
          <w:rFonts w:ascii="Arial" w:hAnsi="Arial" w:cs="Arial"/>
        </w:rPr>
      </w:r>
      <w:r w:rsidRPr="00244514">
        <w:rPr>
          <w:rFonts w:ascii="Arial" w:hAnsi="Arial" w:cs="Arial"/>
        </w:rPr>
        <w:fldChar w:fldCharType="separate"/>
      </w:r>
      <w:r w:rsidR="00736F03">
        <w:rPr>
          <w:rFonts w:ascii="Arial" w:hAnsi="Arial" w:cs="Arial"/>
          <w:noProof/>
        </w:rPr>
        <w:t>(</w:t>
      </w:r>
      <w:hyperlink w:anchor="_ENREF_112" w:tooltip="Bodine, 2004 #71" w:history="1">
        <w:r w:rsidR="003B725E">
          <w:rPr>
            <w:rFonts w:ascii="Arial" w:hAnsi="Arial" w:cs="Arial"/>
            <w:noProof/>
          </w:rPr>
          <w:t>112</w:t>
        </w:r>
      </w:hyperlink>
      <w:r w:rsidR="00736F03">
        <w:rPr>
          <w:rFonts w:ascii="Arial" w:hAnsi="Arial" w:cs="Arial"/>
          <w:noProof/>
        </w:rPr>
        <w:t>)</w:t>
      </w:r>
      <w:r w:rsidRPr="00244514">
        <w:rPr>
          <w:rFonts w:ascii="Arial" w:hAnsi="Arial" w:cs="Arial"/>
        </w:rPr>
        <w:fldChar w:fldCharType="end"/>
      </w:r>
      <w:r w:rsidRPr="00244514">
        <w:rPr>
          <w:rFonts w:ascii="Arial" w:hAnsi="Arial" w:cs="Arial"/>
        </w:rPr>
        <w:t>.</w:t>
      </w:r>
    </w:p>
    <w:p w:rsidR="002E4ACE" w:rsidRDefault="002E4ACE" w:rsidP="003B725E">
      <w:pPr>
        <w:spacing w:line="360" w:lineRule="auto"/>
        <w:jc w:val="both"/>
        <w:rPr>
          <w:rFonts w:ascii="Arial" w:hAnsi="Arial" w:cs="Arial"/>
        </w:rPr>
      </w:pPr>
      <w:r>
        <w:rPr>
          <w:rFonts w:ascii="Arial" w:hAnsi="Arial" w:cs="Arial"/>
        </w:rPr>
        <w:t>In particular sclerostin and DKK1</w:t>
      </w:r>
      <w:r w:rsidRPr="00BE5E86">
        <w:rPr>
          <w:rFonts w:ascii="Arial" w:hAnsi="Arial" w:cs="Arial"/>
        </w:rPr>
        <w:t xml:space="preserve"> </w:t>
      </w:r>
      <w:r>
        <w:rPr>
          <w:rFonts w:ascii="Arial" w:hAnsi="Arial" w:cs="Arial"/>
        </w:rPr>
        <w:t xml:space="preserve">are two Wnt signalling antagonists that continue to be extensively studied as possible therapeutic targets in postmenopausal osteoporosis </w:t>
      </w:r>
      <w:r>
        <w:rPr>
          <w:rFonts w:ascii="Arial" w:hAnsi="Arial" w:cs="Arial"/>
        </w:rPr>
        <w:fldChar w:fldCharType="begin">
          <w:fldData xml:space="preserve">PEVuZE5vdGU+PENpdGU+PEF1dGhvcj5aaGFuZzwvQXV0aG9yPjxZZWFyPjIwMTI8L1llYXI+PFJl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PEVuZE5vdGU+PENpdGU+PEF1dGhvcj5aaGFuZzwvQXV0aG9yPjxZZWFyPjIwMTI8L1llYXI+PFJl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13" w:tooltip="Zhang, 2012 #72" w:history="1">
        <w:r w:rsidR="003B725E">
          <w:rPr>
            <w:rFonts w:ascii="Arial" w:hAnsi="Arial" w:cs="Arial"/>
            <w:noProof/>
          </w:rPr>
          <w:t>113</w:t>
        </w:r>
      </w:hyperlink>
      <w:r w:rsidR="00736F03">
        <w:rPr>
          <w:rFonts w:ascii="Arial" w:hAnsi="Arial" w:cs="Arial"/>
          <w:noProof/>
        </w:rPr>
        <w:t>)</w:t>
      </w:r>
      <w:r>
        <w:rPr>
          <w:rFonts w:ascii="Arial" w:hAnsi="Arial" w:cs="Arial"/>
        </w:rPr>
        <w:fldChar w:fldCharType="end"/>
      </w:r>
      <w:r>
        <w:rPr>
          <w:rFonts w:ascii="Arial" w:hAnsi="Arial" w:cs="Arial"/>
        </w:rPr>
        <w:t>. They are circulating molecules that bind to frizzled, LRP-5 and -6</w:t>
      </w:r>
      <w:r w:rsidRPr="00BE5E86">
        <w:rPr>
          <w:rFonts w:ascii="Arial" w:hAnsi="Arial" w:cs="Arial"/>
        </w:rPr>
        <w:t xml:space="preserve"> and </w:t>
      </w:r>
      <w:r>
        <w:rPr>
          <w:rFonts w:ascii="Arial" w:hAnsi="Arial" w:cs="Arial"/>
        </w:rPr>
        <w:t xml:space="preserve">hence preventing the Wnt proteins from binding and therefore </w:t>
      </w:r>
      <w:r w:rsidRPr="00BE5E86">
        <w:rPr>
          <w:rFonts w:ascii="Arial" w:hAnsi="Arial" w:cs="Arial"/>
        </w:rPr>
        <w:t>inhi</w:t>
      </w:r>
      <w:r>
        <w:rPr>
          <w:rFonts w:ascii="Arial" w:hAnsi="Arial" w:cs="Arial"/>
        </w:rPr>
        <w:t>biting the pathwa</w:t>
      </w:r>
      <w:r w:rsidR="007D504C">
        <w:rPr>
          <w:rFonts w:ascii="Arial" w:hAnsi="Arial" w:cs="Arial"/>
        </w:rPr>
        <w:t>y, and bone formation, (Figure 9</w:t>
      </w:r>
      <w:r>
        <w:rPr>
          <w:rFonts w:ascii="Arial" w:hAnsi="Arial" w:cs="Arial"/>
        </w:rPr>
        <w:t xml:space="preserve">). DKK1 is an endogenous soluble inhibitor that regulates Wnt signalling. It binds with high affinity to its co-receptors LRP5 and -6, causing an interaction with the transmembrane proteins Kremen 1 and 2 which are also receptors for DKK1. In mouse models it has been shown that the complex that </w:t>
      </w:r>
      <w:r w:rsidR="00F24EF0">
        <w:rPr>
          <w:rFonts w:ascii="Arial" w:hAnsi="Arial" w:cs="Arial"/>
        </w:rPr>
        <w:t>is formed</w:t>
      </w:r>
      <w:r>
        <w:rPr>
          <w:rFonts w:ascii="Arial" w:hAnsi="Arial" w:cs="Arial"/>
        </w:rPr>
        <w:t xml:space="preserve"> rapidly internalises and inactivates LRP5 and inhibits it</w:t>
      </w:r>
      <w:r w:rsidR="00F24EF0">
        <w:rPr>
          <w:rFonts w:ascii="Arial" w:hAnsi="Arial" w:cs="Arial"/>
        </w:rPr>
        <w:t>s</w:t>
      </w:r>
      <w:r>
        <w:rPr>
          <w:rFonts w:ascii="Arial" w:hAnsi="Arial" w:cs="Arial"/>
        </w:rPr>
        <w:t xml:space="preserve"> function in Wnt signalling </w:t>
      </w:r>
      <w:r>
        <w:rPr>
          <w:rFonts w:ascii="Arial" w:hAnsi="Arial" w:cs="Arial"/>
        </w:rPr>
        <w:fldChar w:fldCharType="begin">
          <w:fldData xml:space="preserve">PEVuZE5vdGU+PENpdGU+PEF1dGhvcj5DdWk8L0F1dGhvcj48WWVhcj4yMDExPC9ZZWFyPjxSZWNO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PEVuZE5vdGU+PENpdGU+PEF1dGhvcj5DdWk8L0F1dGhvcj48WWVhcj4yMDExPC9ZZWFyPjxSZWNO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14" w:tooltip="Cui, 2011 #73" w:history="1">
        <w:r w:rsidR="003B725E">
          <w:rPr>
            <w:rFonts w:ascii="Arial" w:hAnsi="Arial" w:cs="Arial"/>
            <w:noProof/>
          </w:rPr>
          <w:t>114</w:t>
        </w:r>
      </w:hyperlink>
      <w:r w:rsidR="00736F03">
        <w:rPr>
          <w:rFonts w:ascii="Arial" w:hAnsi="Arial" w:cs="Arial"/>
          <w:noProof/>
        </w:rPr>
        <w:t>)</w:t>
      </w:r>
      <w:r>
        <w:rPr>
          <w:rFonts w:ascii="Arial" w:hAnsi="Arial" w:cs="Arial"/>
        </w:rPr>
        <w:fldChar w:fldCharType="end"/>
      </w:r>
      <w:r>
        <w:rPr>
          <w:rFonts w:ascii="Arial" w:hAnsi="Arial" w:cs="Arial"/>
        </w:rPr>
        <w:t>.</w:t>
      </w:r>
    </w:p>
    <w:p w:rsidR="002E4ACE" w:rsidRPr="0093497E" w:rsidRDefault="002E4ACE" w:rsidP="003B725E">
      <w:pPr>
        <w:spacing w:line="360" w:lineRule="auto"/>
        <w:rPr>
          <w:rFonts w:ascii="Arial" w:hAnsi="Arial" w:cs="Arial"/>
        </w:rPr>
      </w:pPr>
      <w:r>
        <w:rPr>
          <w:rFonts w:ascii="Arial" w:hAnsi="Arial" w:cs="Arial"/>
        </w:rPr>
        <w:t xml:space="preserve">Sclerostin is a glycoprotein made up from 213 amino acids </w:t>
      </w:r>
      <w:r w:rsidR="00F24EF0">
        <w:rPr>
          <w:rFonts w:ascii="Arial" w:hAnsi="Arial" w:cs="Arial"/>
        </w:rPr>
        <w:t xml:space="preserve">and is </w:t>
      </w:r>
      <w:r>
        <w:rPr>
          <w:rFonts w:ascii="Arial" w:hAnsi="Arial" w:cs="Arial"/>
        </w:rPr>
        <w:t xml:space="preserve">produced by the osteocytes in response to mechanical and hormonal stimuli </w:t>
      </w:r>
      <w:r>
        <w:rPr>
          <w:rFonts w:ascii="Arial" w:hAnsi="Arial" w:cs="Arial"/>
        </w:rPr>
        <w:fldChar w:fldCharType="begin">
          <w:fldData xml:space="preserve">PEVuZE5vdGU+PENpdGU+PEF1dGhvcj5XZWlkYXVlcjwvQXV0aG9yPjxZZWFyPjIwMDk8L1llYXI+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PEVuZE5vdGU+PENpdGU+PEF1dGhvcj5XZWlkYXVlcjwvQXV0aG9yPjxZZWFyPjIwMDk8L1llYXI+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15" w:tooltip="Weidauer, 2009 #74" w:history="1">
        <w:r w:rsidR="003B725E">
          <w:rPr>
            <w:rFonts w:ascii="Arial" w:hAnsi="Arial" w:cs="Arial"/>
            <w:noProof/>
          </w:rPr>
          <w:t>115</w:t>
        </w:r>
      </w:hyperlink>
      <w:r w:rsidR="00736F03">
        <w:rPr>
          <w:rFonts w:ascii="Arial" w:hAnsi="Arial" w:cs="Arial"/>
          <w:noProof/>
        </w:rPr>
        <w:t>)</w:t>
      </w:r>
      <w:r>
        <w:rPr>
          <w:rFonts w:ascii="Arial" w:hAnsi="Arial" w:cs="Arial"/>
        </w:rPr>
        <w:fldChar w:fldCharType="end"/>
      </w:r>
      <w:r>
        <w:rPr>
          <w:rFonts w:ascii="Arial" w:hAnsi="Arial" w:cs="Arial"/>
        </w:rPr>
        <w:t xml:space="preserve">. It is encoded for by the SOST gene located on chromosome 17q12-q21. It binds to and inactivates LRP5 and LRP6 and inhibits Wnt signalling and bone formation.  A loss-of-function mutation in the coding region of the SOST gene inhibits sclerostin production, leading to increased Wnt signalling, increased osteoblast activity, bone formation and bone mass.  This is associated with sclerosteosis, an autosomal recessive disorder characterised by high bone mass </w:t>
      </w:r>
      <w:r>
        <w:rPr>
          <w:rFonts w:ascii="Arial" w:hAnsi="Arial" w:cs="Arial"/>
        </w:rPr>
        <w:fldChar w:fldCharType="begin">
          <w:fldData xml:space="preserve">PEVuZE5vdGU+PENpdGU+PEF1dGhvcj5IZTwvQXV0aG9yPjxZZWFyPjIwMTQ8L1llYXI+PFJlY051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PEVuZE5vdGU+PENpdGU+PEF1dGhvcj5IZTwvQXV0aG9yPjxZZWFyPjIwMTQ8L1llYXI+PFJlY051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16" w:tooltip="He, 2014 #75" w:history="1">
        <w:r w:rsidR="003B725E">
          <w:rPr>
            <w:rFonts w:ascii="Arial" w:hAnsi="Arial" w:cs="Arial"/>
            <w:noProof/>
          </w:rPr>
          <w:t>116</w:t>
        </w:r>
      </w:hyperlink>
      <w:r w:rsidR="00736F03">
        <w:rPr>
          <w:rFonts w:ascii="Arial" w:hAnsi="Arial" w:cs="Arial"/>
          <w:noProof/>
        </w:rPr>
        <w:t>)</w:t>
      </w:r>
      <w:r>
        <w:rPr>
          <w:rFonts w:ascii="Arial" w:hAnsi="Arial" w:cs="Arial"/>
        </w:rPr>
        <w:fldChar w:fldCharType="end"/>
      </w:r>
      <w:r>
        <w:rPr>
          <w:rFonts w:ascii="Arial" w:hAnsi="Arial" w:cs="Arial"/>
        </w:rPr>
        <w:t xml:space="preserve">. Similarly, a 52-kilobase deletion downstream of the SOST gene results in decreased sclerostin expression and </w:t>
      </w:r>
      <w:r w:rsidR="00184C04">
        <w:rPr>
          <w:rFonts w:ascii="Arial" w:hAnsi="Arial" w:cs="Arial"/>
        </w:rPr>
        <w:t>is linked</w:t>
      </w:r>
      <w:r w:rsidR="001038DC">
        <w:rPr>
          <w:rFonts w:ascii="Arial" w:hAnsi="Arial" w:cs="Arial"/>
        </w:rPr>
        <w:t xml:space="preserve"> to V</w:t>
      </w:r>
      <w:r w:rsidR="00184C04">
        <w:rPr>
          <w:rFonts w:ascii="Arial" w:hAnsi="Arial" w:cs="Arial"/>
        </w:rPr>
        <w:t>an Buche</w:t>
      </w:r>
      <w:r w:rsidR="009143C3">
        <w:rPr>
          <w:rFonts w:ascii="Arial" w:hAnsi="Arial" w:cs="Arial"/>
        </w:rPr>
        <w:t xml:space="preserve">m disease </w:t>
      </w:r>
      <w:r>
        <w:rPr>
          <w:rFonts w:ascii="Arial" w:hAnsi="Arial" w:cs="Arial"/>
        </w:rPr>
        <w:fldChar w:fldCharType="begin">
          <w:fldData xml:space="preserve">PEVuZE5vdGU+PENpdGU+PEF1dGhvcj5CYWxlbWFuczwvQXV0aG9yPjxZZWFyPjIwMDI8L1llYXI+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</w:fldData>
        </w:fldChar>
      </w:r>
      <w:r w:rsidR="009143C3">
        <w:rPr>
          <w:rFonts w:ascii="Arial" w:hAnsi="Arial" w:cs="Arial"/>
        </w:rPr>
        <w:instrText xml:space="preserve"> ADDIN EN.CITE </w:instrText>
      </w:r>
      <w:r w:rsidR="009143C3">
        <w:rPr>
          <w:rFonts w:ascii="Arial" w:hAnsi="Arial" w:cs="Arial"/>
        </w:rPr>
        <w:fldChar w:fldCharType="begin">
          <w:fldData xml:space="preserve">PEVuZE5vdGU+PENpdGU+PEF1dGhvcj5CYWxlbWFuczwvQXV0aG9yPjxZZWFyPjIwMDI8L1llYXI+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</w:fldData>
        </w:fldChar>
      </w:r>
      <w:r w:rsidR="009143C3">
        <w:rPr>
          <w:rFonts w:ascii="Arial" w:hAnsi="Arial" w:cs="Arial"/>
        </w:rPr>
        <w:instrText xml:space="preserve"> ADDIN EN.CITE.DATA </w:instrText>
      </w:r>
      <w:r w:rsidR="009143C3">
        <w:rPr>
          <w:rFonts w:ascii="Arial" w:hAnsi="Arial" w:cs="Arial"/>
        </w:rPr>
      </w:r>
      <w:r w:rsidR="009143C3">
        <w:rPr>
          <w:rFonts w:ascii="Arial" w:hAnsi="Arial" w:cs="Arial"/>
        </w:rPr>
        <w:fldChar w:fldCharType="end"/>
      </w:r>
      <w:r>
        <w:rPr>
          <w:rFonts w:ascii="Arial" w:hAnsi="Arial" w:cs="Arial"/>
        </w:rPr>
      </w:r>
      <w:r>
        <w:rPr>
          <w:rFonts w:ascii="Arial" w:hAnsi="Arial" w:cs="Arial"/>
        </w:rPr>
        <w:fldChar w:fldCharType="separate"/>
      </w:r>
      <w:r w:rsidR="009143C3">
        <w:rPr>
          <w:rFonts w:ascii="Arial" w:hAnsi="Arial" w:cs="Arial"/>
          <w:noProof/>
        </w:rPr>
        <w:t>(</w:t>
      </w:r>
      <w:hyperlink w:anchor="_ENREF_117" w:tooltip="Balemans, 2002 #76" w:history="1">
        <w:r w:rsidR="003B725E">
          <w:rPr>
            <w:rFonts w:ascii="Arial" w:hAnsi="Arial" w:cs="Arial"/>
            <w:noProof/>
          </w:rPr>
          <w:t>117</w:t>
        </w:r>
      </w:hyperlink>
      <w:r w:rsidR="009143C3">
        <w:rPr>
          <w:rFonts w:ascii="Arial" w:hAnsi="Arial" w:cs="Arial"/>
          <w:noProof/>
        </w:rPr>
        <w:t xml:space="preserve">, </w:t>
      </w:r>
      <w:hyperlink w:anchor="_ENREF_118" w:tooltip="Sharifi, 2015 #243" w:history="1">
        <w:r w:rsidR="003B725E">
          <w:rPr>
            <w:rFonts w:ascii="Arial" w:hAnsi="Arial" w:cs="Arial"/>
            <w:noProof/>
          </w:rPr>
          <w:t>118</w:t>
        </w:r>
      </w:hyperlink>
      <w:r w:rsidR="009143C3">
        <w:rPr>
          <w:rFonts w:ascii="Arial" w:hAnsi="Arial" w:cs="Arial"/>
          <w:noProof/>
        </w:rPr>
        <w:t>)</w:t>
      </w:r>
      <w:r>
        <w:rPr>
          <w:rFonts w:ascii="Arial" w:hAnsi="Arial" w:cs="Arial"/>
        </w:rPr>
        <w:fldChar w:fldCharType="end"/>
      </w:r>
      <w:r>
        <w:rPr>
          <w:rFonts w:ascii="Arial" w:hAnsi="Arial" w:cs="Arial"/>
        </w:rPr>
        <w:t>.</w:t>
      </w:r>
      <w:r w:rsidR="00D70E97" w:rsidRPr="00D70E97">
        <w:rPr>
          <w:rFonts w:ascii="Arial" w:hAnsi="Arial" w:cs="Arial"/>
          <w:noProof/>
          <w:lang w:eastAsia="en-GB"/>
        </w:rPr>
        <w:t xml:space="preserve"> </w:t>
      </w:r>
      <w:r w:rsidR="00D70E97">
        <w:rPr>
          <w:rFonts w:ascii="Arial" w:hAnsi="Arial" w:cs="Arial"/>
          <w:noProof/>
          <w:lang w:eastAsia="zh-CN"/>
        </w:rPr>
        <w:drawing>
          <wp:inline distT="0" distB="0" distL="0" distR="0" wp14:anchorId="04346981" wp14:editId="69C022FF">
            <wp:extent cx="5067300" cy="2610485"/>
            <wp:effectExtent l="0" t="0" r="0" b="0"/>
            <wp:docPr id="18519" name="Picture 1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a:extLst>
                        <a:ext uri="{28A0092B-C50C-407E-A947-70E740481C1C}">
                          <a14:useLocalDpi xmlns:a14="http://schemas.microsoft.com/office/drawing/2010/main" val="0"/>
                        </a:ext>
                      </a:extLst>
                    </a:blip>
                    <a:srcRect r="12132"/>
                    <a:stretch/>
                  </pic:blipFill>
                  <pic:spPr bwMode="auto">
                    <a:xfrm>
                      <a:off x="0" y="0"/>
                      <a:ext cx="5101078" cy="2627886"/>
                    </a:xfrm>
                    <a:prstGeom prst="rect">
                      <a:avLst/>
                    </a:prstGeom>
                    <a:noFill/>
                    <a:ln>
                      <a:noFill/>
                    </a:ln>
                    <a:extLst>
                      <a:ext uri="{53640926-AAD7-44D8-BBD7-CCE9431645EC}">
                        <a14:shadowObscured xmlns:a14="http://schemas.microsoft.com/office/drawing/2010/main"/>
                      </a:ext>
                    </a:extLst>
                  </pic:spPr>
                </pic:pic>
              </a:graphicData>
            </a:graphic>
          </wp:inline>
        </w:drawing>
      </w:r>
    </w:p>
    <w:p w:rsidR="002E4ACE" w:rsidRPr="002520AF" w:rsidRDefault="002E4ACE" w:rsidP="003B725E">
      <w:pPr>
        <w:pStyle w:val="Caption"/>
        <w:rPr>
          <w:rFonts w:ascii="Arial" w:hAnsi="Arial" w:cs="Arial"/>
          <w:b w:val="0"/>
          <w:color w:val="auto"/>
        </w:rPr>
      </w:pPr>
      <w:bookmarkStart w:id="26" w:name="_Toc425419492"/>
      <w:r w:rsidRPr="002520AF">
        <w:rPr>
          <w:rFonts w:ascii="Arial" w:hAnsi="Arial" w:cs="Arial"/>
          <w:b w:val="0"/>
          <w:color w:val="auto"/>
        </w:rPr>
        <w:t xml:space="preserve">Figure </w:t>
      </w:r>
      <w:r w:rsidRPr="002520AF">
        <w:rPr>
          <w:rFonts w:ascii="Arial" w:hAnsi="Arial" w:cs="Arial"/>
          <w:b w:val="0"/>
          <w:color w:val="auto"/>
        </w:rPr>
        <w:fldChar w:fldCharType="begin"/>
      </w:r>
      <w:r w:rsidRPr="002520AF">
        <w:rPr>
          <w:rFonts w:ascii="Arial" w:hAnsi="Arial" w:cs="Arial"/>
          <w:b w:val="0"/>
          <w:color w:val="auto"/>
        </w:rPr>
        <w:instrText xml:space="preserve"> SEQ Figure \* ARABIC </w:instrText>
      </w:r>
      <w:r w:rsidRPr="002520AF">
        <w:rPr>
          <w:rFonts w:ascii="Arial" w:hAnsi="Arial" w:cs="Arial"/>
          <w:b w:val="0"/>
          <w:color w:val="auto"/>
        </w:rPr>
        <w:fldChar w:fldCharType="separate"/>
      </w:r>
      <w:r w:rsidR="0040369A">
        <w:rPr>
          <w:rFonts w:ascii="Arial" w:hAnsi="Arial" w:cs="Arial"/>
          <w:b w:val="0"/>
          <w:noProof/>
          <w:color w:val="auto"/>
        </w:rPr>
        <w:t>9</w:t>
      </w:r>
      <w:r w:rsidRPr="002520AF">
        <w:rPr>
          <w:rFonts w:ascii="Arial" w:hAnsi="Arial" w:cs="Arial"/>
          <w:b w:val="0"/>
          <w:color w:val="auto"/>
        </w:rPr>
        <w:fldChar w:fldCharType="end"/>
      </w:r>
      <w:r w:rsidRPr="002520AF">
        <w:rPr>
          <w:rFonts w:ascii="Arial" w:hAnsi="Arial" w:cs="Arial"/>
          <w:b w:val="0"/>
          <w:color w:val="auto"/>
        </w:rPr>
        <w:t xml:space="preserve">: The Wnt signalling pathway is essential for the regulation of bone formation. Dickkopf-1 and sclerostin are two key inhibitors of Wnt signalling. </w:t>
      </w:r>
      <w:r w:rsidR="005A4A39">
        <w:rPr>
          <w:rFonts w:ascii="Arial" w:hAnsi="Arial" w:cs="Arial"/>
          <w:b w:val="0"/>
          <w:color w:val="auto"/>
        </w:rPr>
        <w:t xml:space="preserve">Adapted from </w:t>
      </w:r>
      <w:r w:rsidR="005A4A39">
        <w:rPr>
          <w:rFonts w:ascii="Arial" w:hAnsi="Arial" w:cs="Arial"/>
          <w:b w:val="0"/>
          <w:color w:val="auto"/>
        </w:rPr>
        <w:fldChar w:fldCharType="begin"/>
      </w:r>
      <w:r w:rsidR="00736F03">
        <w:rPr>
          <w:rFonts w:ascii="Arial" w:hAnsi="Arial" w:cs="Arial"/>
          <w:b w:val="0"/>
          <w:color w:val="auto"/>
        </w:rPr>
        <w:instrText xml:space="preserve"> ADDIN EN.CITE &lt;EndNote&gt;&lt;Cite&gt;&lt;Author&gt;Martin&lt;/Author&gt;&lt;Year&gt;2008&lt;/Year&gt;&lt;RecNum&gt;342&lt;/RecNum&gt;&lt;DisplayText&gt;(119)&lt;/DisplayText&gt;&lt;record&gt;&lt;rec-number&gt;342&lt;/rec-number&gt;&lt;foreign-keys&gt;&lt;key app="EN" db-id="p9a5ttsvyvde9me5aw2x05fp5p55axf0wr90" timestamp="1435244604"&gt;342&lt;/key&gt;&lt;/foreign-keys&gt;&lt;ref-type name="Journal Article"&gt;17&lt;/ref-type&gt;&lt;contributors&gt;&lt;authors&gt;&lt;author&gt;Martin, T. J.&lt;/author&gt;&lt;author&gt;Sims, N. A.&lt;/author&gt;&lt;author&gt;Ng, K. W.&lt;/author&gt;&lt;/authors&gt;&lt;/contributors&gt;&lt;auth-address&gt;St Vincent&amp;apos;s Institute of Medical Research, Melbourne, Australia. jmartin@svi.edu.au&lt;/auth-address&gt;&lt;titles&gt;&lt;title&gt;Regulatory pathways revealing new approaches to the development of anabolic drugs for osteoporosis&lt;/title&gt;&lt;secondary-title&gt;Osteoporos Int&lt;/secondary-title&gt;&lt;/titles&gt;&lt;periodical&gt;&lt;full-title&gt;Osteoporos Int&lt;/full-title&gt;&lt;abbr-1&gt;Osteoporosis international : a journal established as result of cooperation between the European Foundation for Osteoporosis and the National Osteoporosis Foundation of the USA&lt;/abbr-1&gt;&lt;/periodical&gt;&lt;pages&gt;1125-38&lt;/pages&gt;&lt;volume&gt;19&lt;/volume&gt;&lt;number&gt;8&lt;/number&gt;&lt;edition&gt;2008/03/14&lt;/edition&gt;&lt;keywords&gt;&lt;keyword&gt;Anabolic Agents/ therapeutic use&lt;/keyword&gt;&lt;keyword&gt;Bone Remodeling/drug effects&lt;/keyword&gt;&lt;keyword&gt;Humans&lt;/keyword&gt;&lt;keyword&gt;Osteoblasts/drug effects&lt;/keyword&gt;&lt;keyword&gt;Osteogenesis/drug effects&lt;/keyword&gt;&lt;keyword&gt;Osteoporosis/ drug therapy/physiopathology&lt;/keyword&gt;&lt;keyword&gt;Parathyroid Hormone/therapeutic use&lt;/keyword&gt;&lt;keyword&gt;Signal Transduction/drug effects&lt;/keyword&gt;&lt;keyword&gt;Wnt Proteins/physiology&lt;/keyword&gt;&lt;/keywords&gt;&lt;dates&gt;&lt;year&gt;2008&lt;/year&gt;&lt;pub-dates&gt;&lt;date&gt;Aug&lt;/date&gt;&lt;/pub-dates&gt;&lt;/dates&gt;&lt;isbn&gt;0937-941X (Print)&amp;#xD;0937-941X (Linking)&lt;/isbn&gt;&lt;accession-num&gt;18338097&lt;/accession-num&gt;&lt;urls&gt;&lt;/urls&gt;&lt;electronic-resource-num&gt;10.1007/s00198-008-0575-5&lt;/electronic-resource-num&gt;&lt;remote-database-provider&gt;NLM&lt;/remote-database-provider&gt;&lt;language&gt;eng&lt;/language&gt;&lt;/record&gt;&lt;/Cite&gt;&lt;/EndNote&gt;</w:instrText>
      </w:r>
      <w:r w:rsidR="005A4A39">
        <w:rPr>
          <w:rFonts w:ascii="Arial" w:hAnsi="Arial" w:cs="Arial"/>
          <w:b w:val="0"/>
          <w:color w:val="auto"/>
        </w:rPr>
        <w:fldChar w:fldCharType="separate"/>
      </w:r>
      <w:r w:rsidR="00736F03">
        <w:rPr>
          <w:rFonts w:ascii="Arial" w:hAnsi="Arial" w:cs="Arial"/>
          <w:b w:val="0"/>
          <w:noProof/>
          <w:color w:val="auto"/>
        </w:rPr>
        <w:t>(</w:t>
      </w:r>
      <w:hyperlink w:anchor="_ENREF_119" w:tooltip="Martin, 2008 #342" w:history="1">
        <w:r w:rsidR="003B725E">
          <w:rPr>
            <w:rFonts w:ascii="Arial" w:hAnsi="Arial" w:cs="Arial"/>
            <w:b w:val="0"/>
            <w:noProof/>
            <w:color w:val="auto"/>
          </w:rPr>
          <w:t>119</w:t>
        </w:r>
      </w:hyperlink>
      <w:r w:rsidR="00736F03">
        <w:rPr>
          <w:rFonts w:ascii="Arial" w:hAnsi="Arial" w:cs="Arial"/>
          <w:b w:val="0"/>
          <w:noProof/>
          <w:color w:val="auto"/>
        </w:rPr>
        <w:t>)</w:t>
      </w:r>
      <w:r w:rsidR="005A4A39">
        <w:rPr>
          <w:rFonts w:ascii="Arial" w:hAnsi="Arial" w:cs="Arial"/>
          <w:b w:val="0"/>
          <w:color w:val="auto"/>
        </w:rPr>
        <w:fldChar w:fldCharType="end"/>
      </w:r>
      <w:r w:rsidR="005A4A39">
        <w:rPr>
          <w:rFonts w:ascii="Arial" w:hAnsi="Arial" w:cs="Arial"/>
          <w:b w:val="0"/>
          <w:color w:val="auto"/>
        </w:rPr>
        <w:t xml:space="preserve"> with permission from Springer.</w:t>
      </w:r>
      <w:bookmarkEnd w:id="26"/>
      <w:r w:rsidR="008268C0">
        <w:rPr>
          <w:rFonts w:ascii="Arial" w:hAnsi="Arial" w:cs="Arial"/>
          <w:b w:val="0"/>
          <w:color w:val="auto"/>
        </w:rPr>
        <w:t xml:space="preserve"> </w:t>
      </w:r>
    </w:p>
    <w:p w:rsidR="002E4ACE" w:rsidRDefault="002E4ACE" w:rsidP="003B725E">
      <w:pPr>
        <w:spacing w:line="360" w:lineRule="auto"/>
        <w:rPr>
          <w:rFonts w:ascii="Arial" w:hAnsi="Arial" w:cs="Arial"/>
        </w:rPr>
      </w:pPr>
      <w:r>
        <w:rPr>
          <w:rFonts w:ascii="Arial" w:hAnsi="Arial" w:cs="Arial"/>
        </w:rPr>
        <w:t xml:space="preserve">Sclerostin can also activate osteoclast activity and bone resorption by stimulating the secretion of RANKL by the osteocytes </w:t>
      </w:r>
      <w:r>
        <w:rPr>
          <w:rFonts w:ascii="Arial" w:hAnsi="Arial" w:cs="Arial"/>
        </w:rPr>
        <w:fldChar w:fldCharType="begin">
          <w:fldData xml:space="preserve">PEVuZE5vdGU+PENpdGU+PEF1dGhvcj5XaWplbmF5YWthPC9BdXRob3I+PFllYXI+MjAxMTwvWWVh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==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PEVuZE5vdGU+PENpdGU+PEF1dGhvcj5XaWplbmF5YWthPC9BdXRob3I+PFllYXI+MjAxMTwvWWVh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==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20" w:tooltip="Wijenayaka, 2011 #271" w:history="1">
        <w:r w:rsidR="003B725E">
          <w:rPr>
            <w:rFonts w:ascii="Arial" w:hAnsi="Arial" w:cs="Arial"/>
            <w:noProof/>
          </w:rPr>
          <w:t>120</w:t>
        </w:r>
      </w:hyperlink>
      <w:r w:rsidR="00736F03">
        <w:rPr>
          <w:rFonts w:ascii="Arial" w:hAnsi="Arial" w:cs="Arial"/>
          <w:noProof/>
        </w:rPr>
        <w:t>)</w:t>
      </w:r>
      <w:r>
        <w:rPr>
          <w:rFonts w:ascii="Arial" w:hAnsi="Arial" w:cs="Arial"/>
        </w:rPr>
        <w:fldChar w:fldCharType="end"/>
      </w:r>
      <w:r>
        <w:rPr>
          <w:rFonts w:ascii="Arial" w:hAnsi="Arial" w:cs="Arial"/>
        </w:rPr>
        <w:t>.</w:t>
      </w:r>
    </w:p>
    <w:p w:rsidR="002E4ACE" w:rsidRPr="00D83230" w:rsidRDefault="002E4ACE" w:rsidP="003B725E">
      <w:pPr>
        <w:spacing w:line="360" w:lineRule="auto"/>
        <w:jc w:val="both"/>
        <w:rPr>
          <w:rFonts w:ascii="Arial" w:hAnsi="Arial" w:cs="Arial"/>
        </w:rPr>
      </w:pPr>
      <w:r>
        <w:rPr>
          <w:rFonts w:ascii="Arial" w:hAnsi="Arial" w:cs="Arial"/>
        </w:rPr>
        <w:t xml:space="preserve">In osteoporosis a monoclonal anti-DKK1 antibody, BHQ-880 and an anti-sclerostin antibody, romosozumab (AMG-785) </w:t>
      </w:r>
      <w:r>
        <w:rPr>
          <w:rFonts w:ascii="Arial" w:hAnsi="Arial" w:cs="Arial"/>
        </w:rPr>
        <w:fldChar w:fldCharType="begin">
          <w:fldData xml:space="preserve">PEVuZE5vdGU+PENpdGU+PEF1dGhvcj5QYWRoaTwvQXV0aG9yPjxZZWFyPjIwMTE8L1llYXI+PFJl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</w:fldData>
        </w:fldChar>
      </w:r>
      <w:r w:rsidR="00736F03">
        <w:rPr>
          <w:rFonts w:ascii="Arial" w:hAnsi="Arial" w:cs="Arial"/>
        </w:rPr>
        <w:instrText xml:space="preserve"> ADDIN EN.CITE </w:instrText>
      </w:r>
      <w:r w:rsidR="00736F03">
        <w:rPr>
          <w:rFonts w:ascii="Arial" w:hAnsi="Arial" w:cs="Arial"/>
        </w:rPr>
        <w:fldChar w:fldCharType="begin">
          <w:fldData xml:space="preserve">PEVuZE5vdGU+PENpdGU+PEF1dGhvcj5QYWRoaTwvQXV0aG9yPjxZZWFyPjIwMTE8L1llYXI+PFJl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</w:fldData>
        </w:fldChar>
      </w:r>
      <w:r w:rsidR="00736F03">
        <w:rPr>
          <w:rFonts w:ascii="Arial" w:hAnsi="Arial" w:cs="Arial"/>
        </w:rPr>
        <w:instrText xml:space="preserve"> ADDIN EN.CITE.DATA </w:instrText>
      </w:r>
      <w:r w:rsidR="00736F03">
        <w:rPr>
          <w:rFonts w:ascii="Arial" w:hAnsi="Arial" w:cs="Arial"/>
        </w:rPr>
      </w:r>
      <w:r w:rsidR="00736F03">
        <w:rPr>
          <w:rFonts w:ascii="Arial" w:hAnsi="Arial" w:cs="Arial"/>
        </w:rPr>
        <w:fldChar w:fldCharType="end"/>
      </w:r>
      <w:r>
        <w:rPr>
          <w:rFonts w:ascii="Arial" w:hAnsi="Arial" w:cs="Arial"/>
        </w:rPr>
      </w:r>
      <w:r>
        <w:rPr>
          <w:rFonts w:ascii="Arial" w:hAnsi="Arial" w:cs="Arial"/>
        </w:rPr>
        <w:fldChar w:fldCharType="separate"/>
      </w:r>
      <w:r w:rsidR="00736F03">
        <w:rPr>
          <w:rFonts w:ascii="Arial" w:hAnsi="Arial" w:cs="Arial"/>
          <w:noProof/>
        </w:rPr>
        <w:t>(</w:t>
      </w:r>
      <w:hyperlink w:anchor="_ENREF_121" w:tooltip="Padhi, 2011 #77" w:history="1">
        <w:r w:rsidR="003B725E">
          <w:rPr>
            <w:rFonts w:ascii="Arial" w:hAnsi="Arial" w:cs="Arial"/>
            <w:noProof/>
          </w:rPr>
          <w:t>121</w:t>
        </w:r>
      </w:hyperlink>
      <w:r w:rsidR="00736F03">
        <w:rPr>
          <w:rFonts w:ascii="Arial" w:hAnsi="Arial" w:cs="Arial"/>
          <w:noProof/>
        </w:rPr>
        <w:t>)</w:t>
      </w:r>
      <w:r>
        <w:rPr>
          <w:rFonts w:ascii="Arial" w:hAnsi="Arial" w:cs="Arial"/>
        </w:rPr>
        <w:fldChar w:fldCharType="end"/>
      </w:r>
      <w:r>
        <w:rPr>
          <w:rFonts w:ascii="Arial" w:hAnsi="Arial" w:cs="Arial"/>
        </w:rPr>
        <w:t xml:space="preserve"> are potential therapeutics that may increase bone formation without affecting bone resorption. These are currentl</w:t>
      </w:r>
      <w:r w:rsidR="0021719E">
        <w:rPr>
          <w:rFonts w:ascii="Arial" w:hAnsi="Arial" w:cs="Arial"/>
        </w:rPr>
        <w:t xml:space="preserve">y undergoing clinical studies. </w:t>
      </w:r>
    </w:p>
    <w:p w:rsidR="00973591" w:rsidRDefault="006C509D" w:rsidP="003E6719">
      <w:pPr>
        <w:pStyle w:val="Heading4"/>
        <w:jc w:val="both"/>
      </w:pPr>
      <w:r w:rsidRPr="00D83230">
        <w:t>Bone Remodelling</w:t>
      </w:r>
      <w:r w:rsidR="00FB53D0">
        <w:t xml:space="preserve"> </w:t>
      </w:r>
    </w:p>
    <w:p w:rsidR="00A041E4" w:rsidRDefault="000B31F3" w:rsidP="003B725E">
      <w:pPr>
        <w:spacing w:line="360" w:lineRule="auto"/>
        <w:jc w:val="both"/>
        <w:rPr>
          <w:rFonts w:ascii="Arial" w:hAnsi="Arial" w:cs="Arial"/>
        </w:rPr>
      </w:pPr>
      <w:r w:rsidRPr="00197C7B">
        <w:rPr>
          <w:rFonts w:ascii="Arial" w:hAnsi="Arial" w:cs="Arial"/>
        </w:rPr>
        <w:t>The skeleton is metabolically active and is continuously undergoing</w:t>
      </w:r>
      <w:r w:rsidR="00FB53D0" w:rsidRPr="00197C7B">
        <w:rPr>
          <w:rFonts w:ascii="Arial" w:hAnsi="Arial" w:cs="Arial"/>
        </w:rPr>
        <w:t xml:space="preserve"> longitudinal and radial grow</w:t>
      </w:r>
      <w:r w:rsidR="00A041E4">
        <w:rPr>
          <w:rFonts w:ascii="Arial" w:hAnsi="Arial" w:cs="Arial"/>
        </w:rPr>
        <w:t xml:space="preserve">th, modelling and remodelling. </w:t>
      </w:r>
      <w:r w:rsidR="00490C19" w:rsidRPr="00197C7B">
        <w:rPr>
          <w:rFonts w:ascii="Arial" w:hAnsi="Arial" w:cs="Arial"/>
        </w:rPr>
        <w:t xml:space="preserve">The </w:t>
      </w:r>
      <w:r w:rsidR="00DC3155" w:rsidRPr="00197C7B">
        <w:rPr>
          <w:rFonts w:ascii="Arial" w:hAnsi="Arial" w:cs="Arial"/>
        </w:rPr>
        <w:t xml:space="preserve">normal </w:t>
      </w:r>
      <w:r w:rsidR="00490C19" w:rsidRPr="00197C7B">
        <w:rPr>
          <w:rFonts w:ascii="Arial" w:hAnsi="Arial" w:cs="Arial"/>
        </w:rPr>
        <w:t xml:space="preserve">adult skeleton is continuously </w:t>
      </w:r>
      <w:r w:rsidRPr="00197C7B">
        <w:rPr>
          <w:rFonts w:ascii="Arial" w:hAnsi="Arial" w:cs="Arial"/>
        </w:rPr>
        <w:t xml:space="preserve">undergoing </w:t>
      </w:r>
      <w:r w:rsidR="00DC3155" w:rsidRPr="00197C7B">
        <w:rPr>
          <w:rFonts w:ascii="Arial" w:hAnsi="Arial" w:cs="Arial"/>
        </w:rPr>
        <w:t xml:space="preserve">a highly regulated </w:t>
      </w:r>
      <w:r w:rsidRPr="00197C7B">
        <w:rPr>
          <w:rFonts w:ascii="Arial" w:hAnsi="Arial" w:cs="Arial"/>
        </w:rPr>
        <w:t>remodelling</w:t>
      </w:r>
      <w:r w:rsidR="00DC3155" w:rsidRPr="00197C7B">
        <w:rPr>
          <w:rFonts w:ascii="Arial" w:hAnsi="Arial" w:cs="Arial"/>
        </w:rPr>
        <w:t xml:space="preserve"> process</w:t>
      </w:r>
      <w:r w:rsidRPr="00197C7B">
        <w:rPr>
          <w:rFonts w:ascii="Arial" w:hAnsi="Arial" w:cs="Arial"/>
        </w:rPr>
        <w:t xml:space="preserve"> at a rate of approximately </w:t>
      </w:r>
      <w:r w:rsidR="00B43AC4" w:rsidRPr="00197C7B">
        <w:rPr>
          <w:rFonts w:ascii="Arial" w:hAnsi="Arial" w:cs="Arial"/>
        </w:rPr>
        <w:t xml:space="preserve">5 to </w:t>
      </w:r>
      <w:r w:rsidRPr="00197C7B">
        <w:rPr>
          <w:rFonts w:ascii="Arial" w:hAnsi="Arial" w:cs="Arial"/>
        </w:rPr>
        <w:t xml:space="preserve">10% </w:t>
      </w:r>
      <w:r w:rsidR="00B43AC4" w:rsidRPr="00197C7B">
        <w:rPr>
          <w:rFonts w:ascii="Arial" w:hAnsi="Arial" w:cs="Arial"/>
        </w:rPr>
        <w:t>per year, taking 10 years to be fully replaced</w:t>
      </w:r>
      <w:r w:rsidR="009F1DA5" w:rsidRPr="00197C7B">
        <w:rPr>
          <w:rFonts w:ascii="Arial" w:hAnsi="Arial" w:cs="Arial"/>
        </w:rPr>
        <w:t xml:space="preserve"> </w:t>
      </w:r>
      <w:r w:rsidR="005A4A39">
        <w:rPr>
          <w:rFonts w:ascii="Arial" w:hAnsi="Arial" w:cs="Arial"/>
        </w:rPr>
        <w:fldChar w:fldCharType="begin"/>
      </w:r>
      <w:r w:rsidR="00736F03">
        <w:rPr>
          <w:rFonts w:ascii="Arial" w:hAnsi="Arial" w:cs="Arial"/>
        </w:rPr>
        <w:instrText xml:space="preserve"> ADDIN EN.CITE &lt;EndNote&gt;&lt;Cite&gt;&lt;Author&gt;Parfitt&lt;/Author&gt;&lt;Year&gt;1980&lt;/Year&gt;&lt;RecNum&gt;343&lt;/RecNum&gt;&lt;DisplayText&gt;(122)&lt;/DisplayText&gt;&lt;record&gt;&lt;rec-number&gt;343&lt;/rec-number&gt;&lt;foreign-keys&gt;&lt;key app="EN" db-id="p9a5ttsvyvde9me5aw2x05fp5p55axf0wr90" timestamp="1435244947"&gt;343&lt;/key&gt;&lt;/foreign-keys&gt;&lt;ref-type name="Journal Article"&gt;17&lt;/ref-type&gt;&lt;contributors&gt;&lt;authors&gt;&lt;author&gt;Parfitt, A. M.&lt;/author&gt;&lt;/authors&gt;&lt;/contributors&gt;&lt;titles&gt;&lt;title&gt;Primary osteoporosis&lt;/title&gt;&lt;secondary-title&gt;Lancet&lt;/secondary-title&gt;&lt;/titles&gt;&lt;periodical&gt;&lt;full-title&gt;Lancet&lt;/full-title&gt;&lt;abbr-1&gt;Lancet&lt;/abbr-1&gt;&lt;/periodical&gt;&lt;pages&gt;773-4&lt;/pages&gt;&lt;volume&gt;1&lt;/volume&gt;&lt;number&gt;8171&lt;/number&gt;&lt;edition&gt;1980/04/05&lt;/edition&gt;&lt;keywords&gt;&lt;keyword&gt;Bone Resorption&lt;/keyword&gt;&lt;keyword&gt;Bone and Bones/metabolism&lt;/keyword&gt;&lt;keyword&gt;Female&lt;/keyword&gt;&lt;keyword&gt;Humans&lt;/keyword&gt;&lt;keyword&gt;Menopause&lt;/keyword&gt;&lt;keyword&gt;Osteoporosis/ metabolism&lt;/keyword&gt;&lt;/keywords&gt;&lt;dates&gt;&lt;year&gt;1980&lt;/year&gt;&lt;pub-dates&gt;&lt;date&gt;Apr 5&lt;/date&gt;&lt;/pub-dates&gt;&lt;/dates&gt;&lt;isbn&gt;0140-6736 (Print)&amp;#xD;0140-6736 (Linking)&lt;/isbn&gt;&lt;accession-num&gt;6103194&lt;/accession-num&gt;&lt;urls&gt;&lt;/urls&gt;&lt;remote-database-provider&gt;NLM&lt;/remote-database-provider&gt;&lt;language&gt;eng&lt;/language&gt;&lt;/record&gt;&lt;/Cite&gt;&lt;/EndNote&gt;</w:instrText>
      </w:r>
      <w:r w:rsidR="005A4A39">
        <w:rPr>
          <w:rFonts w:ascii="Arial" w:hAnsi="Arial" w:cs="Arial"/>
        </w:rPr>
        <w:fldChar w:fldCharType="separate"/>
      </w:r>
      <w:r w:rsidR="00736F03">
        <w:rPr>
          <w:rFonts w:ascii="Arial" w:hAnsi="Arial" w:cs="Arial"/>
          <w:noProof/>
        </w:rPr>
        <w:t>(</w:t>
      </w:r>
      <w:hyperlink w:anchor="_ENREF_122" w:tooltip="Parfitt, 1980 #343" w:history="1">
        <w:r w:rsidR="003B725E">
          <w:rPr>
            <w:rFonts w:ascii="Arial" w:hAnsi="Arial" w:cs="Arial"/>
            <w:noProof/>
          </w:rPr>
          <w:t>122</w:t>
        </w:r>
      </w:hyperlink>
      <w:r w:rsidR="00736F03">
        <w:rPr>
          <w:rFonts w:ascii="Arial" w:hAnsi="Arial" w:cs="Arial"/>
          <w:noProof/>
        </w:rPr>
        <w:t>)</w:t>
      </w:r>
      <w:r w:rsidR="005A4A39">
        <w:rPr>
          <w:rFonts w:ascii="Arial" w:hAnsi="Arial" w:cs="Arial"/>
        </w:rPr>
        <w:fldChar w:fldCharType="end"/>
      </w:r>
      <w:r w:rsidR="00B43AC4" w:rsidRPr="00197C7B">
        <w:rPr>
          <w:rFonts w:ascii="Arial" w:hAnsi="Arial" w:cs="Arial"/>
        </w:rPr>
        <w:t xml:space="preserve"> </w:t>
      </w:r>
      <w:r w:rsidR="007128E6" w:rsidRPr="00197C7B">
        <w:rPr>
          <w:rFonts w:ascii="Arial" w:hAnsi="Arial" w:cs="Arial"/>
        </w:rPr>
        <w:t xml:space="preserve">and was first described in the 1960s </w:t>
      </w:r>
      <w:r w:rsidR="00826F0C">
        <w:rPr>
          <w:rFonts w:ascii="Arial" w:hAnsi="Arial" w:cs="Arial"/>
        </w:rPr>
        <w:fldChar w:fldCharType="begin"/>
      </w:r>
      <w:r w:rsidR="00736F03">
        <w:rPr>
          <w:rFonts w:ascii="Arial" w:hAnsi="Arial" w:cs="Arial"/>
        </w:rPr>
        <w:instrText xml:space="preserve"> ADDIN EN.CITE &lt;EndNote&gt;&lt;Cite&gt;&lt;Author&gt;Takahashi&lt;/Author&gt;&lt;Year&gt;1964&lt;/Year&gt;&lt;RecNum&gt;344&lt;/RecNum&gt;&lt;DisplayText&gt;(123)&lt;/DisplayText&gt;&lt;record&gt;&lt;rec-number&gt;344&lt;/rec-number&gt;&lt;foreign-keys&gt;&lt;key app="EN" db-id="p9a5ttsvyvde9me5aw2x05fp5p55axf0wr90" timestamp="1435245371"&gt;344&lt;/key&gt;&lt;/foreign-keys&gt;&lt;ref-type name="Journal Article"&gt;17&lt;/ref-type&gt;&lt;contributors&gt;&lt;authors&gt;&lt;author&gt;Takahashi, H.&lt;/author&gt;&lt;author&gt;Epker, B.&lt;/author&gt;&lt;author&gt;Frost, H. M.&lt;/author&gt;&lt;/authors&gt;&lt;/contributors&gt;&lt;titles&gt;&lt;title&gt;RESORPTION PRECEDES FORMATIVE ACTIVITY&lt;/title&gt;&lt;secondary-title&gt;Surg Forum&lt;/secondary-title&gt;&lt;/titles&gt;&lt;periodical&gt;&lt;full-title&gt;Surg Forum&lt;/full-title&gt;&lt;/periodical&gt;&lt;pages&gt;437-8&lt;/pages&gt;&lt;volume&gt;15&lt;/volume&gt;&lt;edition&gt;1964/01/01&lt;/edition&gt;&lt;keywords&gt;&lt;keyword&gt;Bone Regeneration&lt;/keyword&gt;&lt;keyword&gt;Bone Resorption&lt;/keyword&gt;&lt;keyword&gt;Histology&lt;/keyword&gt;&lt;keyword&gt;Osteoclasts&lt;/keyword&gt;&lt;keyword&gt;Research&lt;/keyword&gt;&lt;keyword&gt;Experimental lab study&lt;/keyword&gt;&lt;/keywords&gt;&lt;dates&gt;&lt;year&gt;1964&lt;/year&gt;&lt;/dates&gt;&lt;isbn&gt;0071-8041 (Print)&amp;#xD;0071-8041 (Linking)&lt;/isbn&gt;&lt;accession-num&gt;14189452&lt;/accession-num&gt;&lt;urls&gt;&lt;/urls&gt;&lt;remote-database-provider&gt;NLM&lt;/remote-database-provider&gt;&lt;language&gt;eng&lt;/language&gt;&lt;/record&gt;&lt;/Cite&gt;&lt;/EndNote&gt;</w:instrText>
      </w:r>
      <w:r w:rsidR="00826F0C">
        <w:rPr>
          <w:rFonts w:ascii="Arial" w:hAnsi="Arial" w:cs="Arial"/>
        </w:rPr>
        <w:fldChar w:fldCharType="separate"/>
      </w:r>
      <w:r w:rsidR="00736F03">
        <w:rPr>
          <w:rFonts w:ascii="Arial" w:hAnsi="Arial" w:cs="Arial"/>
          <w:noProof/>
        </w:rPr>
        <w:t>(</w:t>
      </w:r>
      <w:hyperlink w:anchor="_ENREF_123" w:tooltip="Takahashi, 1964 #344" w:history="1">
        <w:r w:rsidR="003B725E">
          <w:rPr>
            <w:rFonts w:ascii="Arial" w:hAnsi="Arial" w:cs="Arial"/>
            <w:noProof/>
          </w:rPr>
          <w:t>123</w:t>
        </w:r>
      </w:hyperlink>
      <w:r w:rsidR="00736F03">
        <w:rPr>
          <w:rFonts w:ascii="Arial" w:hAnsi="Arial" w:cs="Arial"/>
          <w:noProof/>
        </w:rPr>
        <w:t>)</w:t>
      </w:r>
      <w:r w:rsidR="00826F0C">
        <w:rPr>
          <w:rFonts w:ascii="Arial" w:hAnsi="Arial" w:cs="Arial"/>
        </w:rPr>
        <w:fldChar w:fldCharType="end"/>
      </w:r>
      <w:r w:rsidR="00490C19" w:rsidRPr="00197C7B">
        <w:rPr>
          <w:rFonts w:ascii="Arial" w:hAnsi="Arial" w:cs="Arial"/>
        </w:rPr>
        <w:t>.</w:t>
      </w:r>
      <w:r w:rsidR="00E51B58" w:rsidRPr="00197C7B">
        <w:rPr>
          <w:rFonts w:ascii="Arial" w:hAnsi="Arial" w:cs="Arial"/>
        </w:rPr>
        <w:t xml:space="preserve"> </w:t>
      </w:r>
      <w:r w:rsidR="00454EEA" w:rsidRPr="00197C7B">
        <w:rPr>
          <w:rFonts w:ascii="Arial" w:hAnsi="Arial" w:cs="Arial"/>
        </w:rPr>
        <w:t xml:space="preserve">This is a process where </w:t>
      </w:r>
      <w:r w:rsidR="00B43AC4" w:rsidRPr="00197C7B">
        <w:rPr>
          <w:rFonts w:ascii="Arial" w:hAnsi="Arial" w:cs="Arial"/>
        </w:rPr>
        <w:t xml:space="preserve">old mineralised bone is resorbed </w:t>
      </w:r>
      <w:r w:rsidR="00454EEA" w:rsidRPr="00197C7B">
        <w:rPr>
          <w:rFonts w:ascii="Arial" w:hAnsi="Arial" w:cs="Arial"/>
        </w:rPr>
        <w:t>by the osteoclasts</w:t>
      </w:r>
      <w:r w:rsidR="00027A35" w:rsidRPr="00197C7B">
        <w:rPr>
          <w:rFonts w:ascii="Arial" w:hAnsi="Arial" w:cs="Arial"/>
        </w:rPr>
        <w:t xml:space="preserve"> </w:t>
      </w:r>
      <w:r w:rsidR="00454EEA" w:rsidRPr="00197C7B">
        <w:rPr>
          <w:rFonts w:ascii="Arial" w:hAnsi="Arial" w:cs="Arial"/>
        </w:rPr>
        <w:t xml:space="preserve">and new </w:t>
      </w:r>
      <w:r w:rsidR="00B53F8A">
        <w:rPr>
          <w:rFonts w:ascii="Arial" w:hAnsi="Arial" w:cs="Arial"/>
        </w:rPr>
        <w:t xml:space="preserve">mineralised </w:t>
      </w:r>
      <w:r w:rsidR="00454EEA" w:rsidRPr="00197C7B">
        <w:rPr>
          <w:rFonts w:ascii="Arial" w:hAnsi="Arial" w:cs="Arial"/>
        </w:rPr>
        <w:t>bone matrix is formed b</w:t>
      </w:r>
      <w:r w:rsidR="003951FB" w:rsidRPr="00197C7B">
        <w:rPr>
          <w:rFonts w:ascii="Arial" w:hAnsi="Arial" w:cs="Arial"/>
        </w:rPr>
        <w:t>y the osteoblast</w:t>
      </w:r>
      <w:r w:rsidR="00B43AC4" w:rsidRPr="00197C7B">
        <w:rPr>
          <w:rFonts w:ascii="Arial" w:hAnsi="Arial" w:cs="Arial"/>
        </w:rPr>
        <w:t xml:space="preserve">. </w:t>
      </w:r>
      <w:r w:rsidR="003951FB" w:rsidRPr="00197C7B">
        <w:rPr>
          <w:rFonts w:ascii="Arial" w:hAnsi="Arial" w:cs="Arial"/>
        </w:rPr>
        <w:t xml:space="preserve">It is </w:t>
      </w:r>
      <w:r w:rsidR="00B75437">
        <w:rPr>
          <w:rFonts w:ascii="Arial" w:hAnsi="Arial" w:cs="Arial"/>
        </w:rPr>
        <w:t xml:space="preserve">supposed to be </w:t>
      </w:r>
      <w:r w:rsidR="003951FB" w:rsidRPr="00197C7B">
        <w:rPr>
          <w:rFonts w:ascii="Arial" w:hAnsi="Arial" w:cs="Arial"/>
        </w:rPr>
        <w:t xml:space="preserve">triggered by </w:t>
      </w:r>
      <w:r w:rsidR="00B53F8A">
        <w:rPr>
          <w:rFonts w:ascii="Arial" w:hAnsi="Arial" w:cs="Arial"/>
        </w:rPr>
        <w:t xml:space="preserve">the formation of microdamage </w:t>
      </w:r>
      <w:r w:rsidR="003951FB" w:rsidRPr="00197C7B">
        <w:rPr>
          <w:rFonts w:ascii="Arial" w:hAnsi="Arial" w:cs="Arial"/>
        </w:rPr>
        <w:t>and osteocyte apoptosis</w:t>
      </w:r>
      <w:r w:rsidR="005A347B">
        <w:rPr>
          <w:rFonts w:ascii="Arial" w:hAnsi="Arial" w:cs="Arial"/>
        </w:rPr>
        <w:t xml:space="preserve"> </w:t>
      </w:r>
      <w:r w:rsidR="005A347B">
        <w:rPr>
          <w:rFonts w:ascii="Arial" w:hAnsi="Arial" w:cs="Arial"/>
        </w:rPr>
        <w:fldChar w:fldCharType="begin">
          <w:fldData xml:space="preserve">PEVuZE5vdGU+PENpdGU+PEF1dGhvcj5MaXU8L0F1dGhvcj48WWVhcj4yMDE1PC9ZZWFyPjxSZWNO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PEVuZE5vdGU+PENpdGU+PEF1dGhvcj5MaXU8L0F1dGhvcj48WWVhcj4yMDE1PC9ZZWFyPjxSZWNO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5A347B">
        <w:rPr>
          <w:rFonts w:ascii="Arial" w:hAnsi="Arial" w:cs="Arial"/>
        </w:rPr>
      </w:r>
      <w:r w:rsidR="005A347B">
        <w:rPr>
          <w:rFonts w:ascii="Arial" w:hAnsi="Arial" w:cs="Arial"/>
        </w:rPr>
        <w:fldChar w:fldCharType="separate"/>
      </w:r>
      <w:r w:rsidR="005A347B">
        <w:rPr>
          <w:rFonts w:ascii="Arial" w:hAnsi="Arial" w:cs="Arial"/>
          <w:noProof/>
        </w:rPr>
        <w:t>(</w:t>
      </w:r>
      <w:hyperlink w:anchor="_ENREF_72" w:tooltip="Sims, 2014 #368" w:history="1">
        <w:r w:rsidR="003B725E">
          <w:rPr>
            <w:rFonts w:ascii="Arial" w:hAnsi="Arial" w:cs="Arial"/>
            <w:noProof/>
          </w:rPr>
          <w:t>72</w:t>
        </w:r>
      </w:hyperlink>
      <w:r w:rsidR="005A347B">
        <w:rPr>
          <w:rFonts w:ascii="Arial" w:hAnsi="Arial" w:cs="Arial"/>
          <w:noProof/>
        </w:rPr>
        <w:t xml:space="preserve">, </w:t>
      </w:r>
      <w:hyperlink w:anchor="_ENREF_124" w:tooltip="Liu, 2015 #624" w:history="1">
        <w:r w:rsidR="003B725E">
          <w:rPr>
            <w:rFonts w:ascii="Arial" w:hAnsi="Arial" w:cs="Arial"/>
            <w:noProof/>
          </w:rPr>
          <w:t>124</w:t>
        </w:r>
      </w:hyperlink>
      <w:r w:rsidR="005A347B">
        <w:rPr>
          <w:rFonts w:ascii="Arial" w:hAnsi="Arial" w:cs="Arial"/>
          <w:noProof/>
        </w:rPr>
        <w:t>)</w:t>
      </w:r>
      <w:r w:rsidR="005A347B">
        <w:rPr>
          <w:rFonts w:ascii="Arial" w:hAnsi="Arial" w:cs="Arial"/>
        </w:rPr>
        <w:fldChar w:fldCharType="end"/>
      </w:r>
      <w:r w:rsidR="003951FB" w:rsidRPr="00197C7B">
        <w:rPr>
          <w:rFonts w:ascii="Arial" w:hAnsi="Arial" w:cs="Arial"/>
        </w:rPr>
        <w:t xml:space="preserve">. </w:t>
      </w:r>
      <w:r w:rsidR="009B7823" w:rsidRPr="00197C7B">
        <w:rPr>
          <w:rFonts w:ascii="Arial" w:hAnsi="Arial" w:cs="Arial"/>
        </w:rPr>
        <w:t>It ensures</w:t>
      </w:r>
      <w:r w:rsidR="00454EEA" w:rsidRPr="00197C7B">
        <w:rPr>
          <w:rFonts w:ascii="Arial" w:hAnsi="Arial" w:cs="Arial"/>
        </w:rPr>
        <w:t xml:space="preserve"> that </w:t>
      </w:r>
      <w:r w:rsidR="00C95BCD" w:rsidRPr="00197C7B">
        <w:rPr>
          <w:rFonts w:ascii="Arial" w:hAnsi="Arial" w:cs="Arial"/>
        </w:rPr>
        <w:t>bone strength</w:t>
      </w:r>
      <w:r w:rsidR="00484E33" w:rsidRPr="00197C7B">
        <w:rPr>
          <w:rFonts w:ascii="Arial" w:hAnsi="Arial" w:cs="Arial"/>
        </w:rPr>
        <w:t>, structure</w:t>
      </w:r>
      <w:r w:rsidR="009B7823" w:rsidRPr="00197C7B">
        <w:rPr>
          <w:rFonts w:ascii="Arial" w:hAnsi="Arial" w:cs="Arial"/>
        </w:rPr>
        <w:t xml:space="preserve"> and </w:t>
      </w:r>
      <w:r w:rsidR="00C95BCD" w:rsidRPr="00197C7B">
        <w:rPr>
          <w:rFonts w:ascii="Arial" w:hAnsi="Arial" w:cs="Arial"/>
        </w:rPr>
        <w:t>mineral homeostasis is maintained</w:t>
      </w:r>
      <w:r w:rsidR="009B7823" w:rsidRPr="00197C7B">
        <w:rPr>
          <w:rFonts w:ascii="Arial" w:hAnsi="Arial" w:cs="Arial"/>
        </w:rPr>
        <w:t>, and old damaged bone is repaired</w:t>
      </w:r>
      <w:r w:rsidR="00035EA8">
        <w:rPr>
          <w:rFonts w:ascii="Arial" w:hAnsi="Arial" w:cs="Arial"/>
        </w:rPr>
        <w:t xml:space="preserve"> </w:t>
      </w:r>
      <w:r w:rsidR="00035EA8">
        <w:rPr>
          <w:rFonts w:ascii="Arial" w:hAnsi="Arial" w:cs="Arial"/>
        </w:rPr>
        <w:fldChar w:fldCharType="begin">
          <w:fldData xml:space="preserve">PEVuZE5vdGU+PENpdGU+PEF1dGhvcj5QYXJmaXR0PC9BdXRob3I+PFllYXI+MTk4MjwvWWVhcj48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PEVuZE5vdGU+PENpdGU+PEF1dGhvcj5QYXJmaXR0PC9BdXRob3I+PFllYXI+MTk4MjwvWWVhcj48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35EA8">
        <w:rPr>
          <w:rFonts w:ascii="Arial" w:hAnsi="Arial" w:cs="Arial"/>
        </w:rPr>
      </w:r>
      <w:r w:rsidR="00035EA8">
        <w:rPr>
          <w:rFonts w:ascii="Arial" w:hAnsi="Arial" w:cs="Arial"/>
        </w:rPr>
        <w:fldChar w:fldCharType="separate"/>
      </w:r>
      <w:r w:rsidR="005A347B">
        <w:rPr>
          <w:rFonts w:ascii="Arial" w:hAnsi="Arial" w:cs="Arial"/>
          <w:noProof/>
        </w:rPr>
        <w:t>(</w:t>
      </w:r>
      <w:hyperlink w:anchor="_ENREF_125" w:tooltip="Parfitt, 1982 #345" w:history="1">
        <w:r w:rsidR="003B725E">
          <w:rPr>
            <w:rFonts w:ascii="Arial" w:hAnsi="Arial" w:cs="Arial"/>
            <w:noProof/>
          </w:rPr>
          <w:t>125</w:t>
        </w:r>
      </w:hyperlink>
      <w:r w:rsidR="005A347B">
        <w:rPr>
          <w:rFonts w:ascii="Arial" w:hAnsi="Arial" w:cs="Arial"/>
          <w:noProof/>
        </w:rPr>
        <w:t xml:space="preserve">, </w:t>
      </w:r>
      <w:hyperlink w:anchor="_ENREF_126" w:tooltip="Eriksen, 1986 #203" w:history="1">
        <w:r w:rsidR="003B725E">
          <w:rPr>
            <w:rFonts w:ascii="Arial" w:hAnsi="Arial" w:cs="Arial"/>
            <w:noProof/>
          </w:rPr>
          <w:t>126</w:t>
        </w:r>
      </w:hyperlink>
      <w:r w:rsidR="005A347B">
        <w:rPr>
          <w:rFonts w:ascii="Arial" w:hAnsi="Arial" w:cs="Arial"/>
          <w:noProof/>
        </w:rPr>
        <w:t>)</w:t>
      </w:r>
      <w:r w:rsidR="00035EA8">
        <w:rPr>
          <w:rFonts w:ascii="Arial" w:hAnsi="Arial" w:cs="Arial"/>
        </w:rPr>
        <w:fldChar w:fldCharType="end"/>
      </w:r>
      <w:r w:rsidR="00C95BCD" w:rsidRPr="00197C7B">
        <w:rPr>
          <w:rFonts w:ascii="Arial" w:hAnsi="Arial" w:cs="Arial"/>
        </w:rPr>
        <w:t>.</w:t>
      </w:r>
      <w:r w:rsidR="00B43AC4" w:rsidRPr="00197C7B">
        <w:rPr>
          <w:rFonts w:ascii="Arial" w:hAnsi="Arial" w:cs="Arial"/>
        </w:rPr>
        <w:t xml:space="preserve"> It occurs </w:t>
      </w:r>
      <w:r w:rsidR="00DE6722" w:rsidRPr="00197C7B">
        <w:rPr>
          <w:rFonts w:ascii="Arial" w:hAnsi="Arial" w:cs="Arial"/>
        </w:rPr>
        <w:t xml:space="preserve">asynchronously </w:t>
      </w:r>
      <w:r w:rsidR="00B43AC4" w:rsidRPr="00197C7B">
        <w:rPr>
          <w:rFonts w:ascii="Arial" w:hAnsi="Arial" w:cs="Arial"/>
        </w:rPr>
        <w:t xml:space="preserve">throughout the skeleton </w:t>
      </w:r>
      <w:r w:rsidR="00B84D44" w:rsidRPr="00197C7B">
        <w:rPr>
          <w:rFonts w:ascii="Arial" w:hAnsi="Arial" w:cs="Arial"/>
        </w:rPr>
        <w:t>and at damaged areas that require repair</w:t>
      </w:r>
      <w:r w:rsidR="00DE6722" w:rsidRPr="00197C7B">
        <w:rPr>
          <w:rFonts w:ascii="Arial" w:hAnsi="Arial" w:cs="Arial"/>
        </w:rPr>
        <w:t>, at the basic multicellular units (BMUs)</w:t>
      </w:r>
      <w:r w:rsidR="00B43AC4" w:rsidRPr="00197C7B">
        <w:rPr>
          <w:rFonts w:ascii="Arial" w:hAnsi="Arial" w:cs="Arial"/>
        </w:rPr>
        <w:t>.</w:t>
      </w:r>
      <w:r w:rsidR="00357B10" w:rsidRPr="00197C7B">
        <w:rPr>
          <w:rFonts w:ascii="Arial" w:hAnsi="Arial" w:cs="Arial"/>
        </w:rPr>
        <w:t xml:space="preserve"> </w:t>
      </w:r>
    </w:p>
    <w:p w:rsidR="00452EE2" w:rsidRDefault="00DC3155" w:rsidP="003B725E">
      <w:pPr>
        <w:spacing w:before="240" w:line="360" w:lineRule="auto"/>
        <w:jc w:val="both"/>
        <w:rPr>
          <w:rFonts w:ascii="Arial" w:hAnsi="Arial" w:cs="Arial"/>
        </w:rPr>
      </w:pPr>
      <w:r w:rsidRPr="00197C7B">
        <w:rPr>
          <w:rFonts w:ascii="Arial" w:hAnsi="Arial" w:cs="Arial"/>
        </w:rPr>
        <w:t>Generally</w:t>
      </w:r>
      <w:r w:rsidR="00A720AE" w:rsidRPr="00197C7B">
        <w:rPr>
          <w:rFonts w:ascii="Arial" w:hAnsi="Arial" w:cs="Arial"/>
        </w:rPr>
        <w:t>,</w:t>
      </w:r>
      <w:r w:rsidRPr="00197C7B">
        <w:rPr>
          <w:rFonts w:ascii="Arial" w:hAnsi="Arial" w:cs="Arial"/>
        </w:rPr>
        <w:t xml:space="preserve"> the remodelling process consists of four </w:t>
      </w:r>
      <w:r w:rsidR="00A720AE" w:rsidRPr="00197C7B">
        <w:rPr>
          <w:rFonts w:ascii="Arial" w:hAnsi="Arial" w:cs="Arial"/>
        </w:rPr>
        <w:t xml:space="preserve">highly regulated </w:t>
      </w:r>
      <w:r w:rsidRPr="00197C7B">
        <w:rPr>
          <w:rFonts w:ascii="Arial" w:hAnsi="Arial" w:cs="Arial"/>
        </w:rPr>
        <w:t>phase</w:t>
      </w:r>
      <w:r w:rsidR="00E42765" w:rsidRPr="00197C7B">
        <w:rPr>
          <w:rFonts w:ascii="Arial" w:hAnsi="Arial" w:cs="Arial"/>
        </w:rPr>
        <w:t>s</w:t>
      </w:r>
      <w:r w:rsidR="00452EE2">
        <w:rPr>
          <w:rFonts w:ascii="Arial" w:hAnsi="Arial" w:cs="Arial"/>
        </w:rPr>
        <w:t>: 1) activation 2</w:t>
      </w:r>
      <w:r w:rsidRPr="00197C7B">
        <w:rPr>
          <w:rFonts w:ascii="Arial" w:hAnsi="Arial" w:cs="Arial"/>
        </w:rPr>
        <w:t>) r</w:t>
      </w:r>
      <w:r w:rsidR="00452EE2">
        <w:rPr>
          <w:rFonts w:ascii="Arial" w:hAnsi="Arial" w:cs="Arial"/>
        </w:rPr>
        <w:t>esorption 3) reversal and 4</w:t>
      </w:r>
      <w:r w:rsidR="00B9449D">
        <w:rPr>
          <w:rFonts w:ascii="Arial" w:hAnsi="Arial" w:cs="Arial"/>
        </w:rPr>
        <w:t xml:space="preserve">) </w:t>
      </w:r>
      <w:r w:rsidRPr="00197C7B">
        <w:rPr>
          <w:rFonts w:ascii="Arial" w:hAnsi="Arial" w:cs="Arial"/>
        </w:rPr>
        <w:t>formation</w:t>
      </w:r>
      <w:r w:rsidR="007D504C">
        <w:rPr>
          <w:rFonts w:ascii="Arial" w:hAnsi="Arial" w:cs="Arial"/>
        </w:rPr>
        <w:t>, (Figure 10</w:t>
      </w:r>
      <w:r w:rsidR="00452EE2">
        <w:rPr>
          <w:rFonts w:ascii="Arial" w:hAnsi="Arial" w:cs="Arial"/>
        </w:rPr>
        <w:t>)</w:t>
      </w:r>
      <w:r w:rsidRPr="00197C7B">
        <w:rPr>
          <w:rFonts w:ascii="Arial" w:hAnsi="Arial" w:cs="Arial"/>
        </w:rPr>
        <w:t>.</w:t>
      </w:r>
      <w:r w:rsidR="007859DB">
        <w:rPr>
          <w:rFonts w:ascii="Arial" w:hAnsi="Arial" w:cs="Arial"/>
        </w:rPr>
        <w:t xml:space="preserve"> The microdamage in the bone may first be detected by the os</w:t>
      </w:r>
      <w:r w:rsidR="009C10D3">
        <w:rPr>
          <w:rFonts w:ascii="Arial" w:hAnsi="Arial" w:cs="Arial"/>
        </w:rPr>
        <w:t>teocytes</w:t>
      </w:r>
      <w:r w:rsidR="00213D77">
        <w:rPr>
          <w:rFonts w:ascii="Arial" w:hAnsi="Arial" w:cs="Arial"/>
        </w:rPr>
        <w:t xml:space="preserve"> </w:t>
      </w:r>
      <w:r w:rsidR="00213D77">
        <w:rPr>
          <w:rFonts w:ascii="Arial" w:hAnsi="Arial" w:cs="Arial"/>
        </w:rPr>
        <w:fldChar w:fldCharType="begin"/>
      </w:r>
      <w:r w:rsidR="005A347B">
        <w:rPr>
          <w:rFonts w:ascii="Arial" w:hAnsi="Arial" w:cs="Arial"/>
        </w:rPr>
        <w:instrText xml:space="preserve"> ADDIN EN.CITE &lt;EndNote&gt;&lt;Cite&gt;&lt;Author&gt;Verborgt&lt;/Author&gt;&lt;Year&gt;2000&lt;/Year&gt;&lt;RecNum&gt;379&lt;/RecNum&gt;&lt;DisplayText&gt;(127)&lt;/DisplayText&gt;&lt;record&gt;&lt;rec-number&gt;379&lt;/rec-number&gt;&lt;foreign-keys&gt;&lt;key app="EN" db-id="p9a5ttsvyvde9me5aw2x05fp5p55axf0wr90" timestamp="1435762617"&gt;379&lt;/key&gt;&lt;/foreign-keys&gt;&lt;ref-type name="Journal Article"&gt;17&lt;/ref-type&gt;&lt;contributors&gt;&lt;authors&gt;&lt;author&gt;Verborgt, O.&lt;/author&gt;&lt;author&gt;Gibson, G. J.&lt;/author&gt;&lt;author&gt;Schaffler, M. B.&lt;/author&gt;&lt;/authors&gt;&lt;/contributors&gt;&lt;auth-address&gt;Department of Orthopaedics, Mount Sinai School of Medicine, New York, New York, USA.&lt;/auth-address&gt;&lt;titles&gt;&lt;title&gt;Loss of osteocyte integrity in association with microdamage and bone remodeling after fatigue in vivo&lt;/title&gt;&lt;secondary-title&gt;J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Research&lt;/abbr-1&gt;&lt;/periodical&gt;&lt;pages&gt;60-7&lt;/pages&gt;&lt;volume&gt;15&lt;/volume&gt;&lt;number&gt;1&lt;/number&gt;&lt;edition&gt;2000/01/26&lt;/edition&gt;&lt;keywords&gt;&lt;keyword&gt;Animals&lt;/keyword&gt;&lt;keyword&gt;Bone Remodeling&lt;/keyword&gt;&lt;keyword&gt;Female&lt;/keyword&gt;&lt;keyword&gt;In Situ Nick-End Labeling&lt;/keyword&gt;&lt;keyword&gt;Osteocytes/ pathology&lt;/keyword&gt;&lt;keyword&gt;Rats&lt;/keyword&gt;&lt;keyword&gt;Rats, Sprague-Dawley&lt;/keyword&gt;&lt;keyword&gt;Stress, Physiological/ pathology&lt;/keyword&gt;&lt;keyword&gt;Ulna/ pathology&lt;/keyword&gt;&lt;keyword&gt;Non-programmatic&lt;/keyword&gt;&lt;/keywords&gt;&lt;dates&gt;&lt;year&gt;2000&lt;/year&gt;&lt;pub-dates&gt;&lt;date&gt;Jan&lt;/date&gt;&lt;/pub-dates&gt;&lt;/dates&gt;&lt;isbn&gt;0884-0431 (Print)&amp;#xD;0884-0431 (Linking)&lt;/isbn&gt;&lt;accession-num&gt;10646115&lt;/accession-num&gt;&lt;urls&gt;&lt;/urls&gt;&lt;electronic-resource-num&gt;10.1359/jbmr.2000.15.1.60&lt;/electronic-resource-num&gt;&lt;remote-database-provider&gt;NLM&lt;/remote-database-provider&gt;&lt;language&gt;eng&lt;/language&gt;&lt;/record&gt;&lt;/Cite&gt;&lt;/EndNote&gt;</w:instrText>
      </w:r>
      <w:r w:rsidR="00213D77">
        <w:rPr>
          <w:rFonts w:ascii="Arial" w:hAnsi="Arial" w:cs="Arial"/>
        </w:rPr>
        <w:fldChar w:fldCharType="separate"/>
      </w:r>
      <w:r w:rsidR="005A347B">
        <w:rPr>
          <w:rFonts w:ascii="Arial" w:hAnsi="Arial" w:cs="Arial"/>
          <w:noProof/>
        </w:rPr>
        <w:t>(</w:t>
      </w:r>
      <w:hyperlink w:anchor="_ENREF_127" w:tooltip="Verborgt, 2000 #379" w:history="1">
        <w:r w:rsidR="003B725E">
          <w:rPr>
            <w:rFonts w:ascii="Arial" w:hAnsi="Arial" w:cs="Arial"/>
            <w:noProof/>
          </w:rPr>
          <w:t>127</w:t>
        </w:r>
      </w:hyperlink>
      <w:r w:rsidR="005A347B">
        <w:rPr>
          <w:rFonts w:ascii="Arial" w:hAnsi="Arial" w:cs="Arial"/>
          <w:noProof/>
        </w:rPr>
        <w:t>)</w:t>
      </w:r>
      <w:r w:rsidR="00213D77">
        <w:rPr>
          <w:rFonts w:ascii="Arial" w:hAnsi="Arial" w:cs="Arial"/>
        </w:rPr>
        <w:fldChar w:fldCharType="end"/>
      </w:r>
      <w:r w:rsidR="009C10D3">
        <w:rPr>
          <w:rFonts w:ascii="Arial" w:hAnsi="Arial" w:cs="Arial"/>
        </w:rPr>
        <w:t xml:space="preserve"> they may then send the signals to the lining cells causing them to retract from the bone surface and crea</w:t>
      </w:r>
      <w:r w:rsidR="00F24EF0">
        <w:rPr>
          <w:rFonts w:ascii="Arial" w:hAnsi="Arial" w:cs="Arial"/>
        </w:rPr>
        <w:t>te the BM</w:t>
      </w:r>
      <w:r w:rsidR="00B53F8A">
        <w:rPr>
          <w:rFonts w:ascii="Arial" w:hAnsi="Arial" w:cs="Arial"/>
        </w:rPr>
        <w:t xml:space="preserve">U </w:t>
      </w:r>
      <w:r w:rsidR="00213D77">
        <w:rPr>
          <w:rFonts w:ascii="Arial" w:hAnsi="Arial" w:cs="Arial"/>
        </w:rPr>
        <w:fldChar w:fldCharType="begin"/>
      </w:r>
      <w:r w:rsidR="005A347B">
        <w:rPr>
          <w:rFonts w:ascii="Arial" w:hAnsi="Arial" w:cs="Arial"/>
        </w:rPr>
        <w:instrText xml:space="preserve"> ADDIN EN.CITE &lt;EndNote&gt;&lt;Cite&gt;&lt;Author&gt;Bellido&lt;/Author&gt;&lt;Year&gt;2014&lt;/Year&gt;&lt;RecNum&gt;281&lt;/RecNum&gt;&lt;DisplayText&gt;(128)&lt;/DisplayText&gt;&lt;record&gt;&lt;rec-number&gt;281&lt;/rec-number&gt;&lt;foreign-keys&gt;&lt;key app="EN" db-id="p9a5ttsvyvde9me5aw2x05fp5p55axf0wr90" timestamp="1431342687"&gt;281&lt;/key&gt;&lt;/foreign-keys&gt;&lt;ref-type name="Journal Article"&gt;17&lt;/ref-type&gt;&lt;contributors&gt;&lt;authors&gt;&lt;author&gt;Bellido, T.&lt;/author&gt;&lt;/authors&gt;&lt;/contributors&gt;&lt;auth-address&gt;Department of Anatomy and Cell Biology, Indiana University School of Medicine, 635 Barnhill Drive, MS5035, Indianapolis, IN, 46202, USA, tbellido@iupui.edu.&lt;/auth-address&gt;&lt;titles&gt;&lt;title&gt;Osteocyte-driven bone remodeling&lt;/title&gt;&lt;secondary-title&gt;Calcif Tissue Int&lt;/secondary-title&gt;&lt;/titles&gt;&lt;periodical&gt;&lt;full-title&gt;Calcif Tissue Int&lt;/full-title&gt;&lt;abbr-1&gt;Calcified tissue international&lt;/abbr-1&gt;&lt;/periodical&gt;&lt;pages&gt;25-34&lt;/pages&gt;&lt;volume&gt;94&lt;/volume&gt;&lt;number&gt;1&lt;/number&gt;&lt;edition&gt;2013/09/05&lt;/edition&gt;&lt;keywords&gt;&lt;keyword&gt;Animals&lt;/keyword&gt;&lt;keyword&gt;Bone Remodeling/ physiology&lt;/keyword&gt;&lt;keyword&gt;Bone and Bones/cytology/ metabolism&lt;/keyword&gt;&lt;keyword&gt;Cell Differentiation/physiology&lt;/keyword&gt;&lt;keyword&gt;Humans&lt;/keyword&gt;&lt;keyword&gt;Osteoclasts/metabolism&lt;/keyword&gt;&lt;keyword&gt;Osteocytes/ metabolism&lt;/keyword&gt;&lt;keyword&gt;Osteogenesis/physiology&lt;/keyword&gt;&lt;/keywords&gt;&lt;dates&gt;&lt;year&gt;2014&lt;/year&gt;&lt;pub-dates&gt;&lt;date&gt;Jan&lt;/date&gt;&lt;/pub-dates&gt;&lt;/dates&gt;&lt;isbn&gt;1432-0827 (Electronic)&amp;#xD;0171-967X (Linking)&lt;/isbn&gt;&lt;accession-num&gt;24002178&lt;/accession-num&gt;&lt;urls&gt;&lt;/urls&gt;&lt;custom2&gt;PMC3947228&lt;/custom2&gt;&lt;custom6&gt;Nihms521214&lt;/custom6&gt;&lt;electronic-resource-num&gt;10.1007/s00223-013-9774-y&lt;/electronic-resource-num&gt;&lt;remote-database-provider&gt;NLM&lt;/remote-database-provider&gt;&lt;language&gt;eng&lt;/language&gt;&lt;/record&gt;&lt;/Cite&gt;&lt;/EndNote&gt;</w:instrText>
      </w:r>
      <w:r w:rsidR="00213D77">
        <w:rPr>
          <w:rFonts w:ascii="Arial" w:hAnsi="Arial" w:cs="Arial"/>
        </w:rPr>
        <w:fldChar w:fldCharType="separate"/>
      </w:r>
      <w:r w:rsidR="005A347B">
        <w:rPr>
          <w:rFonts w:ascii="Arial" w:hAnsi="Arial" w:cs="Arial"/>
          <w:noProof/>
        </w:rPr>
        <w:t>(</w:t>
      </w:r>
      <w:hyperlink w:anchor="_ENREF_128" w:tooltip="Bellido, 2014 #281" w:history="1">
        <w:r w:rsidR="003B725E">
          <w:rPr>
            <w:rFonts w:ascii="Arial" w:hAnsi="Arial" w:cs="Arial"/>
            <w:noProof/>
          </w:rPr>
          <w:t>128</w:t>
        </w:r>
      </w:hyperlink>
      <w:r w:rsidR="005A347B">
        <w:rPr>
          <w:rFonts w:ascii="Arial" w:hAnsi="Arial" w:cs="Arial"/>
          <w:noProof/>
        </w:rPr>
        <w:t>)</w:t>
      </w:r>
      <w:r w:rsidR="00213D77">
        <w:rPr>
          <w:rFonts w:ascii="Arial" w:hAnsi="Arial" w:cs="Arial"/>
        </w:rPr>
        <w:fldChar w:fldCharType="end"/>
      </w:r>
      <w:r w:rsidR="00B53F8A">
        <w:rPr>
          <w:rFonts w:ascii="Arial" w:hAnsi="Arial" w:cs="Arial"/>
        </w:rPr>
        <w:t>, (Figure 10</w:t>
      </w:r>
      <w:r w:rsidR="009C10D3">
        <w:rPr>
          <w:rFonts w:ascii="Arial" w:hAnsi="Arial" w:cs="Arial"/>
        </w:rPr>
        <w:t>)</w:t>
      </w:r>
      <w:r w:rsidR="007859DB">
        <w:rPr>
          <w:rFonts w:ascii="Arial" w:hAnsi="Arial" w:cs="Arial"/>
        </w:rPr>
        <w:t>.</w:t>
      </w:r>
      <w:r w:rsidRPr="00197C7B">
        <w:rPr>
          <w:rFonts w:ascii="Arial" w:hAnsi="Arial" w:cs="Arial"/>
        </w:rPr>
        <w:t xml:space="preserve"> </w:t>
      </w:r>
      <w:r w:rsidR="00E42765" w:rsidRPr="00197C7B">
        <w:rPr>
          <w:rFonts w:ascii="Arial" w:hAnsi="Arial" w:cs="Arial"/>
        </w:rPr>
        <w:t>Activation is the recruitment of the osteoclast precursor cells from the m</w:t>
      </w:r>
      <w:r w:rsidR="00DE6722" w:rsidRPr="00197C7B">
        <w:rPr>
          <w:rFonts w:ascii="Arial" w:hAnsi="Arial" w:cs="Arial"/>
        </w:rPr>
        <w:t>o</w:t>
      </w:r>
      <w:r w:rsidR="00A720AE" w:rsidRPr="00197C7B">
        <w:rPr>
          <w:rFonts w:ascii="Arial" w:hAnsi="Arial" w:cs="Arial"/>
        </w:rPr>
        <w:t xml:space="preserve">nocyte/macrophage cell lineage in the peripheral circulation to the site requiring </w:t>
      </w:r>
      <w:r w:rsidR="00A720AE" w:rsidRPr="00197C7B">
        <w:rPr>
          <w:rFonts w:ascii="Arial" w:hAnsi="Arial" w:cs="Arial"/>
        </w:rPr>
        <w:lastRenderedPageBreak/>
        <w:t xml:space="preserve">resorption. Chemotactic factors are released from this damaged site and this may be the trigger that attracts the osteoclasts to it. In response to RANKL, M-CSF and other essential molecules the osteoclast precursor </w:t>
      </w:r>
      <w:r w:rsidR="009F1DA5" w:rsidRPr="00197C7B">
        <w:rPr>
          <w:rFonts w:ascii="Arial" w:hAnsi="Arial" w:cs="Arial"/>
        </w:rPr>
        <w:t xml:space="preserve">cells </w:t>
      </w:r>
      <w:r w:rsidR="00A720AE" w:rsidRPr="00197C7B">
        <w:rPr>
          <w:rFonts w:ascii="Arial" w:hAnsi="Arial" w:cs="Arial"/>
        </w:rPr>
        <w:t xml:space="preserve">proliferate and differentiate in to mature osteoclasts. They remove the quiescent lining cells </w:t>
      </w:r>
      <w:r w:rsidR="00197C7B">
        <w:rPr>
          <w:rFonts w:ascii="Arial" w:hAnsi="Arial" w:cs="Arial"/>
        </w:rPr>
        <w:fldChar w:fldCharType="begin">
          <w:fldData xml:space="preserve">PEVuZE5vdGU+PENpdGU+PEF1dGhvcj5IYXVnZTwvQXV0aG9yPjxZZWFyPjIwMDE8L1llYXI+PFJl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YWw+PHBhZ2VzPjE1NzUtODI8L3BhZ2VzPjx2b2x1bWU+MTY8L3ZvbHVtZT48bnVtYmVyPjk8L251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PEVuZE5vdGU+PENpdGU+PEF1dGhvcj5IYXVnZTwvQXV0aG9yPjxZZWFyPjIwMDE8L1llYXI+PFJl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YWw+PHBhZ2VzPjE1NzUtODI8L3BhZ2VzPjx2b2x1bWU+MTY8L3ZvbHVtZT48bnVtYmVyPjk8L251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197C7B">
        <w:rPr>
          <w:rFonts w:ascii="Arial" w:hAnsi="Arial" w:cs="Arial"/>
        </w:rPr>
      </w:r>
      <w:r w:rsidR="00197C7B">
        <w:rPr>
          <w:rFonts w:ascii="Arial" w:hAnsi="Arial" w:cs="Arial"/>
        </w:rPr>
        <w:fldChar w:fldCharType="separate"/>
      </w:r>
      <w:r w:rsidR="005A347B">
        <w:rPr>
          <w:rFonts w:ascii="Arial" w:hAnsi="Arial" w:cs="Arial"/>
          <w:noProof/>
        </w:rPr>
        <w:t>(</w:t>
      </w:r>
      <w:hyperlink w:anchor="_ENREF_129" w:tooltip="Hauge, 2001 #94" w:history="1">
        <w:r w:rsidR="003B725E">
          <w:rPr>
            <w:rFonts w:ascii="Arial" w:hAnsi="Arial" w:cs="Arial"/>
            <w:noProof/>
          </w:rPr>
          <w:t>129</w:t>
        </w:r>
      </w:hyperlink>
      <w:r w:rsidR="005A347B">
        <w:rPr>
          <w:rFonts w:ascii="Arial" w:hAnsi="Arial" w:cs="Arial"/>
          <w:noProof/>
        </w:rPr>
        <w:t>)</w:t>
      </w:r>
      <w:r w:rsidR="00197C7B">
        <w:rPr>
          <w:rFonts w:ascii="Arial" w:hAnsi="Arial" w:cs="Arial"/>
        </w:rPr>
        <w:fldChar w:fldCharType="end"/>
      </w:r>
      <w:r w:rsidR="00DE0A6C" w:rsidRPr="00197C7B">
        <w:rPr>
          <w:rFonts w:ascii="Arial" w:hAnsi="Arial" w:cs="Arial"/>
        </w:rPr>
        <w:t xml:space="preserve"> </w:t>
      </w:r>
      <w:r w:rsidR="00A720AE" w:rsidRPr="00197C7B">
        <w:rPr>
          <w:rFonts w:ascii="Arial" w:hAnsi="Arial" w:cs="Arial"/>
        </w:rPr>
        <w:t xml:space="preserve">and attach to the bone surface via sealing zones. </w:t>
      </w:r>
      <w:r w:rsidR="00027A35" w:rsidRPr="00197C7B">
        <w:rPr>
          <w:rFonts w:ascii="Arial" w:hAnsi="Arial" w:cs="Arial"/>
        </w:rPr>
        <w:t xml:space="preserve">Bone resorption then follows </w:t>
      </w:r>
      <w:r w:rsidR="00DE4089">
        <w:rPr>
          <w:rFonts w:ascii="Arial" w:hAnsi="Arial" w:cs="Arial"/>
        </w:rPr>
        <w:t>and once completed</w:t>
      </w:r>
      <w:r w:rsidR="00027A35" w:rsidRPr="00197C7B">
        <w:rPr>
          <w:rFonts w:ascii="Arial" w:hAnsi="Arial" w:cs="Arial"/>
        </w:rPr>
        <w:t xml:space="preserve"> the osteoclasts undergo apoptosis</w:t>
      </w:r>
      <w:r w:rsidR="00197C7B">
        <w:rPr>
          <w:rFonts w:ascii="Arial" w:hAnsi="Arial" w:cs="Arial"/>
        </w:rPr>
        <w:t xml:space="preserve">. </w:t>
      </w:r>
      <w:r w:rsidR="00A946B7" w:rsidRPr="00197C7B">
        <w:rPr>
          <w:rFonts w:ascii="Arial" w:hAnsi="Arial" w:cs="Arial"/>
        </w:rPr>
        <w:t>The reversal phase is the transition from bone resorption to formation. The formed resorbed cavity contains monocytes, osteocytes and osteoblast precursor cells in preparation for new bone formation.</w:t>
      </w:r>
      <w:r w:rsidR="004E726E" w:rsidRPr="00197C7B">
        <w:rPr>
          <w:rFonts w:ascii="Arial" w:hAnsi="Arial" w:cs="Arial"/>
        </w:rPr>
        <w:t xml:space="preserve"> Osteoclasts and osteoblasts are activated in sequence and this may be mediated by a strain gradient being formed during the reversal phase</w:t>
      </w:r>
      <w:r w:rsidR="0006555A">
        <w:rPr>
          <w:rFonts w:ascii="Arial" w:hAnsi="Arial" w:cs="Arial"/>
        </w:rPr>
        <w:t xml:space="preserve"> </w:t>
      </w:r>
      <w:r w:rsidR="0006555A">
        <w:rPr>
          <w:rFonts w:ascii="Arial" w:hAnsi="Arial" w:cs="Arial"/>
        </w:rPr>
        <w:fldChar w:fldCharType="begin">
          <w:fldData xml:space="preserve">PEVuZE5vdGU+PENpdGU+PEF1dGhvcj5TbWl0PC9BdXRob3I+PFllYXI+MjAwMjwvWWVhcj48UmVj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UmVzZWFyY2g8L2FiYnItMT48L2FsdC1wZXJpb2RpY2FsPjxwYWdlcz4yMDIxLTk8L3BhZ2VzPjx2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PEVuZE5vdGU+PENpdGU+PEF1dGhvcj5TbWl0PC9BdXRob3I+PFllYXI+MjAwMjwvWWVhcj48UmVj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UmVzZWFyY2g8L2FiYnItMT48L2FsdC1wZXJpb2RpY2FsPjxwYWdlcz4yMDIxLTk8L3BhZ2VzPjx2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6555A">
        <w:rPr>
          <w:rFonts w:ascii="Arial" w:hAnsi="Arial" w:cs="Arial"/>
        </w:rPr>
      </w:r>
      <w:r w:rsidR="0006555A">
        <w:rPr>
          <w:rFonts w:ascii="Arial" w:hAnsi="Arial" w:cs="Arial"/>
        </w:rPr>
        <w:fldChar w:fldCharType="separate"/>
      </w:r>
      <w:r w:rsidR="005A347B">
        <w:rPr>
          <w:rFonts w:ascii="Arial" w:hAnsi="Arial" w:cs="Arial"/>
          <w:noProof/>
        </w:rPr>
        <w:t>(</w:t>
      </w:r>
      <w:hyperlink w:anchor="_ENREF_130" w:tooltip="Smit, 2002 #95" w:history="1">
        <w:r w:rsidR="003B725E">
          <w:rPr>
            <w:rFonts w:ascii="Arial" w:hAnsi="Arial" w:cs="Arial"/>
            <w:noProof/>
          </w:rPr>
          <w:t>130</w:t>
        </w:r>
      </w:hyperlink>
      <w:r w:rsidR="005A347B">
        <w:rPr>
          <w:rFonts w:ascii="Arial" w:hAnsi="Arial" w:cs="Arial"/>
          <w:noProof/>
        </w:rPr>
        <w:t>)</w:t>
      </w:r>
      <w:r w:rsidR="0006555A">
        <w:rPr>
          <w:rFonts w:ascii="Arial" w:hAnsi="Arial" w:cs="Arial"/>
        </w:rPr>
        <w:fldChar w:fldCharType="end"/>
      </w:r>
      <w:r w:rsidR="0006555A">
        <w:rPr>
          <w:rFonts w:ascii="Arial" w:hAnsi="Arial" w:cs="Arial"/>
        </w:rPr>
        <w:t xml:space="preserve">. </w:t>
      </w:r>
      <w:r w:rsidR="00DE0A6C" w:rsidRPr="00197C7B">
        <w:rPr>
          <w:rFonts w:ascii="Arial" w:hAnsi="Arial" w:cs="Arial"/>
        </w:rPr>
        <w:t>Bone formation by osteoblasts then</w:t>
      </w:r>
      <w:r w:rsidR="00DE4089">
        <w:rPr>
          <w:rFonts w:ascii="Arial" w:hAnsi="Arial" w:cs="Arial"/>
        </w:rPr>
        <w:t xml:space="preserve"> follows</w:t>
      </w:r>
      <w:r w:rsidR="00DE0A6C" w:rsidRPr="00197C7B">
        <w:rPr>
          <w:rFonts w:ascii="Arial" w:hAnsi="Arial" w:cs="Arial"/>
        </w:rPr>
        <w:t xml:space="preserve">. The osteoblasts synthesise and regulate new bone matrix, by producing enzymes which degrade the mineralisation inhibitors such as </w:t>
      </w:r>
      <w:r w:rsidR="00AD64B9" w:rsidRPr="00197C7B">
        <w:rPr>
          <w:rFonts w:ascii="Arial" w:hAnsi="Arial" w:cs="Arial"/>
        </w:rPr>
        <w:t>pyrophosphates</w:t>
      </w:r>
      <w:r w:rsidR="00DE0A6C" w:rsidRPr="00197C7B">
        <w:rPr>
          <w:rFonts w:ascii="Arial" w:hAnsi="Arial" w:cs="Arial"/>
        </w:rPr>
        <w:t xml:space="preserve"> or proteoglycans. The new </w:t>
      </w:r>
      <w:r w:rsidR="00AD64B9" w:rsidRPr="00197C7B">
        <w:rPr>
          <w:rFonts w:ascii="Arial" w:hAnsi="Arial" w:cs="Arial"/>
        </w:rPr>
        <w:t>osteoid</w:t>
      </w:r>
      <w:r w:rsidR="00DE0A6C" w:rsidRPr="00197C7B">
        <w:rPr>
          <w:rFonts w:ascii="Arial" w:hAnsi="Arial" w:cs="Arial"/>
        </w:rPr>
        <w:t xml:space="preserve"> is the</w:t>
      </w:r>
      <w:r w:rsidR="003951FB" w:rsidRPr="00197C7B">
        <w:rPr>
          <w:rFonts w:ascii="Arial" w:hAnsi="Arial" w:cs="Arial"/>
        </w:rPr>
        <w:t>n</w:t>
      </w:r>
      <w:r w:rsidR="00DE0A6C" w:rsidRPr="00197C7B">
        <w:rPr>
          <w:rFonts w:ascii="Arial" w:hAnsi="Arial" w:cs="Arial"/>
        </w:rPr>
        <w:t xml:space="preserve"> formed and </w:t>
      </w:r>
      <w:r w:rsidR="00197C7B">
        <w:rPr>
          <w:rFonts w:ascii="Arial" w:hAnsi="Arial" w:cs="Arial"/>
        </w:rPr>
        <w:t>bone remodelling cycle is complete.</w:t>
      </w:r>
    </w:p>
    <w:p w:rsidR="003E6719" w:rsidRDefault="003E6719" w:rsidP="003E6719">
      <w:pPr>
        <w:spacing w:before="240" w:line="360" w:lineRule="auto"/>
        <w:jc w:val="both"/>
        <w:rPr>
          <w:rFonts w:ascii="Arial" w:hAnsi="Arial" w:cs="Arial"/>
        </w:rPr>
      </w:pPr>
      <w:r>
        <w:rPr>
          <w:rFonts w:ascii="Arial" w:hAnsi="Arial" w:cs="Arial"/>
          <w:noProof/>
          <w:lang w:eastAsia="zh-CN"/>
        </w:rPr>
        <mc:AlternateContent>
          <mc:Choice Requires="wps">
            <w:drawing>
              <wp:anchor distT="0" distB="0" distL="114300" distR="114300" simplePos="0" relativeHeight="253469184" behindDoc="0" locked="0" layoutInCell="1" allowOverlap="1" wp14:anchorId="66FF66C7" wp14:editId="6F16CAC3">
                <wp:simplePos x="0" y="0"/>
                <wp:positionH relativeFrom="column">
                  <wp:posOffset>283845</wp:posOffset>
                </wp:positionH>
                <wp:positionV relativeFrom="paragraph">
                  <wp:posOffset>213995</wp:posOffset>
                </wp:positionV>
                <wp:extent cx="4772025" cy="3686175"/>
                <wp:effectExtent l="0" t="0" r="28575" b="28575"/>
                <wp:wrapNone/>
                <wp:docPr id="218" name="Rectangle 218"/>
                <wp:cNvGraphicFramePr/>
                <a:graphic xmlns:a="http://schemas.openxmlformats.org/drawingml/2006/main">
                  <a:graphicData uri="http://schemas.microsoft.com/office/word/2010/wordprocessingShape">
                    <wps:wsp>
                      <wps:cNvSpPr/>
                      <wps:spPr>
                        <a:xfrm>
                          <a:off x="0" y="0"/>
                          <a:ext cx="4772025" cy="36861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85177" id="Rectangle 218" o:spid="_x0000_s1026" style="position:absolute;margin-left:22.35pt;margin-top:16.85pt;width:375.75pt;height:290.25pt;z-index:2534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" filled="f" strokecolor="black [3213]"/>
            </w:pict>
          </mc:Fallback>
        </mc:AlternateContent>
      </w:r>
    </w:p>
    <w:p w:rsidR="00452EE2" w:rsidRDefault="00A729DD" w:rsidP="00900F2C">
      <w:pPr>
        <w:spacing w:line="360" w:lineRule="auto"/>
        <w:rPr>
          <w:rFonts w:ascii="Arial" w:hAnsi="Arial" w:cs="Arial"/>
        </w:rPr>
      </w:pPr>
      <w:r w:rsidRPr="00452EE2">
        <w:rPr>
          <w:rFonts w:ascii="Arial" w:hAnsi="Arial" w:cs="Arial"/>
          <w:noProof/>
          <w:lang w:eastAsia="zh-CN"/>
        </w:rPr>
        <mc:AlternateContent>
          <mc:Choice Requires="wps">
            <w:drawing>
              <wp:anchor distT="45720" distB="45720" distL="114300" distR="114300" simplePos="0" relativeHeight="250557952" behindDoc="0" locked="0" layoutInCell="1" allowOverlap="1" wp14:anchorId="35EBDA52" wp14:editId="34233ACE">
                <wp:simplePos x="0" y="0"/>
                <wp:positionH relativeFrom="column">
                  <wp:posOffset>1304290</wp:posOffset>
                </wp:positionH>
                <wp:positionV relativeFrom="paragraph">
                  <wp:posOffset>34290</wp:posOffset>
                </wp:positionV>
                <wp:extent cx="2790825" cy="280035"/>
                <wp:effectExtent l="0" t="0" r="9525" b="5715"/>
                <wp:wrapSquare wrapText="bothSides"/>
                <wp:docPr id="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280035"/>
                        </a:xfrm>
                        <a:prstGeom prst="rect">
                          <a:avLst/>
                        </a:prstGeom>
                        <a:solidFill>
                          <a:srgbClr val="FFFFFF"/>
                        </a:solidFill>
                        <a:ln w="9525">
                          <a:noFill/>
                          <a:miter lim="800000"/>
                          <a:headEnd/>
                          <a:tailEnd/>
                        </a:ln>
                      </wps:spPr>
                      <wps:txbx>
                        <w:txbxContent>
                          <w:p w:rsidR="004166BC" w:rsidRPr="009D7D8C" w:rsidRDefault="004166BC" w:rsidP="00A729DD">
                            <w:pPr>
                              <w:jc w:val="center"/>
                              <w:rPr>
                                <w:rFonts w:ascii="Arial" w:hAnsi="Arial" w:cs="Arial"/>
                                <w:b/>
                              </w:rPr>
                            </w:pPr>
                            <w:r w:rsidRPr="009D7D8C">
                              <w:rPr>
                                <w:rFonts w:ascii="Arial" w:hAnsi="Arial" w:cs="Arial"/>
                                <w:b/>
                              </w:rPr>
                              <w:t>Bone remodelling process: Normal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BDA52" id="_x0000_s1076" type="#_x0000_t202" style="position:absolute;margin-left:102.7pt;margin-top:2.7pt;width:219.75pt;height:22.05pt;z-index:2505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0LJAIAACU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" stroked="f">
                <v:textbox>
                  <w:txbxContent>
                    <w:p w:rsidR="004166BC" w:rsidRPr="009D7D8C" w:rsidRDefault="004166BC" w:rsidP="00A729DD">
                      <w:pPr>
                        <w:jc w:val="center"/>
                        <w:rPr>
                          <w:rFonts w:ascii="Arial" w:hAnsi="Arial" w:cs="Arial"/>
                          <w:b/>
                        </w:rPr>
                      </w:pPr>
                      <w:r w:rsidRPr="009D7D8C">
                        <w:rPr>
                          <w:rFonts w:ascii="Arial" w:hAnsi="Arial" w:cs="Arial"/>
                          <w:b/>
                        </w:rPr>
                        <w:t>Bone remodelling process: Normal</w:t>
                      </w:r>
                    </w:p>
                  </w:txbxContent>
                </v:textbox>
                <w10:wrap type="square"/>
              </v:shape>
            </w:pict>
          </mc:Fallback>
        </mc:AlternateContent>
      </w:r>
    </w:p>
    <w:p w:rsidR="00452EE2" w:rsidRPr="00197C7B" w:rsidRDefault="00A729DD" w:rsidP="009D3BB6">
      <w:pPr>
        <w:spacing w:line="360" w:lineRule="auto"/>
        <w:jc w:val="center"/>
        <w:rPr>
          <w:rFonts w:ascii="Arial" w:hAnsi="Arial" w:cs="Arial"/>
        </w:rPr>
      </w:pPr>
      <w:r>
        <w:rPr>
          <w:rFonts w:ascii="Arial" w:hAnsi="Arial" w:cs="Arial"/>
          <w:noProof/>
          <w:lang w:eastAsia="zh-CN"/>
        </w:rPr>
        <mc:AlternateContent>
          <mc:Choice Requires="wps">
            <w:drawing>
              <wp:anchor distT="0" distB="0" distL="114300" distR="114300" simplePos="0" relativeHeight="252951040" behindDoc="0" locked="0" layoutInCell="1" allowOverlap="1" wp14:anchorId="4693C175" wp14:editId="2D71906E">
                <wp:simplePos x="0" y="0"/>
                <wp:positionH relativeFrom="column">
                  <wp:posOffset>3407410</wp:posOffset>
                </wp:positionH>
                <wp:positionV relativeFrom="paragraph">
                  <wp:posOffset>1478915</wp:posOffset>
                </wp:positionV>
                <wp:extent cx="918260" cy="205314"/>
                <wp:effectExtent l="0" t="0" r="0" b="4445"/>
                <wp:wrapNone/>
                <wp:docPr id="211" name="Freeform 211"/>
                <wp:cNvGraphicFramePr/>
                <a:graphic xmlns:a="http://schemas.openxmlformats.org/drawingml/2006/main">
                  <a:graphicData uri="http://schemas.microsoft.com/office/word/2010/wordprocessingShape">
                    <wps:wsp>
                      <wps:cNvSpPr/>
                      <wps:spPr>
                        <a:xfrm>
                          <a:off x="0" y="0"/>
                          <a:ext cx="918260" cy="205314"/>
                        </a:xfrm>
                        <a:custGeom>
                          <a:avLst/>
                          <a:gdLst>
                            <a:gd name="connsiteX0" fmla="*/ 50 w 918260"/>
                            <a:gd name="connsiteY0" fmla="*/ 81489 h 205314"/>
                            <a:gd name="connsiteX1" fmla="*/ 47675 w 918260"/>
                            <a:gd name="connsiteY1" fmla="*/ 110064 h 205314"/>
                            <a:gd name="connsiteX2" fmla="*/ 200075 w 918260"/>
                            <a:gd name="connsiteY2" fmla="*/ 138639 h 205314"/>
                            <a:gd name="connsiteX3" fmla="*/ 257225 w 918260"/>
                            <a:gd name="connsiteY3" fmla="*/ 157689 h 205314"/>
                            <a:gd name="connsiteX4" fmla="*/ 314375 w 918260"/>
                            <a:gd name="connsiteY4" fmla="*/ 186264 h 205314"/>
                            <a:gd name="connsiteX5" fmla="*/ 495350 w 918260"/>
                            <a:gd name="connsiteY5" fmla="*/ 205314 h 205314"/>
                            <a:gd name="connsiteX6" fmla="*/ 542975 w 918260"/>
                            <a:gd name="connsiteY6" fmla="*/ 195789 h 205314"/>
                            <a:gd name="connsiteX7" fmla="*/ 552500 w 918260"/>
                            <a:gd name="connsiteY7" fmla="*/ 167214 h 205314"/>
                            <a:gd name="connsiteX8" fmla="*/ 685850 w 918260"/>
                            <a:gd name="connsiteY8" fmla="*/ 157689 h 205314"/>
                            <a:gd name="connsiteX9" fmla="*/ 771575 w 918260"/>
                            <a:gd name="connsiteY9" fmla="*/ 110064 h 205314"/>
                            <a:gd name="connsiteX10" fmla="*/ 885875 w 918260"/>
                            <a:gd name="connsiteY10" fmla="*/ 100539 h 205314"/>
                            <a:gd name="connsiteX11" fmla="*/ 885875 w 918260"/>
                            <a:gd name="connsiteY11" fmla="*/ 43389 h 205314"/>
                            <a:gd name="connsiteX12" fmla="*/ 533450 w 918260"/>
                            <a:gd name="connsiteY12" fmla="*/ 33864 h 205314"/>
                            <a:gd name="connsiteX13" fmla="*/ 47675 w 918260"/>
                            <a:gd name="connsiteY13" fmla="*/ 33864 h 205314"/>
                            <a:gd name="connsiteX14" fmla="*/ 38150 w 918260"/>
                            <a:gd name="connsiteY14" fmla="*/ 62439 h 205314"/>
                            <a:gd name="connsiteX15" fmla="*/ 50 w 918260"/>
                            <a:gd name="connsiteY15" fmla="*/ 81489 h 205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918260" h="205314">
                              <a:moveTo>
                                <a:pt x="50" y="81489"/>
                              </a:moveTo>
                              <a:cubicBezTo>
                                <a:pt x="1638" y="89427"/>
                                <a:pt x="30396" y="103418"/>
                                <a:pt x="47675" y="110064"/>
                              </a:cubicBezTo>
                              <a:cubicBezTo>
                                <a:pt x="96321" y="128774"/>
                                <a:pt x="149114" y="132269"/>
                                <a:pt x="200075" y="138639"/>
                              </a:cubicBezTo>
                              <a:cubicBezTo>
                                <a:pt x="219125" y="144989"/>
                                <a:pt x="240517" y="146550"/>
                                <a:pt x="257225" y="157689"/>
                              </a:cubicBezTo>
                              <a:cubicBezTo>
                                <a:pt x="280103" y="172941"/>
                                <a:pt x="287263" y="181335"/>
                                <a:pt x="314375" y="186264"/>
                              </a:cubicBezTo>
                              <a:cubicBezTo>
                                <a:pt x="355999" y="193832"/>
                                <a:pt x="460125" y="202112"/>
                                <a:pt x="495350" y="205314"/>
                              </a:cubicBezTo>
                              <a:cubicBezTo>
                                <a:pt x="511225" y="202139"/>
                                <a:pt x="529505" y="204769"/>
                                <a:pt x="542975" y="195789"/>
                              </a:cubicBezTo>
                              <a:cubicBezTo>
                                <a:pt x="551329" y="190220"/>
                                <a:pt x="542799" y="169801"/>
                                <a:pt x="552500" y="167214"/>
                              </a:cubicBezTo>
                              <a:cubicBezTo>
                                <a:pt x="595559" y="155732"/>
                                <a:pt x="641400" y="160864"/>
                                <a:pt x="685850" y="157689"/>
                              </a:cubicBezTo>
                              <a:cubicBezTo>
                                <a:pt x="708345" y="142692"/>
                                <a:pt x="740140" y="114255"/>
                                <a:pt x="771575" y="110064"/>
                              </a:cubicBezTo>
                              <a:cubicBezTo>
                                <a:pt x="809472" y="105011"/>
                                <a:pt x="847775" y="103714"/>
                                <a:pt x="885875" y="100539"/>
                              </a:cubicBezTo>
                              <a:cubicBezTo>
                                <a:pt x="892802" y="93612"/>
                                <a:pt x="955148" y="50316"/>
                                <a:pt x="885875" y="43389"/>
                              </a:cubicBezTo>
                              <a:cubicBezTo>
                                <a:pt x="768940" y="31696"/>
                                <a:pt x="650925" y="37039"/>
                                <a:pt x="533450" y="33864"/>
                              </a:cubicBezTo>
                              <a:cubicBezTo>
                                <a:pt x="364773" y="-22362"/>
                                <a:pt x="446455" y="1311"/>
                                <a:pt x="47675" y="33864"/>
                              </a:cubicBezTo>
                              <a:cubicBezTo>
                                <a:pt x="37668" y="34681"/>
                                <a:pt x="40908" y="52785"/>
                                <a:pt x="38150" y="62439"/>
                              </a:cubicBezTo>
                              <a:cubicBezTo>
                                <a:pt x="34554" y="75026"/>
                                <a:pt x="-1538" y="73551"/>
                                <a:pt x="50" y="81489"/>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D6D8AB" id="Freeform 211" o:spid="_x0000_s1026" style="position:absolute;margin-left:268.3pt;margin-top:116.45pt;width:72.3pt;height:16.15pt;z-index:252951040;visibility:visible;mso-wrap-style:square;mso-wrap-distance-left:9pt;mso-wrap-distance-top:0;mso-wrap-distance-right:9pt;mso-wrap-distance-bottom:0;mso-position-horizontal:absolute;mso-position-horizontal-relative:text;mso-position-vertical:absolute;mso-position-vertical-relative:text;v-text-anchor:middle" coordsize="918260,205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" path="m50,81489v1588,7938,30346,21929,47625,28575c96321,128774,149114,132269,200075,138639v19050,6350,40442,7911,57150,19050c280103,172941,287263,181335,314375,186264v41624,7568,145750,15848,180975,19050c511225,202139,529505,204769,542975,195789v8354,-5569,-176,-25988,9525,-28575c595559,155732,641400,160864,685850,157689v22495,-14997,54290,-43434,85725,-47625c809472,105011,847775,103714,885875,100539v6927,-6927,69273,-50223,,-57150c768940,31696,650925,37039,533450,33864,364773,-22362,446455,1311,47675,33864v-10007,817,-6767,18921,-9525,28575c34554,75026,-1538,73551,50,81489xe" fillcolor="white [3212]" stroked="f" strokeweight="2pt">
                <v:path arrowok="t" o:connecttype="custom" o:connectlocs="50,81489;47675,110064;200075,138639;257225,157689;314375,186264;495350,205314;542975,195789;552500,167214;685850,157689;771575,110064;885875,100539;885875,43389;533450,33864;47675,33864;38150,62439;50,81489" o:connectangles="0,0,0,0,0,0,0,0,0,0,0,0,0,0,0,0"/>
              </v:shape>
            </w:pict>
          </mc:Fallback>
        </mc:AlternateContent>
      </w:r>
      <w:r>
        <w:rPr>
          <w:rFonts w:ascii="Arial" w:hAnsi="Arial" w:cs="Arial"/>
          <w:noProof/>
          <w:lang w:eastAsia="zh-CN"/>
        </w:rPr>
        <mc:AlternateContent>
          <mc:Choice Requires="wps">
            <w:drawing>
              <wp:anchor distT="0" distB="0" distL="114300" distR="114300" simplePos="0" relativeHeight="252933632" behindDoc="0" locked="0" layoutInCell="1" allowOverlap="1" wp14:anchorId="78BE8727" wp14:editId="4053D00A">
                <wp:simplePos x="0" y="0"/>
                <wp:positionH relativeFrom="column">
                  <wp:posOffset>3446145</wp:posOffset>
                </wp:positionH>
                <wp:positionV relativeFrom="paragraph">
                  <wp:posOffset>1541780</wp:posOffset>
                </wp:positionV>
                <wp:extent cx="838200" cy="9525"/>
                <wp:effectExtent l="0" t="0" r="19050" b="28575"/>
                <wp:wrapNone/>
                <wp:docPr id="210" name="Freeform 210"/>
                <wp:cNvGraphicFramePr/>
                <a:graphic xmlns:a="http://schemas.openxmlformats.org/drawingml/2006/main">
                  <a:graphicData uri="http://schemas.microsoft.com/office/word/2010/wordprocessingShape">
                    <wps:wsp>
                      <wps:cNvSpPr/>
                      <wps:spPr>
                        <a:xfrm>
                          <a:off x="0" y="0"/>
                          <a:ext cx="838200" cy="9525"/>
                        </a:xfrm>
                        <a:custGeom>
                          <a:avLst/>
                          <a:gdLst>
                            <a:gd name="connsiteX0" fmla="*/ 0 w 838200"/>
                            <a:gd name="connsiteY0" fmla="*/ 0 h 9525"/>
                            <a:gd name="connsiteX1" fmla="*/ 838200 w 838200"/>
                            <a:gd name="connsiteY1" fmla="*/ 9525 h 9525"/>
                          </a:gdLst>
                          <a:ahLst/>
                          <a:cxnLst>
                            <a:cxn ang="0">
                              <a:pos x="connsiteX0" y="connsiteY0"/>
                            </a:cxn>
                            <a:cxn ang="0">
                              <a:pos x="connsiteX1" y="connsiteY1"/>
                            </a:cxn>
                          </a:cxnLst>
                          <a:rect l="l" t="t" r="r" b="b"/>
                          <a:pathLst>
                            <a:path w="838200" h="9525">
                              <a:moveTo>
                                <a:pt x="0" y="0"/>
                              </a:moveTo>
                              <a:lnTo>
                                <a:pt x="838200" y="95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5A99CA" id="Freeform 210" o:spid="_x0000_s1026" style="position:absolute;margin-left:271.35pt;margin-top:121.4pt;width:66pt;height:.75pt;z-index:252933632;visibility:visible;mso-wrap-style:square;mso-wrap-distance-left:9pt;mso-wrap-distance-top:0;mso-wrap-distance-right:9pt;mso-wrap-distance-bottom:0;mso-position-horizontal:absolute;mso-position-horizontal-relative:text;mso-position-vertical:absolute;mso-position-vertical-relative:text;v-text-anchor:middle" coordsize="8382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" path="m,l838200,9525e" filled="f" strokecolor="#243f60 [1604]" strokeweight="2pt">
                <v:path arrowok="t" o:connecttype="custom" o:connectlocs="0,0;838200,9525" o:connectangles="0,0"/>
              </v:shape>
            </w:pict>
          </mc:Fallback>
        </mc:AlternateContent>
      </w:r>
      <w:r w:rsidR="007E12F1">
        <w:rPr>
          <w:rFonts w:ascii="Arial" w:hAnsi="Arial" w:cs="Arial"/>
          <w:noProof/>
          <w:lang w:eastAsia="zh-CN"/>
        </w:rPr>
        <mc:AlternateContent>
          <mc:Choice Requires="wps">
            <w:drawing>
              <wp:anchor distT="0" distB="0" distL="114300" distR="114300" simplePos="0" relativeHeight="252916224" behindDoc="0" locked="0" layoutInCell="1" allowOverlap="1" wp14:anchorId="6A60E69F" wp14:editId="227C5D8C">
                <wp:simplePos x="0" y="0"/>
                <wp:positionH relativeFrom="column">
                  <wp:posOffset>2255520</wp:posOffset>
                </wp:positionH>
                <wp:positionV relativeFrom="paragraph">
                  <wp:posOffset>2415540</wp:posOffset>
                </wp:positionV>
                <wp:extent cx="377455" cy="88070"/>
                <wp:effectExtent l="0" t="0" r="3810" b="7620"/>
                <wp:wrapNone/>
                <wp:docPr id="209" name="Freeform 209"/>
                <wp:cNvGraphicFramePr/>
                <a:graphic xmlns:a="http://schemas.openxmlformats.org/drawingml/2006/main">
                  <a:graphicData uri="http://schemas.microsoft.com/office/word/2010/wordprocessingShape">
                    <wps:wsp>
                      <wps:cNvSpPr/>
                      <wps:spPr>
                        <a:xfrm>
                          <a:off x="0" y="0"/>
                          <a:ext cx="377455" cy="88070"/>
                        </a:xfrm>
                        <a:custGeom>
                          <a:avLst/>
                          <a:gdLst>
                            <a:gd name="connsiteX0" fmla="*/ 0 w 377455"/>
                            <a:gd name="connsiteY0" fmla="*/ 40445 h 88070"/>
                            <a:gd name="connsiteX1" fmla="*/ 47625 w 377455"/>
                            <a:gd name="connsiteY1" fmla="*/ 30920 h 88070"/>
                            <a:gd name="connsiteX2" fmla="*/ 104775 w 377455"/>
                            <a:gd name="connsiteY2" fmla="*/ 11870 h 88070"/>
                            <a:gd name="connsiteX3" fmla="*/ 257175 w 377455"/>
                            <a:gd name="connsiteY3" fmla="*/ 21395 h 88070"/>
                            <a:gd name="connsiteX4" fmla="*/ 285750 w 377455"/>
                            <a:gd name="connsiteY4" fmla="*/ 30920 h 88070"/>
                            <a:gd name="connsiteX5" fmla="*/ 314325 w 377455"/>
                            <a:gd name="connsiteY5" fmla="*/ 88070 h 88070"/>
                            <a:gd name="connsiteX6" fmla="*/ 371475 w 377455"/>
                            <a:gd name="connsiteY6" fmla="*/ 78545 h 88070"/>
                            <a:gd name="connsiteX7" fmla="*/ 333375 w 377455"/>
                            <a:gd name="connsiteY7" fmla="*/ 21395 h 88070"/>
                            <a:gd name="connsiteX8" fmla="*/ 304800 w 377455"/>
                            <a:gd name="connsiteY8" fmla="*/ 11870 h 88070"/>
                            <a:gd name="connsiteX9" fmla="*/ 38100 w 377455"/>
                            <a:gd name="connsiteY9" fmla="*/ 2345 h 880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77455" h="88070">
                              <a:moveTo>
                                <a:pt x="0" y="40445"/>
                              </a:moveTo>
                              <a:cubicBezTo>
                                <a:pt x="15875" y="37270"/>
                                <a:pt x="32006" y="35180"/>
                                <a:pt x="47625" y="30920"/>
                              </a:cubicBezTo>
                              <a:cubicBezTo>
                                <a:pt x="66998" y="25636"/>
                                <a:pt x="104775" y="11870"/>
                                <a:pt x="104775" y="11870"/>
                              </a:cubicBezTo>
                              <a:cubicBezTo>
                                <a:pt x="155575" y="15045"/>
                                <a:pt x="206556" y="16067"/>
                                <a:pt x="257175" y="21395"/>
                              </a:cubicBezTo>
                              <a:cubicBezTo>
                                <a:pt x="267160" y="22446"/>
                                <a:pt x="277910" y="24648"/>
                                <a:pt x="285750" y="30920"/>
                              </a:cubicBezTo>
                              <a:cubicBezTo>
                                <a:pt x="302536" y="44349"/>
                                <a:pt x="308050" y="69246"/>
                                <a:pt x="314325" y="88070"/>
                              </a:cubicBezTo>
                              <a:cubicBezTo>
                                <a:pt x="333375" y="84895"/>
                                <a:pt x="357819" y="92201"/>
                                <a:pt x="371475" y="78545"/>
                              </a:cubicBezTo>
                              <a:cubicBezTo>
                                <a:pt x="395164" y="54856"/>
                                <a:pt x="341370" y="25392"/>
                                <a:pt x="333375" y="21395"/>
                              </a:cubicBezTo>
                              <a:cubicBezTo>
                                <a:pt x="324395" y="16905"/>
                                <a:pt x="314645" y="13839"/>
                                <a:pt x="304800" y="11870"/>
                              </a:cubicBezTo>
                              <a:cubicBezTo>
                                <a:pt x="210029" y="-7084"/>
                                <a:pt x="147993" y="2345"/>
                                <a:pt x="38100" y="2345"/>
                              </a:cubicBezTo>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20C843" id="Freeform 209" o:spid="_x0000_s1026" style="position:absolute;margin-left:177.6pt;margin-top:190.2pt;width:29.7pt;height:6.95pt;z-index:252916224;visibility:visible;mso-wrap-style:square;mso-wrap-distance-left:9pt;mso-wrap-distance-top:0;mso-wrap-distance-right:9pt;mso-wrap-distance-bottom:0;mso-position-horizontal:absolute;mso-position-horizontal-relative:text;mso-position-vertical:absolute;mso-position-vertical-relative:text;v-text-anchor:middle" coordsize="377455,88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" path="m,40445c15875,37270,32006,35180,47625,30920,66998,25636,104775,11870,104775,11870v50800,3175,101781,4197,152400,9525c267160,22446,277910,24648,285750,30920v16786,13429,22300,38326,28575,57150c333375,84895,357819,92201,371475,78545,395164,54856,341370,25392,333375,21395v-8980,-4490,-18730,-7556,-28575,-9525c210029,-7084,147993,2345,38100,2345e" fillcolor="white [3212]" stroked="f" strokeweight="2pt">
                <v:path arrowok="t" o:connecttype="custom" o:connectlocs="0,40445;47625,30920;104775,11870;257175,21395;285750,30920;314325,88070;371475,78545;333375,21395;304800,11870;38100,2345" o:connectangles="0,0,0,0,0,0,0,0,0,0"/>
              </v:shape>
            </w:pict>
          </mc:Fallback>
        </mc:AlternateContent>
      </w:r>
      <w:r w:rsidR="007E12F1">
        <w:rPr>
          <w:rFonts w:ascii="Arial" w:hAnsi="Arial" w:cs="Arial"/>
          <w:noProof/>
          <w:lang w:eastAsia="zh-CN"/>
        </w:rPr>
        <mc:AlternateContent>
          <mc:Choice Requires="wps">
            <w:drawing>
              <wp:anchor distT="0" distB="0" distL="114300" distR="114300" simplePos="0" relativeHeight="252898816" behindDoc="0" locked="0" layoutInCell="1" allowOverlap="1" wp14:anchorId="181D7A09" wp14:editId="3DDF6B42">
                <wp:simplePos x="0" y="0"/>
                <wp:positionH relativeFrom="column">
                  <wp:posOffset>2093595</wp:posOffset>
                </wp:positionH>
                <wp:positionV relativeFrom="paragraph">
                  <wp:posOffset>2397412</wp:posOffset>
                </wp:positionV>
                <wp:extent cx="562319" cy="147407"/>
                <wp:effectExtent l="0" t="0" r="9525" b="5080"/>
                <wp:wrapNone/>
                <wp:docPr id="208" name="Freeform 208"/>
                <wp:cNvGraphicFramePr/>
                <a:graphic xmlns:a="http://schemas.openxmlformats.org/drawingml/2006/main">
                  <a:graphicData uri="http://schemas.microsoft.com/office/word/2010/wordprocessingShape">
                    <wps:wsp>
                      <wps:cNvSpPr/>
                      <wps:spPr>
                        <a:xfrm>
                          <a:off x="0" y="0"/>
                          <a:ext cx="562319" cy="147407"/>
                        </a:xfrm>
                        <a:custGeom>
                          <a:avLst/>
                          <a:gdLst>
                            <a:gd name="connsiteX0" fmla="*/ 561975 w 562319"/>
                            <a:gd name="connsiteY0" fmla="*/ 1618 h 147407"/>
                            <a:gd name="connsiteX1" fmla="*/ 504825 w 562319"/>
                            <a:gd name="connsiteY1" fmla="*/ 96868 h 147407"/>
                            <a:gd name="connsiteX2" fmla="*/ 447675 w 562319"/>
                            <a:gd name="connsiteY2" fmla="*/ 77818 h 147407"/>
                            <a:gd name="connsiteX3" fmla="*/ 419100 w 562319"/>
                            <a:gd name="connsiteY3" fmla="*/ 58768 h 147407"/>
                            <a:gd name="connsiteX4" fmla="*/ 361950 w 562319"/>
                            <a:gd name="connsiteY4" fmla="*/ 39718 h 147407"/>
                            <a:gd name="connsiteX5" fmla="*/ 152400 w 562319"/>
                            <a:gd name="connsiteY5" fmla="*/ 68293 h 147407"/>
                            <a:gd name="connsiteX6" fmla="*/ 133350 w 562319"/>
                            <a:gd name="connsiteY6" fmla="*/ 96868 h 147407"/>
                            <a:gd name="connsiteX7" fmla="*/ 123825 w 562319"/>
                            <a:gd name="connsiteY7" fmla="*/ 144493 h 147407"/>
                            <a:gd name="connsiteX8" fmla="*/ 76200 w 562319"/>
                            <a:gd name="connsiteY8" fmla="*/ 134968 h 147407"/>
                            <a:gd name="connsiteX9" fmla="*/ 19050 w 562319"/>
                            <a:gd name="connsiteY9" fmla="*/ 115918 h 147407"/>
                            <a:gd name="connsiteX10" fmla="*/ 0 w 562319"/>
                            <a:gd name="connsiteY10" fmla="*/ 87343 h 147407"/>
                            <a:gd name="connsiteX11" fmla="*/ 19050 w 562319"/>
                            <a:gd name="connsiteY11" fmla="*/ 58768 h 147407"/>
                            <a:gd name="connsiteX12" fmla="*/ 200025 w 562319"/>
                            <a:gd name="connsiteY12" fmla="*/ 49243 h 147407"/>
                            <a:gd name="connsiteX13" fmla="*/ 495300 w 562319"/>
                            <a:gd name="connsiteY13" fmla="*/ 39718 h 147407"/>
                            <a:gd name="connsiteX14" fmla="*/ 561975 w 562319"/>
                            <a:gd name="connsiteY14" fmla="*/ 1618 h 147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62319" h="147407">
                              <a:moveTo>
                                <a:pt x="561975" y="1618"/>
                              </a:moveTo>
                              <a:cubicBezTo>
                                <a:pt x="563563" y="11143"/>
                                <a:pt x="561975" y="77818"/>
                                <a:pt x="504825" y="96868"/>
                              </a:cubicBezTo>
                              <a:cubicBezTo>
                                <a:pt x="485775" y="90518"/>
                                <a:pt x="464383" y="88957"/>
                                <a:pt x="447675" y="77818"/>
                              </a:cubicBezTo>
                              <a:cubicBezTo>
                                <a:pt x="438150" y="71468"/>
                                <a:pt x="429561" y="63417"/>
                                <a:pt x="419100" y="58768"/>
                              </a:cubicBezTo>
                              <a:cubicBezTo>
                                <a:pt x="400750" y="50613"/>
                                <a:pt x="361950" y="39718"/>
                                <a:pt x="361950" y="39718"/>
                              </a:cubicBezTo>
                              <a:cubicBezTo>
                                <a:pt x="315922" y="42141"/>
                                <a:pt x="203499" y="17194"/>
                                <a:pt x="152400" y="68293"/>
                              </a:cubicBezTo>
                              <a:cubicBezTo>
                                <a:pt x="144305" y="76388"/>
                                <a:pt x="139700" y="87343"/>
                                <a:pt x="133350" y="96868"/>
                              </a:cubicBezTo>
                              <a:cubicBezTo>
                                <a:pt x="130175" y="112743"/>
                                <a:pt x="137295" y="135513"/>
                                <a:pt x="123825" y="144493"/>
                              </a:cubicBezTo>
                              <a:cubicBezTo>
                                <a:pt x="110355" y="153473"/>
                                <a:pt x="91819" y="139228"/>
                                <a:pt x="76200" y="134968"/>
                              </a:cubicBezTo>
                              <a:cubicBezTo>
                                <a:pt x="56827" y="129684"/>
                                <a:pt x="19050" y="115918"/>
                                <a:pt x="19050" y="115918"/>
                              </a:cubicBezTo>
                              <a:cubicBezTo>
                                <a:pt x="12700" y="106393"/>
                                <a:pt x="0" y="98791"/>
                                <a:pt x="0" y="87343"/>
                              </a:cubicBezTo>
                              <a:cubicBezTo>
                                <a:pt x="0" y="75895"/>
                                <a:pt x="7805" y="60910"/>
                                <a:pt x="19050" y="58768"/>
                              </a:cubicBezTo>
                              <a:cubicBezTo>
                                <a:pt x="78392" y="47465"/>
                                <a:pt x="139665" y="51657"/>
                                <a:pt x="200025" y="49243"/>
                              </a:cubicBezTo>
                              <a:lnTo>
                                <a:pt x="495300" y="39718"/>
                              </a:lnTo>
                              <a:cubicBezTo>
                                <a:pt x="532911" y="27181"/>
                                <a:pt x="560387" y="-7907"/>
                                <a:pt x="561975" y="1618"/>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BE93EC" id="Freeform 208" o:spid="_x0000_s1026" style="position:absolute;margin-left:164.85pt;margin-top:188.75pt;width:44.3pt;height:11.6pt;z-index:252898816;visibility:visible;mso-wrap-style:square;mso-wrap-distance-left:9pt;mso-wrap-distance-top:0;mso-wrap-distance-right:9pt;mso-wrap-distance-bottom:0;mso-position-horizontal:absolute;mso-position-horizontal-relative:text;mso-position-vertical:absolute;mso-position-vertical-relative:text;v-text-anchor:middle" coordsize="562319,147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" path="m561975,1618v1588,9525,,76200,-57150,95250c485775,90518,464383,88957,447675,77818,438150,71468,429561,63417,419100,58768,400750,50613,361950,39718,361950,39718,315922,42141,203499,17194,152400,68293v-8095,8095,-12700,19050,-19050,28575c130175,112743,137295,135513,123825,144493v-13470,8980,-32006,-5265,-47625,-9525c56827,129684,19050,115918,19050,115918,12700,106393,,98791,,87343,,75895,7805,60910,19050,58768,78392,47465,139665,51657,200025,49243l495300,39718c532911,27181,560387,-7907,561975,1618xe" fillcolor="white [3212]" stroked="f" strokeweight="2pt">
                <v:path arrowok="t" o:connecttype="custom" o:connectlocs="561975,1618;504825,96868;447675,77818;419100,58768;361950,39718;152400,68293;133350,96868;123825,144493;76200,134968;19050,115918;0,87343;19050,58768;200025,49243;495300,39718;561975,1618" o:connectangles="0,0,0,0,0,0,0,0,0,0,0,0,0,0,0"/>
              </v:shape>
            </w:pict>
          </mc:Fallback>
        </mc:AlternateContent>
      </w:r>
      <w:r w:rsidR="007E12F1">
        <w:rPr>
          <w:rFonts w:ascii="Arial" w:hAnsi="Arial" w:cs="Arial"/>
          <w:noProof/>
          <w:lang w:eastAsia="zh-CN"/>
        </w:rPr>
        <mc:AlternateContent>
          <mc:Choice Requires="wps">
            <w:drawing>
              <wp:anchor distT="0" distB="0" distL="114300" distR="114300" simplePos="0" relativeHeight="252864000" behindDoc="0" locked="0" layoutInCell="1" allowOverlap="1" wp14:anchorId="3F22A176" wp14:editId="2E990795">
                <wp:simplePos x="0" y="0"/>
                <wp:positionH relativeFrom="column">
                  <wp:posOffset>2035175</wp:posOffset>
                </wp:positionH>
                <wp:positionV relativeFrom="paragraph">
                  <wp:posOffset>2294255</wp:posOffset>
                </wp:positionV>
                <wp:extent cx="1020323" cy="267743"/>
                <wp:effectExtent l="0" t="0" r="27940" b="18415"/>
                <wp:wrapNone/>
                <wp:docPr id="207" name="Freeform 207"/>
                <wp:cNvGraphicFramePr/>
                <a:graphic xmlns:a="http://schemas.openxmlformats.org/drawingml/2006/main">
                  <a:graphicData uri="http://schemas.microsoft.com/office/word/2010/wordprocessingShape">
                    <wps:wsp>
                      <wps:cNvSpPr/>
                      <wps:spPr>
                        <a:xfrm>
                          <a:off x="0" y="0"/>
                          <a:ext cx="1020323" cy="267743"/>
                        </a:xfrm>
                        <a:custGeom>
                          <a:avLst/>
                          <a:gdLst>
                            <a:gd name="connsiteX0" fmla="*/ 39248 w 1020323"/>
                            <a:gd name="connsiteY0" fmla="*/ 123825 h 267743"/>
                            <a:gd name="connsiteX1" fmla="*/ 86873 w 1020323"/>
                            <a:gd name="connsiteY1" fmla="*/ 152400 h 267743"/>
                            <a:gd name="connsiteX2" fmla="*/ 115448 w 1020323"/>
                            <a:gd name="connsiteY2" fmla="*/ 180975 h 267743"/>
                            <a:gd name="connsiteX3" fmla="*/ 153548 w 1020323"/>
                            <a:gd name="connsiteY3" fmla="*/ 190500 h 267743"/>
                            <a:gd name="connsiteX4" fmla="*/ 229748 w 1020323"/>
                            <a:gd name="connsiteY4" fmla="*/ 171450 h 267743"/>
                            <a:gd name="connsiteX5" fmla="*/ 277373 w 1020323"/>
                            <a:gd name="connsiteY5" fmla="*/ 123825 h 267743"/>
                            <a:gd name="connsiteX6" fmla="*/ 439298 w 1020323"/>
                            <a:gd name="connsiteY6" fmla="*/ 95250 h 267743"/>
                            <a:gd name="connsiteX7" fmla="*/ 525023 w 1020323"/>
                            <a:gd name="connsiteY7" fmla="*/ 104775 h 267743"/>
                            <a:gd name="connsiteX8" fmla="*/ 572648 w 1020323"/>
                            <a:gd name="connsiteY8" fmla="*/ 152400 h 267743"/>
                            <a:gd name="connsiteX9" fmla="*/ 601223 w 1020323"/>
                            <a:gd name="connsiteY9" fmla="*/ 161925 h 267743"/>
                            <a:gd name="connsiteX10" fmla="*/ 753623 w 1020323"/>
                            <a:gd name="connsiteY10" fmla="*/ 171450 h 267743"/>
                            <a:gd name="connsiteX11" fmla="*/ 829823 w 1020323"/>
                            <a:gd name="connsiteY11" fmla="*/ 190500 h 267743"/>
                            <a:gd name="connsiteX12" fmla="*/ 858398 w 1020323"/>
                            <a:gd name="connsiteY12" fmla="*/ 209550 h 267743"/>
                            <a:gd name="connsiteX13" fmla="*/ 906023 w 1020323"/>
                            <a:gd name="connsiteY13" fmla="*/ 266700 h 267743"/>
                            <a:gd name="connsiteX14" fmla="*/ 972698 w 1020323"/>
                            <a:gd name="connsiteY14" fmla="*/ 257175 h 267743"/>
                            <a:gd name="connsiteX15" fmla="*/ 991748 w 1020323"/>
                            <a:gd name="connsiteY15" fmla="*/ 228600 h 267743"/>
                            <a:gd name="connsiteX16" fmla="*/ 1010798 w 1020323"/>
                            <a:gd name="connsiteY16" fmla="*/ 85725 h 267743"/>
                            <a:gd name="connsiteX17" fmla="*/ 1020323 w 1020323"/>
                            <a:gd name="connsiteY17" fmla="*/ 38100 h 267743"/>
                            <a:gd name="connsiteX18" fmla="*/ 1010798 w 1020323"/>
                            <a:gd name="connsiteY18" fmla="*/ 9525 h 267743"/>
                            <a:gd name="connsiteX19" fmla="*/ 982223 w 1020323"/>
                            <a:gd name="connsiteY19" fmla="*/ 0 h 267743"/>
                            <a:gd name="connsiteX20" fmla="*/ 915548 w 1020323"/>
                            <a:gd name="connsiteY20" fmla="*/ 9525 h 267743"/>
                            <a:gd name="connsiteX21" fmla="*/ 829823 w 1020323"/>
                            <a:gd name="connsiteY21" fmla="*/ 19050 h 267743"/>
                            <a:gd name="connsiteX22" fmla="*/ 667898 w 1020323"/>
                            <a:gd name="connsiteY22" fmla="*/ 28575 h 267743"/>
                            <a:gd name="connsiteX23" fmla="*/ 334523 w 1020323"/>
                            <a:gd name="connsiteY23" fmla="*/ 19050 h 267743"/>
                            <a:gd name="connsiteX24" fmla="*/ 58298 w 1020323"/>
                            <a:gd name="connsiteY24" fmla="*/ 19050 h 267743"/>
                            <a:gd name="connsiteX25" fmla="*/ 29723 w 1020323"/>
                            <a:gd name="connsiteY25" fmla="*/ 28575 h 267743"/>
                            <a:gd name="connsiteX26" fmla="*/ 1148 w 1020323"/>
                            <a:gd name="connsiteY26" fmla="*/ 57150 h 267743"/>
                            <a:gd name="connsiteX27" fmla="*/ 39248 w 1020323"/>
                            <a:gd name="connsiteY27" fmla="*/ 123825 h 2677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020323" h="267743">
                              <a:moveTo>
                                <a:pt x="39248" y="123825"/>
                              </a:moveTo>
                              <a:cubicBezTo>
                                <a:pt x="53536" y="139700"/>
                                <a:pt x="72062" y="141292"/>
                                <a:pt x="86873" y="152400"/>
                              </a:cubicBezTo>
                              <a:cubicBezTo>
                                <a:pt x="97649" y="160482"/>
                                <a:pt x="103752" y="174292"/>
                                <a:pt x="115448" y="180975"/>
                              </a:cubicBezTo>
                              <a:cubicBezTo>
                                <a:pt x="126814" y="187470"/>
                                <a:pt x="140848" y="187325"/>
                                <a:pt x="153548" y="190500"/>
                              </a:cubicBezTo>
                              <a:cubicBezTo>
                                <a:pt x="155920" y="190026"/>
                                <a:pt x="219985" y="179260"/>
                                <a:pt x="229748" y="171450"/>
                              </a:cubicBezTo>
                              <a:cubicBezTo>
                                <a:pt x="281342" y="130175"/>
                                <a:pt x="213079" y="152400"/>
                                <a:pt x="277373" y="123825"/>
                              </a:cubicBezTo>
                              <a:cubicBezTo>
                                <a:pt x="339375" y="96269"/>
                                <a:pt x="364154" y="102081"/>
                                <a:pt x="439298" y="95250"/>
                              </a:cubicBezTo>
                              <a:cubicBezTo>
                                <a:pt x="467873" y="98425"/>
                                <a:pt x="497131" y="97802"/>
                                <a:pt x="525023" y="104775"/>
                              </a:cubicBezTo>
                              <a:cubicBezTo>
                                <a:pt x="566587" y="115166"/>
                                <a:pt x="543784" y="129309"/>
                                <a:pt x="572648" y="152400"/>
                              </a:cubicBezTo>
                              <a:cubicBezTo>
                                <a:pt x="580488" y="158672"/>
                                <a:pt x="591238" y="160874"/>
                                <a:pt x="601223" y="161925"/>
                              </a:cubicBezTo>
                              <a:cubicBezTo>
                                <a:pt x="651842" y="167253"/>
                                <a:pt x="702823" y="168275"/>
                                <a:pt x="753623" y="171450"/>
                              </a:cubicBezTo>
                              <a:cubicBezTo>
                                <a:pt x="771737" y="175073"/>
                                <a:pt x="810297" y="180737"/>
                                <a:pt x="829823" y="190500"/>
                              </a:cubicBezTo>
                              <a:cubicBezTo>
                                <a:pt x="840062" y="195620"/>
                                <a:pt x="848873" y="203200"/>
                                <a:pt x="858398" y="209550"/>
                              </a:cubicBezTo>
                              <a:cubicBezTo>
                                <a:pt x="865743" y="220567"/>
                                <a:pt x="891919" y="263879"/>
                                <a:pt x="906023" y="266700"/>
                              </a:cubicBezTo>
                              <a:cubicBezTo>
                                <a:pt x="928038" y="271103"/>
                                <a:pt x="950473" y="260350"/>
                                <a:pt x="972698" y="257175"/>
                              </a:cubicBezTo>
                              <a:cubicBezTo>
                                <a:pt x="979048" y="247650"/>
                                <a:pt x="987239" y="239122"/>
                                <a:pt x="991748" y="228600"/>
                              </a:cubicBezTo>
                              <a:cubicBezTo>
                                <a:pt x="1006592" y="193964"/>
                                <a:pt x="1008624" y="103116"/>
                                <a:pt x="1010798" y="85725"/>
                              </a:cubicBezTo>
                              <a:cubicBezTo>
                                <a:pt x="1012806" y="69661"/>
                                <a:pt x="1017148" y="53975"/>
                                <a:pt x="1020323" y="38100"/>
                              </a:cubicBezTo>
                              <a:cubicBezTo>
                                <a:pt x="1017148" y="28575"/>
                                <a:pt x="1017898" y="16625"/>
                                <a:pt x="1010798" y="9525"/>
                              </a:cubicBezTo>
                              <a:cubicBezTo>
                                <a:pt x="1003698" y="2425"/>
                                <a:pt x="992263" y="0"/>
                                <a:pt x="982223" y="0"/>
                              </a:cubicBezTo>
                              <a:cubicBezTo>
                                <a:pt x="959772" y="0"/>
                                <a:pt x="937825" y="6740"/>
                                <a:pt x="915548" y="9525"/>
                              </a:cubicBezTo>
                              <a:cubicBezTo>
                                <a:pt x="887019" y="13091"/>
                                <a:pt x="858398" y="15875"/>
                                <a:pt x="829823" y="19050"/>
                              </a:cubicBezTo>
                              <a:cubicBezTo>
                                <a:pt x="725731" y="45073"/>
                                <a:pt x="779645" y="40991"/>
                                <a:pt x="667898" y="28575"/>
                              </a:cubicBezTo>
                              <a:cubicBezTo>
                                <a:pt x="523346" y="-19609"/>
                                <a:pt x="630817" y="8833"/>
                                <a:pt x="334523" y="19050"/>
                              </a:cubicBezTo>
                              <a:cubicBezTo>
                                <a:pt x="198386" y="11885"/>
                                <a:pt x="173142" y="1382"/>
                                <a:pt x="58298" y="19050"/>
                              </a:cubicBezTo>
                              <a:cubicBezTo>
                                <a:pt x="48375" y="20577"/>
                                <a:pt x="39248" y="25400"/>
                                <a:pt x="29723" y="28575"/>
                              </a:cubicBezTo>
                              <a:cubicBezTo>
                                <a:pt x="20198" y="38100"/>
                                <a:pt x="3790" y="43941"/>
                                <a:pt x="1148" y="57150"/>
                              </a:cubicBezTo>
                              <a:cubicBezTo>
                                <a:pt x="-6373" y="94754"/>
                                <a:pt x="24960" y="107950"/>
                                <a:pt x="39248" y="123825"/>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4DAF5A" id="Freeform 207" o:spid="_x0000_s1026" style="position:absolute;margin-left:160.25pt;margin-top:180.65pt;width:80.35pt;height:21.1pt;z-index:252864000;visibility:visible;mso-wrap-style:square;mso-wrap-distance-left:9pt;mso-wrap-distance-top:0;mso-wrap-distance-right:9pt;mso-wrap-distance-bottom:0;mso-position-horizontal:absolute;mso-position-horizontal-relative:text;mso-position-vertical:absolute;mso-position-vertical-relative:text;v-text-anchor:middle" coordsize="1020323,267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" path="m39248,123825v14288,15875,32814,17467,47625,28575c97649,160482,103752,174292,115448,180975v11366,6495,25400,6350,38100,9525c155920,190026,219985,179260,229748,171450v51594,-41275,-16669,-19050,47625,-47625c339375,96269,364154,102081,439298,95250v28575,3175,57833,2552,85725,9525c566587,115166,543784,129309,572648,152400v7840,6272,18590,8474,28575,9525c651842,167253,702823,168275,753623,171450v18114,3623,56674,9287,76200,19050c840062,195620,848873,203200,858398,209550v7345,11017,33521,54329,47625,57150c928038,271103,950473,260350,972698,257175v6350,-9525,14541,-18053,19050,-28575c1006592,193964,1008624,103116,1010798,85725v2008,-16064,6350,-31750,9525,-47625c1017148,28575,1017898,16625,1010798,9525,1003698,2425,992263,,982223,,959772,,937825,6740,915548,9525v-28529,3566,-57150,6350,-85725,9525c725731,45073,779645,40991,667898,28575,523346,-19609,630817,8833,334523,19050,198386,11885,173142,1382,58298,19050v-9923,1527,-19050,6350,-28575,9525c20198,38100,3790,43941,1148,57150v-7521,37604,23812,50800,38100,66675xe" fillcolor="white [3212]" strokecolor="white [3212]" strokeweight="2pt">
                <v:path arrowok="t" o:connecttype="custom" o:connectlocs="39248,123825;86873,152400;115448,180975;153548,190500;229748,171450;277373,123825;439298,95250;525023,104775;572648,152400;601223,161925;753623,171450;829823,190500;858398,209550;906023,266700;972698,257175;991748,228600;1010798,85725;1020323,38100;1010798,9525;982223,0;915548,9525;829823,19050;667898,28575;334523,19050;58298,19050;29723,28575;1148,57150;39248,123825" o:connectangles="0,0,0,0,0,0,0,0,0,0,0,0,0,0,0,0,0,0,0,0,0,0,0,0,0,0,0,0"/>
              </v:shape>
            </w:pict>
          </mc:Fallback>
        </mc:AlternateContent>
      </w:r>
      <w:r w:rsidR="007E12F1">
        <w:rPr>
          <w:rFonts w:ascii="Arial" w:hAnsi="Arial" w:cs="Arial"/>
          <w:noProof/>
          <w:lang w:eastAsia="zh-CN"/>
        </w:rPr>
        <w:drawing>
          <wp:inline distT="0" distB="0" distL="0" distR="0" wp14:anchorId="3FC49F31" wp14:editId="751C0040">
            <wp:extent cx="3457575" cy="3073933"/>
            <wp:effectExtent l="0" t="0" r="0" b="0"/>
            <wp:docPr id="18772" name="Picture 1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87291" cy="3100352"/>
                    </a:xfrm>
                    <a:prstGeom prst="rect">
                      <a:avLst/>
                    </a:prstGeom>
                    <a:noFill/>
                  </pic:spPr>
                </pic:pic>
              </a:graphicData>
            </a:graphic>
          </wp:inline>
        </w:drawing>
      </w:r>
    </w:p>
    <w:p w:rsidR="003E6719" w:rsidRDefault="0051702A" w:rsidP="00900F2C">
      <w:pPr>
        <w:spacing w:line="360" w:lineRule="auto"/>
        <w:rPr>
          <w:rFonts w:ascii="Arial" w:hAnsi="Arial" w:cs="Arial"/>
        </w:rPr>
      </w:pPr>
      <w:r>
        <w:rPr>
          <w:noProof/>
          <w:lang w:eastAsia="zh-CN"/>
        </w:rPr>
        <mc:AlternateContent>
          <mc:Choice Requires="wps">
            <w:drawing>
              <wp:anchor distT="0" distB="0" distL="114300" distR="114300" simplePos="0" relativeHeight="249851392" behindDoc="0" locked="0" layoutInCell="1" allowOverlap="1" wp14:anchorId="4E429534" wp14:editId="6B62D2C4">
                <wp:simplePos x="0" y="0"/>
                <wp:positionH relativeFrom="column">
                  <wp:posOffset>0</wp:posOffset>
                </wp:positionH>
                <wp:positionV relativeFrom="paragraph">
                  <wp:posOffset>26162</wp:posOffset>
                </wp:positionV>
                <wp:extent cx="5913755" cy="635"/>
                <wp:effectExtent l="0" t="0" r="0" b="0"/>
                <wp:wrapNone/>
                <wp:docPr id="429" name="Text Box 429"/>
                <wp:cNvGraphicFramePr/>
                <a:graphic xmlns:a="http://schemas.openxmlformats.org/drawingml/2006/main">
                  <a:graphicData uri="http://schemas.microsoft.com/office/word/2010/wordprocessingShape">
                    <wps:wsp>
                      <wps:cNvSpPr txBox="1"/>
                      <wps:spPr>
                        <a:xfrm>
                          <a:off x="0" y="0"/>
                          <a:ext cx="5913755" cy="635"/>
                        </a:xfrm>
                        <a:prstGeom prst="rect">
                          <a:avLst/>
                        </a:prstGeom>
                        <a:solidFill>
                          <a:prstClr val="white"/>
                        </a:solidFill>
                        <a:ln>
                          <a:noFill/>
                        </a:ln>
                        <a:effectLst/>
                      </wps:spPr>
                      <wps:txbx>
                        <w:txbxContent>
                          <w:p w:rsidR="004166BC" w:rsidRPr="00CC51C7" w:rsidRDefault="004166BC" w:rsidP="00CC51C7">
                            <w:pPr>
                              <w:pStyle w:val="Caption"/>
                              <w:rPr>
                                <w:rFonts w:ascii="Arial" w:hAnsi="Arial" w:cs="Arial"/>
                                <w:b w:val="0"/>
                                <w:noProof/>
                                <w:color w:val="000000" w:themeColor="text1"/>
                              </w:rPr>
                            </w:pPr>
                            <w:bookmarkStart w:id="27" w:name="_Toc422736050"/>
                            <w:bookmarkStart w:id="28" w:name="_Toc422736158"/>
                            <w:bookmarkStart w:id="29" w:name="_Toc425419493"/>
                            <w:r w:rsidRPr="00CC51C7">
                              <w:rPr>
                                <w:rFonts w:ascii="Arial" w:hAnsi="Arial" w:cs="Arial"/>
                                <w:b w:val="0"/>
                                <w:color w:val="000000" w:themeColor="text1"/>
                              </w:rPr>
                              <w:t xml:space="preserve">Figure </w:t>
                            </w:r>
                            <w:r w:rsidRPr="00CC51C7">
                              <w:rPr>
                                <w:rFonts w:ascii="Arial" w:hAnsi="Arial" w:cs="Arial"/>
                                <w:b w:val="0"/>
                                <w:color w:val="000000" w:themeColor="text1"/>
                              </w:rPr>
                              <w:fldChar w:fldCharType="begin"/>
                            </w:r>
                            <w:r w:rsidRPr="00CC51C7">
                              <w:rPr>
                                <w:rFonts w:ascii="Arial" w:hAnsi="Arial" w:cs="Arial"/>
                                <w:b w:val="0"/>
                                <w:color w:val="000000" w:themeColor="text1"/>
                              </w:rPr>
                              <w:instrText xml:space="preserve"> SEQ Figure \* ARABIC </w:instrText>
                            </w:r>
                            <w:r w:rsidRPr="00CC51C7">
                              <w:rPr>
                                <w:rFonts w:ascii="Arial" w:hAnsi="Arial" w:cs="Arial"/>
                                <w:b w:val="0"/>
                                <w:color w:val="000000" w:themeColor="text1"/>
                              </w:rPr>
                              <w:fldChar w:fldCharType="separate"/>
                            </w:r>
                            <w:r>
                              <w:rPr>
                                <w:rFonts w:ascii="Arial" w:hAnsi="Arial" w:cs="Arial"/>
                                <w:b w:val="0"/>
                                <w:noProof/>
                                <w:color w:val="000000" w:themeColor="text1"/>
                              </w:rPr>
                              <w:t>10</w:t>
                            </w:r>
                            <w:r w:rsidRPr="00CC51C7">
                              <w:rPr>
                                <w:rFonts w:ascii="Arial" w:hAnsi="Arial" w:cs="Arial"/>
                                <w:b w:val="0"/>
                                <w:color w:val="000000" w:themeColor="text1"/>
                              </w:rPr>
                              <w:fldChar w:fldCharType="end"/>
                            </w:r>
                            <w:r w:rsidRPr="00CC51C7">
                              <w:rPr>
                                <w:rFonts w:ascii="Arial" w:hAnsi="Arial" w:cs="Arial"/>
                                <w:b w:val="0"/>
                                <w:color w:val="000000" w:themeColor="text1"/>
                              </w:rPr>
                              <w:t xml:space="preserve">: The </w:t>
                            </w:r>
                            <w:r>
                              <w:rPr>
                                <w:rFonts w:ascii="Arial" w:hAnsi="Arial" w:cs="Arial"/>
                                <w:b w:val="0"/>
                                <w:color w:val="000000" w:themeColor="text1"/>
                              </w:rPr>
                              <w:t xml:space="preserve">bone </w:t>
                            </w:r>
                            <w:r w:rsidRPr="00CC51C7">
                              <w:rPr>
                                <w:rFonts w:ascii="Arial" w:hAnsi="Arial" w:cs="Arial"/>
                                <w:b w:val="0"/>
                                <w:color w:val="000000" w:themeColor="text1"/>
                              </w:rPr>
                              <w:t>remodelling process in normal bone physiology; illustrating each stage (1 – 4) and the duration of bone resorption and formation</w:t>
                            </w:r>
                            <w:bookmarkEnd w:id="27"/>
                            <w:bookmarkEnd w:id="28"/>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29534" id="Text Box 429" o:spid="_x0000_s1077" type="#_x0000_t202" style="position:absolute;margin-left:0;margin-top:2.05pt;width:465.65pt;height:.05pt;z-index:24985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" stroked="f">
                <v:textbox style="mso-fit-shape-to-text:t" inset="0,0,0,0">
                  <w:txbxContent>
                    <w:p w:rsidR="004166BC" w:rsidRPr="00CC51C7" w:rsidRDefault="004166BC" w:rsidP="00CC51C7">
                      <w:pPr>
                        <w:pStyle w:val="Caption"/>
                        <w:rPr>
                          <w:rFonts w:ascii="Arial" w:hAnsi="Arial" w:cs="Arial"/>
                          <w:b w:val="0"/>
                          <w:noProof/>
                          <w:color w:val="000000" w:themeColor="text1"/>
                        </w:rPr>
                      </w:pPr>
                      <w:bookmarkStart w:id="36" w:name="_Toc422736050"/>
                      <w:bookmarkStart w:id="37" w:name="_Toc422736158"/>
                      <w:bookmarkStart w:id="38" w:name="_Toc425419493"/>
                      <w:r w:rsidRPr="00CC51C7">
                        <w:rPr>
                          <w:rFonts w:ascii="Arial" w:hAnsi="Arial" w:cs="Arial"/>
                          <w:b w:val="0"/>
                          <w:color w:val="000000" w:themeColor="text1"/>
                        </w:rPr>
                        <w:t xml:space="preserve">Figure </w:t>
                      </w:r>
                      <w:r w:rsidRPr="00CC51C7">
                        <w:rPr>
                          <w:rFonts w:ascii="Arial" w:hAnsi="Arial" w:cs="Arial"/>
                          <w:b w:val="0"/>
                          <w:color w:val="000000" w:themeColor="text1"/>
                        </w:rPr>
                        <w:fldChar w:fldCharType="begin"/>
                      </w:r>
                      <w:r w:rsidRPr="00CC51C7">
                        <w:rPr>
                          <w:rFonts w:ascii="Arial" w:hAnsi="Arial" w:cs="Arial"/>
                          <w:b w:val="0"/>
                          <w:color w:val="000000" w:themeColor="text1"/>
                        </w:rPr>
                        <w:instrText xml:space="preserve"> SEQ Figure \* ARABIC </w:instrText>
                      </w:r>
                      <w:r w:rsidRPr="00CC51C7">
                        <w:rPr>
                          <w:rFonts w:ascii="Arial" w:hAnsi="Arial" w:cs="Arial"/>
                          <w:b w:val="0"/>
                          <w:color w:val="000000" w:themeColor="text1"/>
                        </w:rPr>
                        <w:fldChar w:fldCharType="separate"/>
                      </w:r>
                      <w:r>
                        <w:rPr>
                          <w:rFonts w:ascii="Arial" w:hAnsi="Arial" w:cs="Arial"/>
                          <w:b w:val="0"/>
                          <w:noProof/>
                          <w:color w:val="000000" w:themeColor="text1"/>
                        </w:rPr>
                        <w:t>10</w:t>
                      </w:r>
                      <w:r w:rsidRPr="00CC51C7">
                        <w:rPr>
                          <w:rFonts w:ascii="Arial" w:hAnsi="Arial" w:cs="Arial"/>
                          <w:b w:val="0"/>
                          <w:color w:val="000000" w:themeColor="text1"/>
                        </w:rPr>
                        <w:fldChar w:fldCharType="end"/>
                      </w:r>
                      <w:r w:rsidRPr="00CC51C7">
                        <w:rPr>
                          <w:rFonts w:ascii="Arial" w:hAnsi="Arial" w:cs="Arial"/>
                          <w:b w:val="0"/>
                          <w:color w:val="000000" w:themeColor="text1"/>
                        </w:rPr>
                        <w:t xml:space="preserve">: The </w:t>
                      </w:r>
                      <w:r>
                        <w:rPr>
                          <w:rFonts w:ascii="Arial" w:hAnsi="Arial" w:cs="Arial"/>
                          <w:b w:val="0"/>
                          <w:color w:val="000000" w:themeColor="text1"/>
                        </w:rPr>
                        <w:t xml:space="preserve">bone </w:t>
                      </w:r>
                      <w:r w:rsidRPr="00CC51C7">
                        <w:rPr>
                          <w:rFonts w:ascii="Arial" w:hAnsi="Arial" w:cs="Arial"/>
                          <w:b w:val="0"/>
                          <w:color w:val="000000" w:themeColor="text1"/>
                        </w:rPr>
                        <w:t>remodelling process in normal bone physiology; illustrating each stage (1 – 4) and the duration of bone resorption and formation</w:t>
                      </w:r>
                      <w:bookmarkEnd w:id="36"/>
                      <w:bookmarkEnd w:id="37"/>
                      <w:bookmarkEnd w:id="38"/>
                    </w:p>
                  </w:txbxContent>
                </v:textbox>
              </v:shape>
            </w:pict>
          </mc:Fallback>
        </mc:AlternateContent>
      </w:r>
    </w:p>
    <w:p w:rsidR="003E6719" w:rsidRDefault="003E6719" w:rsidP="00900F2C">
      <w:pPr>
        <w:spacing w:line="360" w:lineRule="auto"/>
        <w:rPr>
          <w:rFonts w:ascii="Arial" w:hAnsi="Arial" w:cs="Arial"/>
        </w:rPr>
      </w:pPr>
    </w:p>
    <w:p w:rsidR="003951FB" w:rsidRPr="00197C7B" w:rsidRDefault="003951FB" w:rsidP="003E6719">
      <w:pPr>
        <w:spacing w:line="360" w:lineRule="auto"/>
        <w:jc w:val="both"/>
        <w:rPr>
          <w:rFonts w:ascii="Arial" w:hAnsi="Arial" w:cs="Arial"/>
        </w:rPr>
      </w:pPr>
      <w:r w:rsidRPr="00197C7B">
        <w:rPr>
          <w:rFonts w:ascii="Arial" w:hAnsi="Arial" w:cs="Arial"/>
        </w:rPr>
        <w:t xml:space="preserve">In trabecular bone the rate of bone turnover is high because it is mainly required for mineral </w:t>
      </w:r>
      <w:r w:rsidR="0006555A" w:rsidRPr="00197C7B">
        <w:rPr>
          <w:rFonts w:ascii="Arial" w:hAnsi="Arial" w:cs="Arial"/>
        </w:rPr>
        <w:t>metabolism</w:t>
      </w:r>
      <w:r w:rsidRPr="00197C7B">
        <w:rPr>
          <w:rFonts w:ascii="Arial" w:hAnsi="Arial" w:cs="Arial"/>
        </w:rPr>
        <w:t xml:space="preserve"> and lower in cortical bone which is necessary to maintain bone strength.</w:t>
      </w:r>
      <w:r w:rsidR="00452EE2">
        <w:rPr>
          <w:rFonts w:ascii="Arial" w:hAnsi="Arial" w:cs="Arial"/>
        </w:rPr>
        <w:t xml:space="preserve"> </w:t>
      </w:r>
    </w:p>
    <w:p w:rsidR="00566A6A" w:rsidRDefault="00566A6A" w:rsidP="003E6719">
      <w:pPr>
        <w:pStyle w:val="Heading4"/>
        <w:jc w:val="both"/>
      </w:pPr>
      <w:r>
        <w:lastRenderedPageBreak/>
        <w:t xml:space="preserve">The coupling </w:t>
      </w:r>
      <w:r w:rsidR="00253B00">
        <w:t>process</w:t>
      </w:r>
    </w:p>
    <w:p w:rsidR="00CB6E5D" w:rsidRDefault="0006555A" w:rsidP="003B725E">
      <w:pPr>
        <w:spacing w:line="360" w:lineRule="auto"/>
        <w:jc w:val="both"/>
        <w:rPr>
          <w:rFonts w:ascii="Arial" w:hAnsi="Arial" w:cs="Arial"/>
        </w:rPr>
      </w:pPr>
      <w:r w:rsidRPr="00D6576E">
        <w:rPr>
          <w:rFonts w:ascii="Arial" w:hAnsi="Arial" w:cs="Arial"/>
        </w:rPr>
        <w:t>In normal bone physiology bone resorpt</w:t>
      </w:r>
      <w:r w:rsidR="00D6576E">
        <w:rPr>
          <w:rFonts w:ascii="Arial" w:hAnsi="Arial" w:cs="Arial"/>
        </w:rPr>
        <w:t>ion and formation are coupled at</w:t>
      </w:r>
      <w:r w:rsidRPr="00D6576E">
        <w:rPr>
          <w:rFonts w:ascii="Arial" w:hAnsi="Arial" w:cs="Arial"/>
        </w:rPr>
        <w:t xml:space="preserve"> each BMU</w:t>
      </w:r>
      <w:r w:rsidR="00F7401C">
        <w:rPr>
          <w:rFonts w:ascii="Arial" w:hAnsi="Arial" w:cs="Arial"/>
        </w:rPr>
        <w:t xml:space="preserve"> within the sealed canopy. </w:t>
      </w:r>
      <w:r w:rsidR="007E5F7B">
        <w:rPr>
          <w:rFonts w:ascii="Arial" w:hAnsi="Arial" w:cs="Arial"/>
        </w:rPr>
        <w:t>This occurs at the transition phase when bone formation</w:t>
      </w:r>
      <w:r w:rsidR="00293925">
        <w:rPr>
          <w:rFonts w:ascii="Arial" w:hAnsi="Arial" w:cs="Arial"/>
        </w:rPr>
        <w:t xml:space="preserve"> follows bone resorption</w:t>
      </w:r>
      <w:r w:rsidR="007E5F7B">
        <w:rPr>
          <w:rFonts w:ascii="Arial" w:hAnsi="Arial" w:cs="Arial"/>
        </w:rPr>
        <w:t>. In normal bone remodelling</w:t>
      </w:r>
      <w:r w:rsidRPr="00D6576E">
        <w:rPr>
          <w:rFonts w:ascii="Arial" w:hAnsi="Arial" w:cs="Arial"/>
        </w:rPr>
        <w:t xml:space="preserve"> the volume of bone resorbed is equal to the volume of bone formed.</w:t>
      </w:r>
      <w:r w:rsidR="00D6576E" w:rsidRPr="00D6576E">
        <w:rPr>
          <w:rFonts w:ascii="Arial" w:hAnsi="Arial" w:cs="Arial"/>
        </w:rPr>
        <w:t xml:space="preserve"> In order for this to occur there are regulated communication signals between the osteoclasts and the osteoblasts.</w:t>
      </w:r>
      <w:r w:rsidR="007E5F7B">
        <w:rPr>
          <w:rFonts w:ascii="Arial" w:hAnsi="Arial" w:cs="Arial"/>
        </w:rPr>
        <w:t xml:space="preserve"> These signals are communicated through direct contact and interaction of the cell surface receptors, via gap junctions and by the cells secreting growth factor, chemokines and cytokines</w:t>
      </w:r>
      <w:r w:rsidR="00736F03">
        <w:rPr>
          <w:rFonts w:ascii="Arial" w:hAnsi="Arial" w:cs="Arial"/>
        </w:rPr>
        <w:t xml:space="preserve"> </w:t>
      </w:r>
      <w:r w:rsidR="00736F03">
        <w:rPr>
          <w:rFonts w:ascii="Arial" w:hAnsi="Arial" w:cs="Arial"/>
        </w:rPr>
        <w:fldChar w:fldCharType="begin"/>
      </w:r>
      <w:r w:rsidR="005A347B">
        <w:rPr>
          <w:rFonts w:ascii="Arial" w:hAnsi="Arial" w:cs="Arial"/>
        </w:rPr>
        <w:instrText xml:space="preserve"> ADDIN EN.CITE &lt;EndNote&gt;&lt;Cite&gt;&lt;Author&gt;Matsuo&lt;/Author&gt;&lt;Year&gt;2008&lt;/Year&gt;&lt;RecNum&gt;523&lt;/RecNum&gt;&lt;DisplayText&gt;(131)&lt;/DisplayText&gt;&lt;record&gt;&lt;rec-number&gt;523&lt;/rec-number&gt;&lt;foreign-keys&gt;&lt;key app="EN" db-id="p9a5ttsvyvde9me5aw2x05fp5p55axf0wr90" timestamp="1437387913"&gt;523&lt;/key&gt;&lt;/foreign-keys&gt;&lt;ref-type name="Journal Article"&gt;17&lt;/ref-type&gt;&lt;contributors&gt;&lt;authors&gt;&lt;author&gt;Matsuo, K.&lt;/author&gt;&lt;author&gt;Irie, N.&lt;/author&gt;&lt;/authors&gt;&lt;/contributors&gt;&lt;auth-address&gt;Department of Microbiology and Immunology, School of Medicine, Keio University, 35 Shinanomachi, Shinjuku-ku, 160-8582 Tokyo, Japan. matsuo@sc.itc.keio.ac.jp&lt;/auth-address&gt;&lt;titles&gt;&lt;title&gt;Osteoclast-osteoblast communication&lt;/title&gt;&lt;secondary-title&gt;Arch Biochem Biophys&lt;/secondary-title&gt;&lt;/titles&gt;&lt;periodical&gt;&lt;full-title&gt;Arch Biochem Biophys&lt;/full-title&gt;&lt;abbr-1&gt;Archives of biochemistry and biophysics&lt;/abbr-1&gt;&lt;/periodical&gt;&lt;pages&gt;201-9&lt;/pages&gt;&lt;volume&gt;473&lt;/volume&gt;&lt;number&gt;2&lt;/number&gt;&lt;edition&gt;2008/04/15&lt;/edition&gt;&lt;keywords&gt;&lt;keyword&gt;Animals&lt;/keyword&gt;&lt;keyword&gt;Bone Remodeling/ physiology&lt;/keyword&gt;&lt;keyword&gt;Bone Resorption/metabolism/pathology&lt;/keyword&gt;&lt;keyword&gt;Cell Communication&lt;/keyword&gt;&lt;keyword&gt;Cell Differentiation&lt;/keyword&gt;&lt;keyword&gt;Ephrins/physiology&lt;/keyword&gt;&lt;keyword&gt;Humans&lt;/keyword&gt;&lt;keyword&gt;Osteoblasts/cytology/ physiology&lt;/keyword&gt;&lt;keyword&gt;Osteoclasts/cytology/ physiology&lt;/keyword&gt;&lt;keyword&gt;RANK Ligand/metabolism&lt;/keyword&gt;&lt;keyword&gt;Receptor, Macrophage Colony-Stimulating Factor/metabolism&lt;/keyword&gt;&lt;keyword&gt;Receptors, Cell Surface/ metabolism&lt;/keyword&gt;&lt;keyword&gt;Signal Transduction&lt;/keyword&gt;&lt;/keywords&gt;&lt;dates&gt;&lt;year&gt;2008&lt;/year&gt;&lt;pub-dates&gt;&lt;date&gt;May 15&lt;/date&gt;&lt;/pub-dates&gt;&lt;/dates&gt;&lt;isbn&gt;1096-0384 (Electronic)&amp;#xD;0003-9861 (Linking)&lt;/isbn&gt;&lt;accession-num&gt;18406338&lt;/accession-num&gt;&lt;urls&gt;&lt;/urls&gt;&lt;electronic-resource-num&gt;10.1016/j.abb.2008.03.027&lt;/electronic-resource-num&gt;&lt;remote-database-provider&gt;NLM&lt;/remote-database-provider&gt;&lt;language&gt;eng&lt;/language&gt;&lt;/record&gt;&lt;/Cite&gt;&lt;/EndNote&gt;</w:instrText>
      </w:r>
      <w:r w:rsidR="00736F03">
        <w:rPr>
          <w:rFonts w:ascii="Arial" w:hAnsi="Arial" w:cs="Arial"/>
        </w:rPr>
        <w:fldChar w:fldCharType="separate"/>
      </w:r>
      <w:r w:rsidR="005A347B">
        <w:rPr>
          <w:rFonts w:ascii="Arial" w:hAnsi="Arial" w:cs="Arial"/>
          <w:noProof/>
        </w:rPr>
        <w:t>(</w:t>
      </w:r>
      <w:hyperlink w:anchor="_ENREF_131" w:tooltip="Matsuo, 2008 #523" w:history="1">
        <w:r w:rsidR="003B725E">
          <w:rPr>
            <w:rFonts w:ascii="Arial" w:hAnsi="Arial" w:cs="Arial"/>
            <w:noProof/>
          </w:rPr>
          <w:t>131</w:t>
        </w:r>
      </w:hyperlink>
      <w:r w:rsidR="005A347B">
        <w:rPr>
          <w:rFonts w:ascii="Arial" w:hAnsi="Arial" w:cs="Arial"/>
          <w:noProof/>
        </w:rPr>
        <w:t>)</w:t>
      </w:r>
      <w:r w:rsidR="00736F03">
        <w:rPr>
          <w:rFonts w:ascii="Arial" w:hAnsi="Arial" w:cs="Arial"/>
        </w:rPr>
        <w:fldChar w:fldCharType="end"/>
      </w:r>
      <w:r w:rsidR="007E5F7B">
        <w:rPr>
          <w:rFonts w:ascii="Arial" w:hAnsi="Arial" w:cs="Arial"/>
        </w:rPr>
        <w:t>.</w:t>
      </w:r>
      <w:r w:rsidR="00D6576E">
        <w:rPr>
          <w:rFonts w:ascii="Arial" w:hAnsi="Arial" w:cs="Arial"/>
        </w:rPr>
        <w:t xml:space="preserve"> </w:t>
      </w:r>
      <w:r w:rsidR="00CB6E5D">
        <w:rPr>
          <w:rFonts w:ascii="Arial" w:hAnsi="Arial" w:cs="Arial"/>
        </w:rPr>
        <w:t>There are several signalling molecules which mediate this process</w:t>
      </w:r>
      <w:r w:rsidR="000A4CCB">
        <w:rPr>
          <w:rFonts w:ascii="Arial" w:hAnsi="Arial" w:cs="Arial"/>
        </w:rPr>
        <w:t>:</w:t>
      </w:r>
      <w:r w:rsidR="00D6576E">
        <w:rPr>
          <w:rFonts w:ascii="Arial" w:hAnsi="Arial" w:cs="Arial"/>
        </w:rPr>
        <w:t xml:space="preserve"> </w:t>
      </w:r>
      <w:r w:rsidR="00B56434">
        <w:rPr>
          <w:rFonts w:ascii="Arial" w:hAnsi="Arial" w:cs="Arial"/>
        </w:rPr>
        <w:t xml:space="preserve">i) </w:t>
      </w:r>
      <w:r w:rsidR="00D6576E">
        <w:rPr>
          <w:rFonts w:ascii="Arial" w:hAnsi="Arial" w:cs="Arial"/>
        </w:rPr>
        <w:t xml:space="preserve">matrix derived signals such as transforming growth factor-β and insulin-like growth factors </w:t>
      </w:r>
      <w:r w:rsidR="00D6576E">
        <w:rPr>
          <w:rFonts w:ascii="Arial" w:hAnsi="Arial" w:cs="Arial"/>
        </w:rPr>
        <w:fldChar w:fldCharType="begin">
          <w:fldData xml:space="preserve">PEVuZE5vdGU+PENpdGU+PEF1dGhvcj5UYW5nPC9BdXRob3I+PFllYXI+MjAwOTwvWWVhcj48UmVj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YWw+PHBhZ2VzPjMyMDQtODwvcGFnZXM+PHZvbHVtZT43ODwvdm9sdW1lPjxudW1iZXI+NTwvbnVt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PC9hYmJyLTE+PC9hbHQtcGVyaW9kaWNhbD48cGFnZXM+MTA5NS0xMDE8L3BhZ2VzPjx2b2x1bWU+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PEVuZE5vdGU+PENpdGU+PEF1dGhvcj5UYW5nPC9BdXRob3I+PFllYXI+MjAwOTwvWWVhcj48UmVj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YWw+PHBhZ2VzPjMyMDQtODwvcGFnZXM+PHZvbHVtZT43ODwvdm9sdW1lPjxudW1iZXI+NTwvbnVt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PC9hYmJyLTE+PC9hbHQtcGVyaW9kaWNhbD48cGFnZXM+MTA5NS0xMDE8L3BhZ2VzPjx2b2x1bWU+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D6576E">
        <w:rPr>
          <w:rFonts w:ascii="Arial" w:hAnsi="Arial" w:cs="Arial"/>
        </w:rPr>
      </w:r>
      <w:r w:rsidR="00D6576E">
        <w:rPr>
          <w:rFonts w:ascii="Arial" w:hAnsi="Arial" w:cs="Arial"/>
        </w:rPr>
        <w:fldChar w:fldCharType="separate"/>
      </w:r>
      <w:r w:rsidR="005A347B">
        <w:rPr>
          <w:rFonts w:ascii="Arial" w:hAnsi="Arial" w:cs="Arial"/>
          <w:noProof/>
        </w:rPr>
        <w:t>(</w:t>
      </w:r>
      <w:hyperlink w:anchor="_ENREF_132" w:tooltip="Tang, 2009 #96" w:history="1">
        <w:r w:rsidR="003B725E">
          <w:rPr>
            <w:rFonts w:ascii="Arial" w:hAnsi="Arial" w:cs="Arial"/>
            <w:noProof/>
          </w:rPr>
          <w:t>132-134</w:t>
        </w:r>
      </w:hyperlink>
      <w:r w:rsidR="005A347B">
        <w:rPr>
          <w:rFonts w:ascii="Arial" w:hAnsi="Arial" w:cs="Arial"/>
          <w:noProof/>
        </w:rPr>
        <w:t>)</w:t>
      </w:r>
      <w:r w:rsidR="00D6576E">
        <w:rPr>
          <w:rFonts w:ascii="Arial" w:hAnsi="Arial" w:cs="Arial"/>
        </w:rPr>
        <w:fldChar w:fldCharType="end"/>
      </w:r>
      <w:r w:rsidR="00B56434">
        <w:rPr>
          <w:rFonts w:ascii="Arial" w:hAnsi="Arial" w:cs="Arial"/>
        </w:rPr>
        <w:t xml:space="preserve"> ii) secreted factors such as BMP-6, Wnt10b, S1P, afamin and semaphorins </w:t>
      </w:r>
      <w:r w:rsidR="00B56434">
        <w:rPr>
          <w:rFonts w:ascii="Arial" w:hAnsi="Arial" w:cs="Arial"/>
        </w:rPr>
        <w:fldChar w:fldCharType="begin">
          <w:fldData xml:space="preserve">PEVuZE5vdGU+PENpdGU+PEF1dGhvcj5CYXJvbjwvQXV0aG9yPjxZZWFyPjIwMDc8L1llYXI+PFJl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bHQtcGVyaW9kaWNhbD48cGFnZXM+MjA3NjQtOTwvcGFnZXM+PHZvbHVtZT4xMDU8L3ZvbHVtZT48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PEVuZE5vdGU+PENpdGU+PEF1dGhvcj5CYXJvbjwvQXV0aG9yPjxZZWFyPjIwMDc8L1llYXI+PFJl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bHQtcGVyaW9kaWNhbD48cGFnZXM+MjA3NjQtOTwvcGFnZXM+PHZvbHVtZT4xMDU8L3ZvbHVtZT48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56434">
        <w:rPr>
          <w:rFonts w:ascii="Arial" w:hAnsi="Arial" w:cs="Arial"/>
        </w:rPr>
      </w:r>
      <w:r w:rsidR="00B56434">
        <w:rPr>
          <w:rFonts w:ascii="Arial" w:hAnsi="Arial" w:cs="Arial"/>
        </w:rPr>
        <w:fldChar w:fldCharType="separate"/>
      </w:r>
      <w:r w:rsidR="005A347B">
        <w:rPr>
          <w:rFonts w:ascii="Arial" w:hAnsi="Arial" w:cs="Arial"/>
          <w:noProof/>
        </w:rPr>
        <w:t>(</w:t>
      </w:r>
      <w:hyperlink w:anchor="_ENREF_135" w:tooltip="Baron, 2007 #99" w:history="1">
        <w:r w:rsidR="003B725E">
          <w:rPr>
            <w:rFonts w:ascii="Arial" w:hAnsi="Arial" w:cs="Arial"/>
            <w:noProof/>
          </w:rPr>
          <w:t>135-138</w:t>
        </w:r>
      </w:hyperlink>
      <w:r w:rsidR="005A347B">
        <w:rPr>
          <w:rFonts w:ascii="Arial" w:hAnsi="Arial" w:cs="Arial"/>
          <w:noProof/>
        </w:rPr>
        <w:t>)</w:t>
      </w:r>
      <w:r w:rsidR="00B56434">
        <w:rPr>
          <w:rFonts w:ascii="Arial" w:hAnsi="Arial" w:cs="Arial"/>
        </w:rPr>
        <w:fldChar w:fldCharType="end"/>
      </w:r>
      <w:r w:rsidR="00D062B1">
        <w:rPr>
          <w:rFonts w:ascii="Arial" w:hAnsi="Arial" w:cs="Arial"/>
        </w:rPr>
        <w:t xml:space="preserve"> and iii) bone marrow secreted factors suc</w:t>
      </w:r>
      <w:r w:rsidR="001D6578">
        <w:rPr>
          <w:rFonts w:ascii="Arial" w:hAnsi="Arial" w:cs="Arial"/>
        </w:rPr>
        <w:t>h as the macrophage derived onco</w:t>
      </w:r>
      <w:r w:rsidR="00D062B1">
        <w:rPr>
          <w:rFonts w:ascii="Arial" w:hAnsi="Arial" w:cs="Arial"/>
        </w:rPr>
        <w:t xml:space="preserve">statin M </w:t>
      </w:r>
      <w:r w:rsidR="00D062B1">
        <w:rPr>
          <w:rFonts w:ascii="Arial" w:hAnsi="Arial" w:cs="Arial"/>
        </w:rPr>
        <w:fldChar w:fldCharType="begin">
          <w:fldData xml:space="preserve">PEVuZE5vdGU+PENpdGU+PEF1dGhvcj5XYWxrZXI8L0F1dGhvcj48WWVhcj4yMDEwPC9ZZWFyPjxS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c3RpZ2F0aW9uPC9hYmJyLTE+PC9hbHQtcGVyaW9kaWNhbD48cGFnZXM+NTgyLTkyPC9wYWdlcz48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PEVuZE5vdGU+PENpdGU+PEF1dGhvcj5XYWxrZXI8L0F1dGhvcj48WWVhcj4yMDEwPC9ZZWFyPjxS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c3RpZ2F0aW9uPC9hYmJyLTE+PC9hbHQtcGVyaW9kaWNhbD48cGFnZXM+NTgyLTkyPC9wYWdlcz48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D062B1">
        <w:rPr>
          <w:rFonts w:ascii="Arial" w:hAnsi="Arial" w:cs="Arial"/>
        </w:rPr>
      </w:r>
      <w:r w:rsidR="00D062B1">
        <w:rPr>
          <w:rFonts w:ascii="Arial" w:hAnsi="Arial" w:cs="Arial"/>
        </w:rPr>
        <w:fldChar w:fldCharType="separate"/>
      </w:r>
      <w:r w:rsidR="005A347B">
        <w:rPr>
          <w:rFonts w:ascii="Arial" w:hAnsi="Arial" w:cs="Arial"/>
          <w:noProof/>
        </w:rPr>
        <w:t>(</w:t>
      </w:r>
      <w:hyperlink w:anchor="_ENREF_139" w:tooltip="Walker, 2010 #103" w:history="1">
        <w:r w:rsidR="003B725E">
          <w:rPr>
            <w:rFonts w:ascii="Arial" w:hAnsi="Arial" w:cs="Arial"/>
            <w:noProof/>
          </w:rPr>
          <w:t>139</w:t>
        </w:r>
      </w:hyperlink>
      <w:r w:rsidR="005A347B">
        <w:rPr>
          <w:rFonts w:ascii="Arial" w:hAnsi="Arial" w:cs="Arial"/>
          <w:noProof/>
        </w:rPr>
        <w:t>)</w:t>
      </w:r>
      <w:r w:rsidR="00D062B1">
        <w:rPr>
          <w:rFonts w:ascii="Arial" w:hAnsi="Arial" w:cs="Arial"/>
        </w:rPr>
        <w:fldChar w:fldCharType="end"/>
      </w:r>
      <w:r w:rsidR="00D062B1">
        <w:rPr>
          <w:rFonts w:ascii="Arial" w:hAnsi="Arial" w:cs="Arial"/>
        </w:rPr>
        <w:t>, T-cell derived interleukins</w:t>
      </w:r>
      <w:r w:rsidR="000A4CCB">
        <w:rPr>
          <w:rFonts w:ascii="Arial" w:hAnsi="Arial" w:cs="Arial"/>
        </w:rPr>
        <w:t xml:space="preserve"> </w:t>
      </w:r>
      <w:r w:rsidR="000A4CCB">
        <w:rPr>
          <w:rFonts w:ascii="Arial" w:hAnsi="Arial" w:cs="Arial"/>
        </w:rPr>
        <w:fldChar w:fldCharType="begin">
          <w:fldData xml:space="preserve">PEVuZE5vdGU+PENpdGU+PEF1dGhvcj5NaXJvc2F2bGpldmljPC9BdXRob3I+PFllYXI+MjAwMzwv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bmVyYWwgUmVzZWFyY2g8L2FiYnItMT48L2FsdC1wZXJpb2RpY2FsPjxwYWdlcz45ODQtOTM8L3Bh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PEVuZE5vdGU+PENpdGU+PEF1dGhvcj5NaXJvc2F2bGpldmljPC9BdXRob3I+PFllYXI+MjAwMzwv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bmVyYWwgUmVzZWFyY2g8L2FiYnItMT48L2FsdC1wZXJpb2RpY2FsPjxwYWdlcz45ODQtOTM8L3Bh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A4CCB">
        <w:rPr>
          <w:rFonts w:ascii="Arial" w:hAnsi="Arial" w:cs="Arial"/>
        </w:rPr>
      </w:r>
      <w:r w:rsidR="000A4CCB">
        <w:rPr>
          <w:rFonts w:ascii="Arial" w:hAnsi="Arial" w:cs="Arial"/>
        </w:rPr>
        <w:fldChar w:fldCharType="separate"/>
      </w:r>
      <w:r w:rsidR="005A347B">
        <w:rPr>
          <w:rFonts w:ascii="Arial" w:hAnsi="Arial" w:cs="Arial"/>
          <w:noProof/>
        </w:rPr>
        <w:t>(</w:t>
      </w:r>
      <w:hyperlink w:anchor="_ENREF_140" w:tooltip="Mirosavljevic, 2003 #104" w:history="1">
        <w:r w:rsidR="003B725E">
          <w:rPr>
            <w:rFonts w:ascii="Arial" w:hAnsi="Arial" w:cs="Arial"/>
            <w:noProof/>
          </w:rPr>
          <w:t>140</w:t>
        </w:r>
      </w:hyperlink>
      <w:r w:rsidR="005A347B">
        <w:rPr>
          <w:rFonts w:ascii="Arial" w:hAnsi="Arial" w:cs="Arial"/>
          <w:noProof/>
        </w:rPr>
        <w:t>)</w:t>
      </w:r>
      <w:r w:rsidR="000A4CCB">
        <w:rPr>
          <w:rFonts w:ascii="Arial" w:hAnsi="Arial" w:cs="Arial"/>
        </w:rPr>
        <w:fldChar w:fldCharType="end"/>
      </w:r>
      <w:r w:rsidR="00D062B1">
        <w:rPr>
          <w:rFonts w:ascii="Arial" w:hAnsi="Arial" w:cs="Arial"/>
        </w:rPr>
        <w:t>, RANKL</w:t>
      </w:r>
      <w:r w:rsidR="000A4CCB">
        <w:rPr>
          <w:rFonts w:ascii="Arial" w:hAnsi="Arial" w:cs="Arial"/>
        </w:rPr>
        <w:t xml:space="preserve"> </w:t>
      </w:r>
      <w:r w:rsidR="00D062B1">
        <w:rPr>
          <w:rFonts w:ascii="Arial" w:hAnsi="Arial" w:cs="Arial"/>
        </w:rPr>
        <w:t xml:space="preserve"> and Wnt1 which is highly expressed by the B-lymphocytes</w:t>
      </w:r>
      <w:r w:rsidR="000A4CCB">
        <w:rPr>
          <w:rFonts w:ascii="Arial" w:hAnsi="Arial" w:cs="Arial"/>
        </w:rPr>
        <w:t xml:space="preserve"> </w:t>
      </w:r>
      <w:r w:rsidR="000A4CCB">
        <w:rPr>
          <w:rFonts w:ascii="Arial" w:hAnsi="Arial" w:cs="Arial"/>
        </w:rPr>
        <w:fldChar w:fldCharType="begin">
          <w:fldData xml:space="preserve">PEVuZE5vdGU+PENpdGU+PEF1dGhvcj5SYWdnYXR0PC9BdXRob3I+PFllYXI+MjAxMzwvWWVhcj48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=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PEVuZE5vdGU+PENpdGU+PEF1dGhvcj5SYWdnYXR0PC9BdXRob3I+PFllYXI+MjAxMzwvWWVhcj48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=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A4CCB">
        <w:rPr>
          <w:rFonts w:ascii="Arial" w:hAnsi="Arial" w:cs="Arial"/>
        </w:rPr>
      </w:r>
      <w:r w:rsidR="000A4CCB">
        <w:rPr>
          <w:rFonts w:ascii="Arial" w:hAnsi="Arial" w:cs="Arial"/>
        </w:rPr>
        <w:fldChar w:fldCharType="separate"/>
      </w:r>
      <w:r w:rsidR="005A347B">
        <w:rPr>
          <w:rFonts w:ascii="Arial" w:hAnsi="Arial" w:cs="Arial"/>
          <w:noProof/>
        </w:rPr>
        <w:t>(</w:t>
      </w:r>
      <w:hyperlink w:anchor="_ENREF_141" w:tooltip="Raggatt, 2013 #105" w:history="1">
        <w:r w:rsidR="003B725E">
          <w:rPr>
            <w:rFonts w:ascii="Arial" w:hAnsi="Arial" w:cs="Arial"/>
            <w:noProof/>
          </w:rPr>
          <w:t>141</w:t>
        </w:r>
      </w:hyperlink>
      <w:r w:rsidR="005A347B">
        <w:rPr>
          <w:rFonts w:ascii="Arial" w:hAnsi="Arial" w:cs="Arial"/>
          <w:noProof/>
        </w:rPr>
        <w:t>)</w:t>
      </w:r>
      <w:r w:rsidR="000A4CCB">
        <w:rPr>
          <w:rFonts w:ascii="Arial" w:hAnsi="Arial" w:cs="Arial"/>
        </w:rPr>
        <w:fldChar w:fldCharType="end"/>
      </w:r>
      <w:r w:rsidR="007D504C">
        <w:rPr>
          <w:rFonts w:ascii="Arial" w:hAnsi="Arial" w:cs="Arial"/>
        </w:rPr>
        <w:t>, (Figure 11</w:t>
      </w:r>
      <w:r w:rsidR="002F328A">
        <w:rPr>
          <w:rFonts w:ascii="Arial" w:hAnsi="Arial" w:cs="Arial"/>
        </w:rPr>
        <w:t>a</w:t>
      </w:r>
      <w:r w:rsidR="009C10D3">
        <w:rPr>
          <w:rFonts w:ascii="Arial" w:hAnsi="Arial" w:cs="Arial"/>
        </w:rPr>
        <w:t>).</w:t>
      </w:r>
      <w:r w:rsidR="008A254F">
        <w:rPr>
          <w:rFonts w:ascii="Arial" w:hAnsi="Arial" w:cs="Arial"/>
        </w:rPr>
        <w:t xml:space="preserve"> In postmenopausal osteoporosis</w:t>
      </w:r>
      <w:r w:rsidR="00C948CF">
        <w:rPr>
          <w:rFonts w:ascii="Arial" w:hAnsi="Arial" w:cs="Arial"/>
        </w:rPr>
        <w:t xml:space="preserve"> </w:t>
      </w:r>
      <w:r w:rsidR="008A254F">
        <w:rPr>
          <w:rFonts w:ascii="Arial" w:hAnsi="Arial" w:cs="Arial"/>
        </w:rPr>
        <w:t>the coupling process is altered due to increased osteoclast activity. An aim of antire</w:t>
      </w:r>
      <w:r w:rsidR="00983C4D">
        <w:rPr>
          <w:rFonts w:ascii="Arial" w:hAnsi="Arial" w:cs="Arial"/>
        </w:rPr>
        <w:t>sorptive treatments is to</w:t>
      </w:r>
      <w:r w:rsidR="00DE4089">
        <w:rPr>
          <w:rFonts w:ascii="Arial" w:hAnsi="Arial" w:cs="Arial"/>
        </w:rPr>
        <w:t xml:space="preserve"> reduce</w:t>
      </w:r>
      <w:r w:rsidR="008A254F">
        <w:rPr>
          <w:rFonts w:ascii="Arial" w:hAnsi="Arial" w:cs="Arial"/>
        </w:rPr>
        <w:t xml:space="preserve"> the signalling process from the osteoclasts to the osteoblasts and thus reducing the rate of bone turnover</w:t>
      </w:r>
      <w:r w:rsidR="007D504C">
        <w:rPr>
          <w:rFonts w:ascii="Arial" w:hAnsi="Arial" w:cs="Arial"/>
        </w:rPr>
        <w:t>, (Figure 11</w:t>
      </w:r>
      <w:r w:rsidR="002F328A">
        <w:rPr>
          <w:rFonts w:ascii="Arial" w:hAnsi="Arial" w:cs="Arial"/>
        </w:rPr>
        <w:t>b)</w:t>
      </w:r>
      <w:r w:rsidR="008A254F">
        <w:rPr>
          <w:rFonts w:ascii="Arial" w:hAnsi="Arial" w:cs="Arial"/>
        </w:rPr>
        <w:t xml:space="preserve"> </w:t>
      </w:r>
      <w:r w:rsidR="008A254F">
        <w:rPr>
          <w:rFonts w:ascii="Arial" w:hAnsi="Arial" w:cs="Arial"/>
        </w:rPr>
        <w:fldChar w:fldCharType="begin"/>
      </w:r>
      <w:r w:rsidR="005A347B">
        <w:rPr>
          <w:rFonts w:ascii="Arial" w:hAnsi="Arial" w:cs="Arial"/>
        </w:rPr>
        <w:instrText xml:space="preserve"> ADDIN EN.CITE &lt;EndNote&gt;&lt;Cite&gt;&lt;Author&gt;Bellido&lt;/Author&gt;&lt;Year&gt;2014&lt;/Year&gt;&lt;RecNum&gt;281&lt;/RecNum&gt;&lt;DisplayText&gt;(128)&lt;/DisplayText&gt;&lt;record&gt;&lt;rec-number&gt;281&lt;/rec-number&gt;&lt;foreign-keys&gt;&lt;key app="EN" db-id="p9a5ttsvyvde9me5aw2x05fp5p55axf0wr90" timestamp="1431342687"&gt;281&lt;/key&gt;&lt;/foreign-keys&gt;&lt;ref-type name="Journal Article"&gt;17&lt;/ref-type&gt;&lt;contributors&gt;&lt;authors&gt;&lt;author&gt;Bellido, T.&lt;/author&gt;&lt;/authors&gt;&lt;/contributors&gt;&lt;auth-address&gt;Department of Anatomy and Cell Biology, Indiana University School of Medicine, 635 Barnhill Drive, MS5035, Indianapolis, IN, 46202, USA, tbellido@iupui.edu.&lt;/auth-address&gt;&lt;titles&gt;&lt;title&gt;Osteocyte-driven bone remodeling&lt;/title&gt;&lt;secondary-title&gt;Calcif Tissue Int&lt;/secondary-title&gt;&lt;/titles&gt;&lt;periodical&gt;&lt;full-title&gt;Calcif Tissue Int&lt;/full-title&gt;&lt;abbr-1&gt;Calcified tissue international&lt;/abbr-1&gt;&lt;/periodical&gt;&lt;pages&gt;25-34&lt;/pages&gt;&lt;volume&gt;94&lt;/volume&gt;&lt;number&gt;1&lt;/number&gt;&lt;edition&gt;2013/09/05&lt;/edition&gt;&lt;keywords&gt;&lt;keyword&gt;Animals&lt;/keyword&gt;&lt;keyword&gt;Bone Remodeling/ physiology&lt;/keyword&gt;&lt;keyword&gt;Bone and Bones/cytology/ metabolism&lt;/keyword&gt;&lt;keyword&gt;Cell Differentiation/physiology&lt;/keyword&gt;&lt;keyword&gt;Humans&lt;/keyword&gt;&lt;keyword&gt;Osteoclasts/metabolism&lt;/keyword&gt;&lt;keyword&gt;Osteocytes/ metabolism&lt;/keyword&gt;&lt;keyword&gt;Osteogenesis/physiology&lt;/keyword&gt;&lt;/keywords&gt;&lt;dates&gt;&lt;year&gt;2014&lt;/year&gt;&lt;pub-dates&gt;&lt;date&gt;Jan&lt;/date&gt;&lt;/pub-dates&gt;&lt;/dates&gt;&lt;isbn&gt;1432-0827 (Electronic)&amp;#xD;0171-967X (Linking)&lt;/isbn&gt;&lt;accession-num&gt;24002178&lt;/accession-num&gt;&lt;urls&gt;&lt;/urls&gt;&lt;custom2&gt;PMC3947228&lt;/custom2&gt;&lt;custom6&gt;Nihms521214&lt;/custom6&gt;&lt;electronic-resource-num&gt;10.1007/s00223-013-9774-y&lt;/electronic-resource-num&gt;&lt;remote-database-provider&gt;NLM&lt;/remote-database-provider&gt;&lt;language&gt;eng&lt;/language&gt;&lt;/record&gt;&lt;/Cite&gt;&lt;/EndNote&gt;</w:instrText>
      </w:r>
      <w:r w:rsidR="008A254F">
        <w:rPr>
          <w:rFonts w:ascii="Arial" w:hAnsi="Arial" w:cs="Arial"/>
        </w:rPr>
        <w:fldChar w:fldCharType="separate"/>
      </w:r>
      <w:r w:rsidR="005A347B">
        <w:rPr>
          <w:rFonts w:ascii="Arial" w:hAnsi="Arial" w:cs="Arial"/>
          <w:noProof/>
        </w:rPr>
        <w:t>(</w:t>
      </w:r>
      <w:hyperlink w:anchor="_ENREF_128" w:tooltip="Bellido, 2014 #281" w:history="1">
        <w:r w:rsidR="003B725E">
          <w:rPr>
            <w:rFonts w:ascii="Arial" w:hAnsi="Arial" w:cs="Arial"/>
            <w:noProof/>
          </w:rPr>
          <w:t>128</w:t>
        </w:r>
      </w:hyperlink>
      <w:r w:rsidR="005A347B">
        <w:rPr>
          <w:rFonts w:ascii="Arial" w:hAnsi="Arial" w:cs="Arial"/>
          <w:noProof/>
        </w:rPr>
        <w:t>)</w:t>
      </w:r>
      <w:r w:rsidR="008A254F">
        <w:rPr>
          <w:rFonts w:ascii="Arial" w:hAnsi="Arial" w:cs="Arial"/>
        </w:rPr>
        <w:fldChar w:fldCharType="end"/>
      </w:r>
      <w:r w:rsidR="00983C4D">
        <w:rPr>
          <w:rFonts w:ascii="Arial" w:hAnsi="Arial" w:cs="Arial"/>
        </w:rPr>
        <w:t>.</w:t>
      </w:r>
    </w:p>
    <w:p w:rsidR="00667E88" w:rsidRDefault="00667E88" w:rsidP="003E6719">
      <w:pPr>
        <w:spacing w:line="360" w:lineRule="auto"/>
        <w:jc w:val="both"/>
        <w:rPr>
          <w:rFonts w:ascii="Arial" w:hAnsi="Arial" w:cs="Arial"/>
        </w:rPr>
      </w:pPr>
      <w:r>
        <w:rPr>
          <w:rFonts w:ascii="Arial" w:hAnsi="Arial" w:cs="Arial"/>
        </w:rPr>
        <w:t>In addition inhibitors of bone formation and stimulators of bone resorption are produced by the osteocytes suggesting that these cells also have a role in the coupling process. For example sclerostin and DKK-1 may act as possible mediators in normal and impaired bone remodelling and during/after treatment.</w:t>
      </w:r>
      <w:r w:rsidR="00C948CF">
        <w:rPr>
          <w:rFonts w:ascii="Arial" w:hAnsi="Arial" w:cs="Arial"/>
        </w:rPr>
        <w:t xml:space="preserve"> </w:t>
      </w:r>
    </w:p>
    <w:p w:rsidR="00667E88" w:rsidRDefault="00667E88" w:rsidP="00900F2C">
      <w:pPr>
        <w:spacing w:line="360" w:lineRule="auto"/>
        <w:rPr>
          <w:rFonts w:ascii="Arial" w:hAnsi="Arial" w:cs="Arial"/>
        </w:rPr>
      </w:pPr>
    </w:p>
    <w:p w:rsidR="009C10D3" w:rsidRDefault="002F328A" w:rsidP="003E6719">
      <w:pPr>
        <w:keepNext/>
        <w:spacing w:line="360" w:lineRule="auto"/>
        <w:jc w:val="center"/>
      </w:pPr>
      <w:r>
        <w:rPr>
          <w:noProof/>
          <w:lang w:eastAsia="zh-CN"/>
        </w:rPr>
        <w:drawing>
          <wp:inline distT="0" distB="0" distL="0" distR="0" wp14:anchorId="493C921A" wp14:editId="33BDD4AD">
            <wp:extent cx="5749855" cy="2028825"/>
            <wp:effectExtent l="0" t="0" r="3810" b="0"/>
            <wp:docPr id="18435" name="Picture 1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01519" cy="2047055"/>
                    </a:xfrm>
                    <a:prstGeom prst="rect">
                      <a:avLst/>
                    </a:prstGeom>
                    <a:noFill/>
                  </pic:spPr>
                </pic:pic>
              </a:graphicData>
            </a:graphic>
          </wp:inline>
        </w:drawing>
      </w:r>
    </w:p>
    <w:p w:rsidR="00293925" w:rsidRPr="00667E88" w:rsidRDefault="009C10D3" w:rsidP="003B725E">
      <w:pPr>
        <w:pStyle w:val="Caption"/>
        <w:jc w:val="both"/>
        <w:rPr>
          <w:rFonts w:ascii="Arial" w:hAnsi="Arial" w:cs="Arial"/>
          <w:b w:val="0"/>
          <w:color w:val="auto"/>
        </w:rPr>
      </w:pPr>
      <w:bookmarkStart w:id="30" w:name="_Toc425419494"/>
      <w:r w:rsidRPr="00667E88">
        <w:rPr>
          <w:b w:val="0"/>
          <w:color w:val="auto"/>
        </w:rPr>
        <w:t xml:space="preserve">Figure </w:t>
      </w:r>
      <w:r w:rsidR="00AD4F8D" w:rsidRPr="00667E88">
        <w:rPr>
          <w:b w:val="0"/>
          <w:color w:val="auto"/>
        </w:rPr>
        <w:fldChar w:fldCharType="begin"/>
      </w:r>
      <w:r w:rsidR="00AD4F8D" w:rsidRPr="00667E88">
        <w:rPr>
          <w:b w:val="0"/>
          <w:color w:val="auto"/>
        </w:rPr>
        <w:instrText xml:space="preserve"> SEQ Figure \* ARABIC </w:instrText>
      </w:r>
      <w:r w:rsidR="00AD4F8D" w:rsidRPr="00667E88">
        <w:rPr>
          <w:b w:val="0"/>
          <w:color w:val="auto"/>
        </w:rPr>
        <w:fldChar w:fldCharType="separate"/>
      </w:r>
      <w:r w:rsidR="0040369A">
        <w:rPr>
          <w:b w:val="0"/>
          <w:noProof/>
          <w:color w:val="auto"/>
        </w:rPr>
        <w:t>11</w:t>
      </w:r>
      <w:r w:rsidR="00AD4F8D" w:rsidRPr="00667E88">
        <w:rPr>
          <w:b w:val="0"/>
          <w:noProof/>
          <w:color w:val="auto"/>
        </w:rPr>
        <w:fldChar w:fldCharType="end"/>
      </w:r>
      <w:r w:rsidR="0021719E" w:rsidRPr="00667E88">
        <w:rPr>
          <w:b w:val="0"/>
          <w:noProof/>
          <w:color w:val="auto"/>
        </w:rPr>
        <w:t xml:space="preserve">: </w:t>
      </w:r>
      <w:r w:rsidR="002F328A">
        <w:rPr>
          <w:b w:val="0"/>
          <w:noProof/>
          <w:color w:val="auto"/>
        </w:rPr>
        <w:t xml:space="preserve">a) </w:t>
      </w:r>
      <w:r w:rsidR="0021719E" w:rsidRPr="00667E88">
        <w:rPr>
          <w:b w:val="0"/>
          <w:noProof/>
          <w:color w:val="auto"/>
        </w:rPr>
        <w:t>Local regulation of bone turnover</w:t>
      </w:r>
      <w:r w:rsidR="00667E88">
        <w:rPr>
          <w:b w:val="0"/>
          <w:noProof/>
          <w:color w:val="auto"/>
        </w:rPr>
        <w:t>: s</w:t>
      </w:r>
      <w:r w:rsidR="00667E88" w:rsidRPr="00667E88">
        <w:rPr>
          <w:b w:val="0"/>
          <w:noProof/>
          <w:color w:val="auto"/>
        </w:rPr>
        <w:t xml:space="preserve">ignalling molecules produced by the osteoclasts modulate </w:t>
      </w:r>
      <w:r w:rsidR="002F328A">
        <w:rPr>
          <w:b w:val="0"/>
          <w:noProof/>
          <w:color w:val="auto"/>
        </w:rPr>
        <w:t>the activity of the osteoblasts and b) with antiresorptives there are reduced signals from the osteoclasts to the osteoblasts.</w:t>
      </w:r>
      <w:r w:rsidR="00201E0C">
        <w:rPr>
          <w:b w:val="0"/>
          <w:noProof/>
          <w:color w:val="auto"/>
        </w:rPr>
        <w:t xml:space="preserve"> Copyright (2015) with permission from Springer.</w:t>
      </w:r>
      <w:bookmarkEnd w:id="30"/>
      <w:r w:rsidR="003B725E">
        <w:rPr>
          <w:b w:val="0"/>
          <w:noProof/>
          <w:color w:val="auto"/>
        </w:rPr>
        <w:t xml:space="preserve"> </w:t>
      </w:r>
      <w:r w:rsidR="003B725E">
        <w:rPr>
          <w:b w:val="0"/>
          <w:noProof/>
          <w:color w:val="auto"/>
        </w:rPr>
        <w:fldChar w:fldCharType="begin"/>
      </w:r>
      <w:r w:rsidR="003B725E">
        <w:rPr>
          <w:b w:val="0"/>
          <w:noProof/>
          <w:color w:val="auto"/>
        </w:rPr>
        <w:instrText xml:space="preserve"> ADDIN EN.CITE &lt;EndNote&gt;&lt;Cite&gt;&lt;Author&gt;Bellido&lt;/Author&gt;&lt;Year&gt;2014&lt;/Year&gt;&lt;RecNum&gt;126&lt;/RecNum&gt;&lt;DisplayText&gt;(128)&lt;/DisplayText&gt;&lt;record&gt;&lt;rec-number&gt;126&lt;/rec-number&gt;&lt;foreign-keys&gt;&lt;key app="EN" db-id="rrv9wr2vl9srsae9pwgvx956xadzdx9aevft" timestamp="1599576367"&gt;126&lt;/key&gt;&lt;/foreign-keys&gt;&lt;ref-type name="Journal Article"&gt;17&lt;/ref-type&gt;&lt;contributors&gt;&lt;authors&gt;&lt;author&gt;Bellido, T.&lt;/author&gt;&lt;/authors&gt;&lt;/contributors&gt;&lt;auth-address&gt;Department of Anatomy and Cell Biology, Indiana University School of Medicine, 635 Barnhill Drive, MS5035, Indianapolis, IN, 46202, USA, tbellido@iupui.edu.&lt;/auth-address&gt;&lt;titles&gt;&lt;title&gt;Osteocyte-driven bone remodeling&lt;/title&gt;&lt;secondary-title&gt;Calcif Tissue Int&lt;/secondary-title&gt;&lt;/titles&gt;&lt;pages&gt;25-34&lt;/pages&gt;&lt;volume&gt;94&lt;/volume&gt;&lt;number&gt;1&lt;/number&gt;&lt;edition&gt;2013/09/05&lt;/edition&gt;&lt;keywords&gt;&lt;keyword&gt;Animals&lt;/keyword&gt;&lt;keyword&gt;Bone Remodeling/ physiology&lt;/keyword&gt;&lt;keyword&gt;Bone and Bones/cytology/ metabolism&lt;/keyword&gt;&lt;keyword&gt;Cell Differentiation/physiology&lt;/keyword&gt;&lt;keyword&gt;Humans&lt;/keyword&gt;&lt;keyword&gt;Osteoclasts/metabolism&lt;/keyword&gt;&lt;keyword&gt;Osteocytes/ metabolism&lt;/keyword&gt;&lt;keyword&gt;Osteogenesis/physiology&lt;/keyword&gt;&lt;/keywords&gt;&lt;dates&gt;&lt;year&gt;2014&lt;/year&gt;&lt;pub-dates&gt;&lt;date&gt;Jan&lt;/date&gt;&lt;/pub-dates&gt;&lt;/dates&gt;&lt;isbn&gt;1432-0827 (Electronic)&amp;#xD;0171-967X (Linking)&lt;/isbn&gt;&lt;accession-num&gt;24002178&lt;/accession-num&gt;&lt;urls&gt;&lt;/urls&gt;&lt;custom2&gt;PMC3947228&lt;/custom2&gt;&lt;custom6&gt;Nihms521214&lt;/custom6&gt;&lt;electronic-resource-num&gt;10.1007/s00223-013-9774-y&lt;/electronic-resource-num&gt;&lt;remote-database-provider&gt;NLM&lt;/remote-database-provider&gt;&lt;language&gt;eng&lt;/language&gt;&lt;/record&gt;&lt;/Cite&gt;&lt;/EndNote&gt;</w:instrText>
      </w:r>
      <w:r w:rsidR="003B725E">
        <w:rPr>
          <w:b w:val="0"/>
          <w:noProof/>
          <w:color w:val="auto"/>
        </w:rPr>
        <w:fldChar w:fldCharType="separate"/>
      </w:r>
      <w:r w:rsidR="003B725E">
        <w:rPr>
          <w:b w:val="0"/>
          <w:noProof/>
          <w:color w:val="auto"/>
        </w:rPr>
        <w:t>(</w:t>
      </w:r>
      <w:hyperlink w:anchor="_ENREF_128" w:tooltip="Bellido, 2014 #281" w:history="1">
        <w:r w:rsidR="003B725E">
          <w:rPr>
            <w:b w:val="0"/>
            <w:noProof/>
            <w:color w:val="auto"/>
          </w:rPr>
          <w:t>128</w:t>
        </w:r>
      </w:hyperlink>
      <w:r w:rsidR="003B725E">
        <w:rPr>
          <w:b w:val="0"/>
          <w:noProof/>
          <w:color w:val="auto"/>
        </w:rPr>
        <w:t>)</w:t>
      </w:r>
      <w:r w:rsidR="003B725E">
        <w:rPr>
          <w:b w:val="0"/>
          <w:noProof/>
          <w:color w:val="auto"/>
        </w:rPr>
        <w:fldChar w:fldCharType="end"/>
      </w:r>
      <w:r w:rsidR="003B725E">
        <w:rPr>
          <w:b w:val="0"/>
          <w:noProof/>
          <w:color w:val="auto"/>
        </w:rPr>
        <w:t>.</w:t>
      </w:r>
    </w:p>
    <w:p w:rsidR="001A56FC" w:rsidRDefault="001A56FC" w:rsidP="003E6719">
      <w:pPr>
        <w:pStyle w:val="Heading3"/>
        <w:jc w:val="both"/>
      </w:pPr>
      <w:bookmarkStart w:id="31" w:name="_Toc425418892"/>
      <w:r>
        <w:t>Pathophysiology of postmenopausal osteoporosis</w:t>
      </w:r>
      <w:bookmarkEnd w:id="31"/>
    </w:p>
    <w:p w:rsidR="00100C86" w:rsidRDefault="0099265D" w:rsidP="003B725E">
      <w:pPr>
        <w:spacing w:line="360" w:lineRule="auto"/>
        <w:jc w:val="both"/>
        <w:rPr>
          <w:rFonts w:ascii="Arial" w:hAnsi="Arial" w:cs="Arial"/>
        </w:rPr>
      </w:pPr>
      <w:r>
        <w:rPr>
          <w:rFonts w:ascii="Arial" w:hAnsi="Arial" w:cs="Arial"/>
        </w:rPr>
        <w:t>The low BMD</w:t>
      </w:r>
      <w:r w:rsidR="00E1618F" w:rsidRPr="00A37043">
        <w:rPr>
          <w:rFonts w:ascii="Arial" w:hAnsi="Arial" w:cs="Arial"/>
        </w:rPr>
        <w:t xml:space="preserve"> </w:t>
      </w:r>
      <w:r w:rsidR="00ED1465">
        <w:rPr>
          <w:rFonts w:ascii="Arial" w:hAnsi="Arial" w:cs="Arial"/>
        </w:rPr>
        <w:t xml:space="preserve">characteristic </w:t>
      </w:r>
      <w:r w:rsidR="00E1618F" w:rsidRPr="00A37043">
        <w:rPr>
          <w:rFonts w:ascii="Arial" w:hAnsi="Arial" w:cs="Arial"/>
        </w:rPr>
        <w:t xml:space="preserve">associated with postmenopausal osteoporosis is a highly heritable trait being genetically controlled in approximately 80% of the cases </w:t>
      </w:r>
      <w:r w:rsidR="00EC78EE">
        <w:rPr>
          <w:rFonts w:ascii="Arial" w:hAnsi="Arial" w:cs="Arial"/>
        </w:rPr>
        <w:fldChar w:fldCharType="begin">
          <w:fldData xml:space="preserve">PEVuZE5vdGU+PENpdGU+PEF1dGhvcj5YdTwvQXV0aG9yPjxZZWFyPjIwMTA8L1llYXI+PFJlY051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YXJjaDwvYWJici0xPjwvcGVyaW9kaWNhbD48cGFnZXM+OTE0LTIzPC9wYWdlcz48dm9sdW1lPjE5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PEVuZE5vdGU+PENpdGU+PEF1dGhvcj5YdTwvQXV0aG9yPjxZZWFyPjIwMTA8L1llYXI+PFJlY051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YXJjaDwvYWJici0xPjwvcGVyaW9kaWNhbD48cGFnZXM+OTE0LTIzPC9wYWdlcz48dm9sdW1lPjE5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EC78EE">
        <w:rPr>
          <w:rFonts w:ascii="Arial" w:hAnsi="Arial" w:cs="Arial"/>
        </w:rPr>
      </w:r>
      <w:r w:rsidR="00EC78EE">
        <w:rPr>
          <w:rFonts w:ascii="Arial" w:hAnsi="Arial" w:cs="Arial"/>
        </w:rPr>
        <w:fldChar w:fldCharType="separate"/>
      </w:r>
      <w:r w:rsidR="005A347B">
        <w:rPr>
          <w:rFonts w:ascii="Arial" w:hAnsi="Arial" w:cs="Arial"/>
          <w:noProof/>
        </w:rPr>
        <w:t>(</w:t>
      </w:r>
      <w:hyperlink w:anchor="_ENREF_142" w:tooltip="Xu, 2010 #346" w:history="1">
        <w:r w:rsidR="003B725E">
          <w:rPr>
            <w:rFonts w:ascii="Arial" w:hAnsi="Arial" w:cs="Arial"/>
            <w:noProof/>
          </w:rPr>
          <w:t>142-144</w:t>
        </w:r>
      </w:hyperlink>
      <w:r w:rsidR="005A347B">
        <w:rPr>
          <w:rFonts w:ascii="Arial" w:hAnsi="Arial" w:cs="Arial"/>
          <w:noProof/>
        </w:rPr>
        <w:t>)</w:t>
      </w:r>
      <w:r w:rsidR="00EC78EE">
        <w:rPr>
          <w:rFonts w:ascii="Arial" w:hAnsi="Arial" w:cs="Arial"/>
        </w:rPr>
        <w:fldChar w:fldCharType="end"/>
      </w:r>
      <w:r w:rsidR="00960DC5" w:rsidRPr="00A37043">
        <w:rPr>
          <w:rFonts w:ascii="Arial" w:hAnsi="Arial" w:cs="Arial"/>
        </w:rPr>
        <w:t xml:space="preserve">. </w:t>
      </w:r>
      <w:r w:rsidR="00DA4A65">
        <w:rPr>
          <w:rFonts w:ascii="Arial" w:hAnsi="Arial" w:cs="Arial"/>
        </w:rPr>
        <w:lastRenderedPageBreak/>
        <w:t xml:space="preserve">Single nucleotide polymorphisms </w:t>
      </w:r>
      <w:r w:rsidR="0081427A">
        <w:rPr>
          <w:rFonts w:ascii="Arial" w:hAnsi="Arial" w:cs="Arial"/>
        </w:rPr>
        <w:t xml:space="preserve">(SNPs) </w:t>
      </w:r>
      <w:r w:rsidR="00DA4A65">
        <w:rPr>
          <w:rFonts w:ascii="Arial" w:hAnsi="Arial" w:cs="Arial"/>
        </w:rPr>
        <w:t xml:space="preserve">associated with low BMD have been identified by candidate gene approach and GWAS studies </w:t>
      </w:r>
      <w:r w:rsidR="00DA4A65">
        <w:rPr>
          <w:rFonts w:ascii="Arial" w:hAnsi="Arial" w:cs="Arial"/>
        </w:rPr>
        <w:fldChar w:fldCharType="begin">
          <w:fldData xml:space="preserve">PEVuZE5vdGU+PENpdGU+PEF1dGhvcj5VcmFubzwvQXV0aG9yPjxZZWFyPjIwMTQ8L1llYXI+PFJl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PEVuZE5vdGU+PENpdGU+PEF1dGhvcj5VcmFubzwvQXV0aG9yPjxZZWFyPjIwMTQ8L1llYXI+PFJl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DA4A65">
        <w:rPr>
          <w:rFonts w:ascii="Arial" w:hAnsi="Arial" w:cs="Arial"/>
        </w:rPr>
      </w:r>
      <w:r w:rsidR="00DA4A65">
        <w:rPr>
          <w:rFonts w:ascii="Arial" w:hAnsi="Arial" w:cs="Arial"/>
        </w:rPr>
        <w:fldChar w:fldCharType="separate"/>
      </w:r>
      <w:r w:rsidR="005A347B">
        <w:rPr>
          <w:rFonts w:ascii="Arial" w:hAnsi="Arial" w:cs="Arial"/>
          <w:noProof/>
        </w:rPr>
        <w:t>(</w:t>
      </w:r>
      <w:hyperlink w:anchor="_ENREF_145" w:tooltip="Urano, 2014 #349" w:history="1">
        <w:r w:rsidR="003B725E">
          <w:rPr>
            <w:rFonts w:ascii="Arial" w:hAnsi="Arial" w:cs="Arial"/>
            <w:noProof/>
          </w:rPr>
          <w:t>145</w:t>
        </w:r>
      </w:hyperlink>
      <w:r w:rsidR="005A347B">
        <w:rPr>
          <w:rFonts w:ascii="Arial" w:hAnsi="Arial" w:cs="Arial"/>
          <w:noProof/>
        </w:rPr>
        <w:t>)</w:t>
      </w:r>
      <w:r w:rsidR="00DA4A65">
        <w:rPr>
          <w:rFonts w:ascii="Arial" w:hAnsi="Arial" w:cs="Arial"/>
        </w:rPr>
        <w:fldChar w:fldCharType="end"/>
      </w:r>
      <w:r w:rsidR="009A6D18">
        <w:rPr>
          <w:rFonts w:ascii="Arial" w:hAnsi="Arial" w:cs="Arial"/>
        </w:rPr>
        <w:t>.</w:t>
      </w:r>
    </w:p>
    <w:p w:rsidR="00E4326F" w:rsidRPr="00A37043" w:rsidRDefault="00BB4D0B" w:rsidP="003B725E">
      <w:pPr>
        <w:spacing w:line="360" w:lineRule="auto"/>
        <w:jc w:val="both"/>
        <w:rPr>
          <w:rFonts w:ascii="Arial" w:hAnsi="Arial" w:cs="Arial"/>
        </w:rPr>
      </w:pPr>
      <w:r w:rsidRPr="00A37043">
        <w:rPr>
          <w:rFonts w:ascii="Arial" w:hAnsi="Arial" w:cs="Arial"/>
        </w:rPr>
        <w:t>Genetic scr</w:t>
      </w:r>
      <w:r w:rsidR="00DE4089">
        <w:rPr>
          <w:rFonts w:ascii="Arial" w:hAnsi="Arial" w:cs="Arial"/>
        </w:rPr>
        <w:t>eening of the estrogen receptor</w:t>
      </w:r>
      <w:r w:rsidRPr="00A37043">
        <w:rPr>
          <w:rFonts w:ascii="Arial" w:hAnsi="Arial" w:cs="Arial"/>
        </w:rPr>
        <w:t xml:space="preserve"> genes have revealed</w:t>
      </w:r>
      <w:r w:rsidR="000E04F5" w:rsidRPr="00A37043">
        <w:rPr>
          <w:rFonts w:ascii="Arial" w:hAnsi="Arial" w:cs="Arial"/>
        </w:rPr>
        <w:t xml:space="preserve"> correlations between the TA variable numb</w:t>
      </w:r>
      <w:r w:rsidR="00DE4089">
        <w:rPr>
          <w:rFonts w:ascii="Arial" w:hAnsi="Arial" w:cs="Arial"/>
        </w:rPr>
        <w:t>er tandem repeats in the</w:t>
      </w:r>
      <w:r w:rsidR="000E04F5" w:rsidRPr="00A37043">
        <w:rPr>
          <w:rFonts w:ascii="Arial" w:hAnsi="Arial" w:cs="Arial"/>
        </w:rPr>
        <w:t xml:space="preserve"> promoter region and BMD </w:t>
      </w:r>
      <w:r w:rsidR="00F013B6">
        <w:rPr>
          <w:rFonts w:ascii="Arial" w:hAnsi="Arial" w:cs="Arial"/>
        </w:rPr>
        <w:fldChar w:fldCharType="begin"/>
      </w:r>
      <w:r w:rsidR="005A347B">
        <w:rPr>
          <w:rFonts w:ascii="Arial" w:hAnsi="Arial" w:cs="Arial"/>
        </w:rPr>
        <w:instrText xml:space="preserve"> ADDIN EN.CITE &lt;EndNote&gt;&lt;Cite&gt;&lt;Author&gt;Gennari&lt;/Author&gt;&lt;Year&gt;2005&lt;/Year&gt;&lt;RecNum&gt;352&lt;/RecNum&gt;&lt;DisplayText&gt;(146)&lt;/DisplayText&gt;&lt;record&gt;&lt;rec-number&gt;352&lt;/rec-number&gt;&lt;foreign-keys&gt;&lt;key app="EN" db-id="p9a5ttsvyvde9me5aw2x05fp5p55axf0wr90" timestamp="1435250097"&gt;352&lt;/key&gt;&lt;/foreign-keys&gt;&lt;ref-type name="Journal Article"&gt;17&lt;/ref-type&gt;&lt;contributors&gt;&lt;authors&gt;&lt;author&gt;Gennari, L.&lt;/author&gt;&lt;author&gt;Merlotti, D.&lt;/author&gt;&lt;author&gt;De Paola, V.&lt;/author&gt;&lt;author&gt;Calabro, A.&lt;/author&gt;&lt;author&gt;Becherini, L.&lt;/author&gt;&lt;author&gt;Martini, G.&lt;/author&gt;&lt;author&gt;Nuti, R.&lt;/author&gt;&lt;/authors&gt;&lt;/contributors&gt;&lt;auth-address&gt;Department of Internal Medicine, Endocrine-Metabolic Sciences and Biochemistry, Faculty of Medicine, University of Siena, 53100 Siena, Italy. gennari@unisi.it&lt;/auth-address&gt;&lt;titles&gt;&lt;title&gt;Estrogen receptor gene polymorphisms and the genetics of osteoporosis: a HuGE review&lt;/title&gt;&lt;secondary-title&gt;Am J Epidemiol&lt;/secondary-title&gt;&lt;/titles&gt;&lt;periodical&gt;&lt;full-title&gt;Am J Epidemiol&lt;/full-title&gt;&lt;/periodical&gt;&lt;pages&gt;307-20&lt;/pages&gt;&lt;volume&gt;161&lt;/volume&gt;&lt;number&gt;4&lt;/number&gt;&lt;edition&gt;2005/02/05&lt;/edition&gt;&lt;keywords&gt;&lt;keyword&gt;Bone Density/genetics&lt;/keyword&gt;&lt;keyword&gt;Deoxyribonucleases, Type II Site-Specific/genetics&lt;/keyword&gt;&lt;keyword&gt;Estrogen Receptor alpha/ genetics&lt;/keyword&gt;&lt;keyword&gt;Estrogen Receptor beta/ genetics&lt;/keyword&gt;&lt;keyword&gt;Humans&lt;/keyword&gt;&lt;keyword&gt;Osteoporosis/ genetics&lt;/keyword&gt;&lt;keyword&gt;Polymorphism, Genetic/ genetics&lt;/keyword&gt;&lt;/keywords&gt;&lt;dates&gt;&lt;year&gt;2005&lt;/year&gt;&lt;pub-dates&gt;&lt;date&gt;Feb 15&lt;/date&gt;&lt;/pub-dates&gt;&lt;/dates&gt;&lt;isbn&gt;0002-9262 (Print)&amp;#xD;0002-9262 (Linking)&lt;/isbn&gt;&lt;accession-num&gt;15692074&lt;/accession-num&gt;&lt;urls&gt;&lt;/urls&gt;&lt;electronic-resource-num&gt;10.1093/aje/kwi055&lt;/electronic-resource-num&gt;&lt;remote-database-provider&gt;NLM&lt;/remote-database-provider&gt;&lt;language&gt;eng&lt;/language&gt;&lt;/record&gt;&lt;/Cite&gt;&lt;/EndNote&gt;</w:instrText>
      </w:r>
      <w:r w:rsidR="00F013B6">
        <w:rPr>
          <w:rFonts w:ascii="Arial" w:hAnsi="Arial" w:cs="Arial"/>
        </w:rPr>
        <w:fldChar w:fldCharType="separate"/>
      </w:r>
      <w:r w:rsidR="005A347B">
        <w:rPr>
          <w:rFonts w:ascii="Arial" w:hAnsi="Arial" w:cs="Arial"/>
          <w:noProof/>
        </w:rPr>
        <w:t>(</w:t>
      </w:r>
      <w:hyperlink w:anchor="_ENREF_146" w:tooltip="Gennari, 2005 #352" w:history="1">
        <w:r w:rsidR="003B725E">
          <w:rPr>
            <w:rFonts w:ascii="Arial" w:hAnsi="Arial" w:cs="Arial"/>
            <w:noProof/>
          </w:rPr>
          <w:t>146</w:t>
        </w:r>
      </w:hyperlink>
      <w:r w:rsidR="005A347B">
        <w:rPr>
          <w:rFonts w:ascii="Arial" w:hAnsi="Arial" w:cs="Arial"/>
          <w:noProof/>
        </w:rPr>
        <w:t>)</w:t>
      </w:r>
      <w:r w:rsidR="00F013B6">
        <w:rPr>
          <w:rFonts w:ascii="Arial" w:hAnsi="Arial" w:cs="Arial"/>
        </w:rPr>
        <w:fldChar w:fldCharType="end"/>
      </w:r>
      <w:r w:rsidR="000E04F5" w:rsidRPr="00A37043">
        <w:rPr>
          <w:rFonts w:ascii="Arial" w:hAnsi="Arial" w:cs="Arial"/>
        </w:rPr>
        <w:t>. Evidence from genetic studies have also identified inactivating and activating mutations in the LRPS 5 gene impai</w:t>
      </w:r>
      <w:r w:rsidR="007B5139" w:rsidRPr="00A37043">
        <w:rPr>
          <w:rFonts w:ascii="Arial" w:hAnsi="Arial" w:cs="Arial"/>
        </w:rPr>
        <w:t>ring the Wnt signal</w:t>
      </w:r>
      <w:r w:rsidR="001A409F">
        <w:rPr>
          <w:rFonts w:ascii="Arial" w:hAnsi="Arial" w:cs="Arial"/>
        </w:rPr>
        <w:t xml:space="preserve">ling pathway and bone format </w:t>
      </w:r>
      <w:r w:rsidR="001A409F">
        <w:rPr>
          <w:rFonts w:ascii="Arial" w:hAnsi="Arial" w:cs="Arial"/>
        </w:rPr>
        <w:fldChar w:fldCharType="begin">
          <w:fldData xml:space="preserve">PEVuZE5vdGU+PENpdGU+PEF1dGhvcj5CYXJvbjwvQXV0aG9yPjxZZWFyPjIwMTE8L1llYXI+PFJl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PEVuZE5vdGU+PENpdGU+PEF1dGhvcj5CYXJvbjwvQXV0aG9yPjxZZWFyPjIwMTE8L1llYXI+PFJl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A409F">
        <w:rPr>
          <w:rFonts w:ascii="Arial" w:hAnsi="Arial" w:cs="Arial"/>
        </w:rPr>
      </w:r>
      <w:r w:rsidR="001A409F">
        <w:rPr>
          <w:rFonts w:ascii="Arial" w:hAnsi="Arial" w:cs="Arial"/>
        </w:rPr>
        <w:fldChar w:fldCharType="separate"/>
      </w:r>
      <w:r w:rsidR="005A347B">
        <w:rPr>
          <w:rFonts w:ascii="Arial" w:hAnsi="Arial" w:cs="Arial"/>
          <w:noProof/>
        </w:rPr>
        <w:t>(</w:t>
      </w:r>
      <w:hyperlink w:anchor="_ENREF_147" w:tooltip="Baron, 2011 #415" w:history="1">
        <w:r w:rsidR="003B725E">
          <w:rPr>
            <w:rFonts w:ascii="Arial" w:hAnsi="Arial" w:cs="Arial"/>
            <w:noProof/>
          </w:rPr>
          <w:t>147</w:t>
        </w:r>
      </w:hyperlink>
      <w:r w:rsidR="005A347B">
        <w:rPr>
          <w:rFonts w:ascii="Arial" w:hAnsi="Arial" w:cs="Arial"/>
          <w:noProof/>
        </w:rPr>
        <w:t xml:space="preserve">, </w:t>
      </w:r>
      <w:hyperlink w:anchor="_ENREF_148" w:tooltip="Ferrari, 2005 #354" w:history="1">
        <w:r w:rsidR="003B725E">
          <w:rPr>
            <w:rFonts w:ascii="Arial" w:hAnsi="Arial" w:cs="Arial"/>
            <w:noProof/>
          </w:rPr>
          <w:t>148</w:t>
        </w:r>
      </w:hyperlink>
      <w:r w:rsidR="005A347B">
        <w:rPr>
          <w:rFonts w:ascii="Arial" w:hAnsi="Arial" w:cs="Arial"/>
          <w:noProof/>
        </w:rPr>
        <w:t>)</w:t>
      </w:r>
      <w:r w:rsidR="001A409F">
        <w:rPr>
          <w:rFonts w:ascii="Arial" w:hAnsi="Arial" w:cs="Arial"/>
        </w:rPr>
        <w:fldChar w:fldCharType="end"/>
      </w:r>
      <w:r w:rsidR="001A409F">
        <w:rPr>
          <w:rFonts w:ascii="Arial" w:hAnsi="Arial" w:cs="Arial"/>
        </w:rPr>
        <w:t>. A</w:t>
      </w:r>
      <w:r w:rsidR="007B5139" w:rsidRPr="00A37043">
        <w:rPr>
          <w:rFonts w:ascii="Arial" w:hAnsi="Arial" w:cs="Arial"/>
        </w:rPr>
        <w:t xml:space="preserve"> functional polymorphism in exon 4 of the methylenetetrahydrofolate reductase (MTHFR) </w:t>
      </w:r>
      <w:r w:rsidR="008210B4" w:rsidRPr="00A37043">
        <w:rPr>
          <w:rFonts w:ascii="Arial" w:hAnsi="Arial" w:cs="Arial"/>
        </w:rPr>
        <w:t xml:space="preserve">gene </w:t>
      </w:r>
      <w:r w:rsidR="001A409F">
        <w:rPr>
          <w:rFonts w:ascii="Arial" w:hAnsi="Arial" w:cs="Arial"/>
        </w:rPr>
        <w:t>has been identified which alters the</w:t>
      </w:r>
      <w:r w:rsidR="008210B4" w:rsidRPr="00A37043">
        <w:rPr>
          <w:rFonts w:ascii="Arial" w:hAnsi="Arial" w:cs="Arial"/>
        </w:rPr>
        <w:t xml:space="preserve"> enzymes activity in the methionine cycle </w:t>
      </w:r>
      <w:r w:rsidR="001A409F">
        <w:rPr>
          <w:rFonts w:ascii="Arial" w:hAnsi="Arial" w:cs="Arial"/>
        </w:rPr>
        <w:fldChar w:fldCharType="begin">
          <w:fldData xml:space="preserve">PEVuZE5vdGU+PENpdGU+PEF1dGhvcj5TcG90aWxhPC9BdXRob3I+PFllYXI+MjAwMzwvWWVhcj48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PEVuZE5vdGU+PENpdGU+PEF1dGhvcj5TcG90aWxhPC9BdXRob3I+PFllYXI+MjAwMzwvWWVhcj48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1A409F">
        <w:rPr>
          <w:rFonts w:ascii="Arial" w:hAnsi="Arial" w:cs="Arial"/>
        </w:rPr>
      </w:r>
      <w:r w:rsidR="001A409F">
        <w:rPr>
          <w:rFonts w:ascii="Arial" w:hAnsi="Arial" w:cs="Arial"/>
        </w:rPr>
        <w:fldChar w:fldCharType="separate"/>
      </w:r>
      <w:r w:rsidR="005A347B">
        <w:rPr>
          <w:rFonts w:ascii="Arial" w:hAnsi="Arial" w:cs="Arial"/>
          <w:noProof/>
        </w:rPr>
        <w:t>(</w:t>
      </w:r>
      <w:hyperlink w:anchor="_ENREF_149" w:tooltip="Spotila, 2003 #356" w:history="1">
        <w:r w:rsidR="003B725E">
          <w:rPr>
            <w:rFonts w:ascii="Arial" w:hAnsi="Arial" w:cs="Arial"/>
            <w:noProof/>
          </w:rPr>
          <w:t>149</w:t>
        </w:r>
      </w:hyperlink>
      <w:r w:rsidR="005A347B">
        <w:rPr>
          <w:rFonts w:ascii="Arial" w:hAnsi="Arial" w:cs="Arial"/>
          <w:noProof/>
        </w:rPr>
        <w:t>)</w:t>
      </w:r>
      <w:r w:rsidR="001A409F">
        <w:rPr>
          <w:rFonts w:ascii="Arial" w:hAnsi="Arial" w:cs="Arial"/>
        </w:rPr>
        <w:fldChar w:fldCharType="end"/>
      </w:r>
      <w:r w:rsidR="008210B4" w:rsidRPr="00A37043">
        <w:rPr>
          <w:rFonts w:ascii="Arial" w:hAnsi="Arial" w:cs="Arial"/>
        </w:rPr>
        <w:t>. This results in an alanine to valine change at codon 677 causing reduced MTHFR activity and is associated with increased homocysteine levels</w:t>
      </w:r>
      <w:r w:rsidR="0081427A">
        <w:rPr>
          <w:rFonts w:ascii="Arial" w:hAnsi="Arial" w:cs="Arial"/>
        </w:rPr>
        <w:t xml:space="preserve"> </w:t>
      </w:r>
      <w:r w:rsidR="0081427A">
        <w:rPr>
          <w:rFonts w:ascii="Arial" w:hAnsi="Arial" w:cs="Arial"/>
        </w:rPr>
        <w:fldChar w:fldCharType="begin">
          <w:fldData xml:space="preserve">PEVuZE5vdGU+PENpdGU+PEF1dGhvcj5SZWlsbHk8L0F1dGhvcj48WWVhcj4yMDE0PC9ZZWFyPjxS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PEVuZE5vdGU+PENpdGU+PEF1dGhvcj5SZWlsbHk8L0F1dGhvcj48WWVhcj4yMDE0PC9ZZWFyPjxS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81427A">
        <w:rPr>
          <w:rFonts w:ascii="Arial" w:hAnsi="Arial" w:cs="Arial"/>
        </w:rPr>
      </w:r>
      <w:r w:rsidR="0081427A">
        <w:rPr>
          <w:rFonts w:ascii="Arial" w:hAnsi="Arial" w:cs="Arial"/>
        </w:rPr>
        <w:fldChar w:fldCharType="separate"/>
      </w:r>
      <w:r w:rsidR="005A347B">
        <w:rPr>
          <w:rFonts w:ascii="Arial" w:hAnsi="Arial" w:cs="Arial"/>
          <w:noProof/>
        </w:rPr>
        <w:t>(</w:t>
      </w:r>
      <w:hyperlink w:anchor="_ENREF_150" w:tooltip="Reilly, 2014 #357" w:history="1">
        <w:r w:rsidR="003B725E">
          <w:rPr>
            <w:rFonts w:ascii="Arial" w:hAnsi="Arial" w:cs="Arial"/>
            <w:noProof/>
          </w:rPr>
          <w:t>150</w:t>
        </w:r>
      </w:hyperlink>
      <w:r w:rsidR="005A347B">
        <w:rPr>
          <w:rFonts w:ascii="Arial" w:hAnsi="Arial" w:cs="Arial"/>
          <w:noProof/>
        </w:rPr>
        <w:t>)</w:t>
      </w:r>
      <w:r w:rsidR="0081427A">
        <w:rPr>
          <w:rFonts w:ascii="Arial" w:hAnsi="Arial" w:cs="Arial"/>
        </w:rPr>
        <w:fldChar w:fldCharType="end"/>
      </w:r>
      <w:r w:rsidR="008210B4" w:rsidRPr="00A37043">
        <w:rPr>
          <w:rFonts w:ascii="Arial" w:hAnsi="Arial" w:cs="Arial"/>
        </w:rPr>
        <w:t xml:space="preserve"> and </w:t>
      </w:r>
      <w:r w:rsidR="0081427A">
        <w:rPr>
          <w:rFonts w:ascii="Arial" w:hAnsi="Arial" w:cs="Arial"/>
        </w:rPr>
        <w:t xml:space="preserve">osteoporotic </w:t>
      </w:r>
      <w:r w:rsidR="008210B4" w:rsidRPr="00A37043">
        <w:rPr>
          <w:rFonts w:ascii="Arial" w:hAnsi="Arial" w:cs="Arial"/>
        </w:rPr>
        <w:t xml:space="preserve">fracture risk </w:t>
      </w:r>
      <w:r w:rsidR="0081427A">
        <w:rPr>
          <w:rFonts w:ascii="Arial" w:hAnsi="Arial" w:cs="Arial"/>
        </w:rPr>
        <w:fldChar w:fldCharType="begin">
          <w:fldData xml:space="preserve">PEVuZE5vdGU+PENpdGU+PEF1dGhvcj5NY0xlYW48L0F1dGhvcj48WWVhcj4yMDA0PC9ZZWFyPjxS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LTE+PC9wZXJpb2RpY2FsPjxwYWdlcz43NDctNTY8L3BhZ2VzPjx2b2x1bWU+MjI8L3ZvbHVtZT48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PEVuZE5vdGU+PENpdGU+PEF1dGhvcj5NY0xlYW48L0F1dGhvcj48WWVhcj4yMDA0PC9ZZWFyPjxS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LTE+PC9wZXJpb2RpY2FsPjxwYWdlcz43NDctNTY8L3BhZ2VzPjx2b2x1bWU+MjI8L3ZvbHVtZT48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81427A">
        <w:rPr>
          <w:rFonts w:ascii="Arial" w:hAnsi="Arial" w:cs="Arial"/>
        </w:rPr>
      </w:r>
      <w:r w:rsidR="0081427A">
        <w:rPr>
          <w:rFonts w:ascii="Arial" w:hAnsi="Arial" w:cs="Arial"/>
        </w:rPr>
        <w:fldChar w:fldCharType="separate"/>
      </w:r>
      <w:r w:rsidR="005A347B">
        <w:rPr>
          <w:rFonts w:ascii="Arial" w:hAnsi="Arial" w:cs="Arial"/>
          <w:noProof/>
        </w:rPr>
        <w:t>(</w:t>
      </w:r>
      <w:hyperlink w:anchor="_ENREF_151" w:tooltip="McLean, 2004 #358" w:history="1">
        <w:r w:rsidR="003B725E">
          <w:rPr>
            <w:rFonts w:ascii="Arial" w:hAnsi="Arial" w:cs="Arial"/>
            <w:noProof/>
          </w:rPr>
          <w:t>151-153</w:t>
        </w:r>
      </w:hyperlink>
      <w:r w:rsidR="005A347B">
        <w:rPr>
          <w:rFonts w:ascii="Arial" w:hAnsi="Arial" w:cs="Arial"/>
          <w:noProof/>
        </w:rPr>
        <w:t>)</w:t>
      </w:r>
      <w:r w:rsidR="0081427A">
        <w:rPr>
          <w:rFonts w:ascii="Arial" w:hAnsi="Arial" w:cs="Arial"/>
        </w:rPr>
        <w:fldChar w:fldCharType="end"/>
      </w:r>
      <w:r w:rsidR="0081427A">
        <w:rPr>
          <w:rFonts w:ascii="Arial" w:hAnsi="Arial" w:cs="Arial"/>
        </w:rPr>
        <w:t xml:space="preserve">. </w:t>
      </w:r>
      <w:r w:rsidR="00BC3D04" w:rsidRPr="00A37043">
        <w:rPr>
          <w:rFonts w:ascii="Arial" w:hAnsi="Arial" w:cs="Arial"/>
        </w:rPr>
        <w:t xml:space="preserve">Novel SNPs continue to be identified as new methods and technologies become available. </w:t>
      </w:r>
      <w:r w:rsidR="000E04F5" w:rsidRPr="00A37043">
        <w:rPr>
          <w:rFonts w:ascii="Arial" w:hAnsi="Arial" w:cs="Arial"/>
        </w:rPr>
        <w:t xml:space="preserve"> </w:t>
      </w:r>
    </w:p>
    <w:p w:rsidR="00BB451F" w:rsidRDefault="00A041E4" w:rsidP="003B725E">
      <w:pPr>
        <w:spacing w:line="360" w:lineRule="auto"/>
        <w:jc w:val="both"/>
        <w:rPr>
          <w:rFonts w:ascii="Arial" w:hAnsi="Arial" w:cs="Arial"/>
        </w:rPr>
      </w:pPr>
      <w:r w:rsidRPr="00197C7B">
        <w:rPr>
          <w:rFonts w:ascii="Arial" w:hAnsi="Arial" w:cs="Arial"/>
        </w:rPr>
        <w:t xml:space="preserve">In postmenopausal osteoporosis </w:t>
      </w:r>
      <w:r w:rsidR="00D47853">
        <w:rPr>
          <w:rFonts w:ascii="Arial" w:hAnsi="Arial" w:cs="Arial"/>
        </w:rPr>
        <w:t xml:space="preserve">estrogen deficiency </w:t>
      </w:r>
      <w:r w:rsidR="00BB4D0B">
        <w:rPr>
          <w:rFonts w:ascii="Arial" w:hAnsi="Arial" w:cs="Arial"/>
        </w:rPr>
        <w:t>is a major risk factor that is related to impaired microarchitecture and increased fracture risk</w:t>
      </w:r>
      <w:r w:rsidR="00D47853">
        <w:rPr>
          <w:rFonts w:ascii="Arial" w:hAnsi="Arial" w:cs="Arial"/>
        </w:rPr>
        <w:t>.</w:t>
      </w:r>
      <w:r w:rsidR="00BB451F">
        <w:rPr>
          <w:rFonts w:ascii="Arial" w:hAnsi="Arial" w:cs="Arial"/>
        </w:rPr>
        <w:t xml:space="preserve"> </w:t>
      </w:r>
      <w:r w:rsidR="00A16981">
        <w:rPr>
          <w:rFonts w:ascii="Arial" w:hAnsi="Arial" w:cs="Arial"/>
        </w:rPr>
        <w:t>At a cellular level e</w:t>
      </w:r>
      <w:r w:rsidR="00BB451F">
        <w:rPr>
          <w:rFonts w:ascii="Arial" w:hAnsi="Arial" w:cs="Arial"/>
        </w:rPr>
        <w:t>strogen deficiency alters the normal cellular activity</w:t>
      </w:r>
      <w:r w:rsidR="00B92CB2">
        <w:rPr>
          <w:rFonts w:ascii="Arial" w:hAnsi="Arial" w:cs="Arial"/>
        </w:rPr>
        <w:t xml:space="preserve"> </w:t>
      </w:r>
      <w:r w:rsidR="00B92CB2">
        <w:rPr>
          <w:rFonts w:ascii="Arial" w:hAnsi="Arial" w:cs="Arial"/>
        </w:rPr>
        <w:fldChar w:fldCharType="begin"/>
      </w:r>
      <w:r w:rsidR="005A347B">
        <w:rPr>
          <w:rFonts w:ascii="Arial" w:hAnsi="Arial" w:cs="Arial"/>
        </w:rPr>
        <w:instrText xml:space="preserve"> ADDIN EN.CITE &lt;EndNote&gt;&lt;Cite&gt;&lt;Author&gt;Khosla&lt;/Author&gt;&lt;Year&gt;2012&lt;/Year&gt;&lt;RecNum&gt;361&lt;/RecNum&gt;&lt;DisplayText&gt;(154)&lt;/DisplayText&gt;&lt;record&gt;&lt;rec-number&gt;361&lt;/rec-number&gt;&lt;foreign-keys&gt;&lt;key app="EN" db-id="p9a5ttsvyvde9me5aw2x05fp5p55axf0wr90" timestamp="1435252258"&gt;361&lt;/key&gt;&lt;/foreign-keys&gt;&lt;ref-type name="Journal Article"&gt;17&lt;/ref-type&gt;&lt;contributors&gt;&lt;authors&gt;&lt;author&gt;Khosla, S.&lt;/author&gt;&lt;author&gt;Oursler, M. J.&lt;/author&gt;&lt;author&gt;Monroe, D. G.&lt;/author&gt;&lt;/authors&gt;&lt;/contributors&gt;&lt;auth-address&gt;Endocrine Research Unit and Kogod Center on Aging, Mayo Clinic and Foundation, Rochester, MN 55905, USA. khosla.sundeep@mayo.edu&lt;/auth-address&gt;&lt;titles&gt;&lt;title&gt;Estrogen and the skeleton&lt;/title&gt;&lt;secondary-title&gt;Trends Endocrinol Metab&lt;/secondary-title&gt;&lt;/titles&gt;&lt;periodical&gt;&lt;full-title&gt;Trends Endocrinol Metab&lt;/full-title&gt;&lt;abbr-1&gt;Trends in endocrinology and metabolism: TEM&lt;/abbr-1&gt;&lt;/periodical&gt;&lt;pages&gt;576-81&lt;/pages&gt;&lt;volume&gt;23&lt;/volume&gt;&lt;number&gt;11&lt;/number&gt;&lt;edition&gt;2012/05/19&lt;/edition&gt;&lt;keywords&gt;&lt;keyword&gt;Animals&lt;/keyword&gt;&lt;keyword&gt;Bone Remodeling&lt;/keyword&gt;&lt;keyword&gt;Bone and Bones/immunology/ metabolism&lt;/keyword&gt;&lt;keyword&gt;Estrogens/ metabolism&lt;/keyword&gt;&lt;keyword&gt;Female&lt;/keyword&gt;&lt;keyword&gt;Humans&lt;/keyword&gt;&lt;keyword&gt;Male&lt;/keyword&gt;&lt;keyword&gt;Osteoblasts/immunology/metabolism&lt;/keyword&gt;&lt;keyword&gt;Osteoclasts/immunology/metabolism&lt;/keyword&gt;&lt;keyword&gt;Osteocytes/immunology/metabolism&lt;/keyword&gt;&lt;keyword&gt;Osteoporosis/immunology/metabolism/prevention &amp;amp; control&lt;/keyword&gt;&lt;keyword&gt;T-Lymphocytes/immunology/metabolism&lt;/keyword&gt;&lt;/keywords&gt;&lt;dates&gt;&lt;year&gt;2012&lt;/year&gt;&lt;pub-dates&gt;&lt;date&gt;Nov&lt;/date&gt;&lt;/pub-dates&gt;&lt;/dates&gt;&lt;isbn&gt;1879-3061 (Electronic)&amp;#xD;1043-2760 (Linking)&lt;/isbn&gt;&lt;accession-num&gt;22595550&lt;/accession-num&gt;&lt;urls&gt;&lt;/urls&gt;&lt;custom2&gt;PMC3424385&lt;/custom2&gt;&lt;custom6&gt;Nihms368636&lt;/custom6&gt;&lt;electronic-resource-num&gt;10.1016/j.tem.2012.03.008&lt;/electronic-resource-num&gt;&lt;remote-database-provider&gt;NLM&lt;/remote-database-provider&gt;&lt;language&gt;eng&lt;/language&gt;&lt;/record&gt;&lt;/Cite&gt;&lt;/EndNote&gt;</w:instrText>
      </w:r>
      <w:r w:rsidR="00B92CB2">
        <w:rPr>
          <w:rFonts w:ascii="Arial" w:hAnsi="Arial" w:cs="Arial"/>
        </w:rPr>
        <w:fldChar w:fldCharType="separate"/>
      </w:r>
      <w:r w:rsidR="005A347B">
        <w:rPr>
          <w:rFonts w:ascii="Arial" w:hAnsi="Arial" w:cs="Arial"/>
          <w:noProof/>
        </w:rPr>
        <w:t>(</w:t>
      </w:r>
      <w:hyperlink w:anchor="_ENREF_154" w:tooltip="Khosla, 2012 #361" w:history="1">
        <w:r w:rsidR="003B725E">
          <w:rPr>
            <w:rFonts w:ascii="Arial" w:hAnsi="Arial" w:cs="Arial"/>
            <w:noProof/>
          </w:rPr>
          <w:t>154</w:t>
        </w:r>
      </w:hyperlink>
      <w:r w:rsidR="005A347B">
        <w:rPr>
          <w:rFonts w:ascii="Arial" w:hAnsi="Arial" w:cs="Arial"/>
          <w:noProof/>
        </w:rPr>
        <w:t>)</w:t>
      </w:r>
      <w:r w:rsidR="00B92CB2">
        <w:rPr>
          <w:rFonts w:ascii="Arial" w:hAnsi="Arial" w:cs="Arial"/>
        </w:rPr>
        <w:fldChar w:fldCharType="end"/>
      </w:r>
      <w:r w:rsidR="00A16981">
        <w:rPr>
          <w:rFonts w:ascii="Arial" w:hAnsi="Arial" w:cs="Arial"/>
        </w:rPr>
        <w:t>.  T</w:t>
      </w:r>
      <w:r w:rsidR="0099265D">
        <w:rPr>
          <w:rFonts w:ascii="Arial" w:hAnsi="Arial" w:cs="Arial"/>
        </w:rPr>
        <w:t>he production of</w:t>
      </w:r>
      <w:r w:rsidR="00BB451F">
        <w:rPr>
          <w:rFonts w:ascii="Arial" w:hAnsi="Arial" w:cs="Arial"/>
        </w:rPr>
        <w:t xml:space="preserve"> TNF </w:t>
      </w:r>
      <w:r w:rsidR="00A16981">
        <w:rPr>
          <w:rFonts w:ascii="Arial" w:hAnsi="Arial" w:cs="Arial"/>
        </w:rPr>
        <w:t>is increased,</w:t>
      </w:r>
      <w:r w:rsidR="00BB451F">
        <w:rPr>
          <w:rFonts w:ascii="Arial" w:hAnsi="Arial" w:cs="Arial"/>
        </w:rPr>
        <w:t xml:space="preserve"> stimulating the stromal cells and preosteoblasts to release several cytokines such as IL-1, IL-6, TGF, MCSF and RANKL. OPG secretion is reduced and M-CSF and RANK secretion is increased. These changes lead to an increase in the population size of the osteoclast precursor cells in the bone marrow and bone resorption </w:t>
      </w:r>
      <w:r w:rsidR="00B92CB2">
        <w:rPr>
          <w:rFonts w:ascii="Arial" w:hAnsi="Arial" w:cs="Arial"/>
        </w:rPr>
        <w:fldChar w:fldCharType="begin">
          <w:fldData xml:space="preserve">PEVuZE5vdGU+PENpdGU+PEF1dGhvcj5QYWNpZmljaTwvQXV0aG9yPjxZZWFyPjE5OTY8L1llYXI+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PEVuZE5vdGU+PENpdGU+PEF1dGhvcj5QYWNpZmljaTwvQXV0aG9yPjxZZWFyPjE5OTY8L1llYXI+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92CB2">
        <w:rPr>
          <w:rFonts w:ascii="Arial" w:hAnsi="Arial" w:cs="Arial"/>
        </w:rPr>
      </w:r>
      <w:r w:rsidR="00B92CB2">
        <w:rPr>
          <w:rFonts w:ascii="Arial" w:hAnsi="Arial" w:cs="Arial"/>
        </w:rPr>
        <w:fldChar w:fldCharType="separate"/>
      </w:r>
      <w:r w:rsidR="005A347B">
        <w:rPr>
          <w:rFonts w:ascii="Arial" w:hAnsi="Arial" w:cs="Arial"/>
          <w:noProof/>
        </w:rPr>
        <w:t>(</w:t>
      </w:r>
      <w:hyperlink w:anchor="_ENREF_155" w:tooltip="Pacifici, 1996 #362" w:history="1">
        <w:r w:rsidR="003B725E">
          <w:rPr>
            <w:rFonts w:ascii="Arial" w:hAnsi="Arial" w:cs="Arial"/>
            <w:noProof/>
          </w:rPr>
          <w:t>155</w:t>
        </w:r>
      </w:hyperlink>
      <w:r w:rsidR="005A347B">
        <w:rPr>
          <w:rFonts w:ascii="Arial" w:hAnsi="Arial" w:cs="Arial"/>
          <w:noProof/>
        </w:rPr>
        <w:t xml:space="preserve">, </w:t>
      </w:r>
      <w:hyperlink w:anchor="_ENREF_156" w:tooltip="Hofbauer, 2000 #363" w:history="1">
        <w:r w:rsidR="003B725E">
          <w:rPr>
            <w:rFonts w:ascii="Arial" w:hAnsi="Arial" w:cs="Arial"/>
            <w:noProof/>
          </w:rPr>
          <w:t>156</w:t>
        </w:r>
      </w:hyperlink>
      <w:r w:rsidR="005A347B">
        <w:rPr>
          <w:rFonts w:ascii="Arial" w:hAnsi="Arial" w:cs="Arial"/>
          <w:noProof/>
        </w:rPr>
        <w:t>)</w:t>
      </w:r>
      <w:r w:rsidR="00B92CB2">
        <w:rPr>
          <w:rFonts w:ascii="Arial" w:hAnsi="Arial" w:cs="Arial"/>
        </w:rPr>
        <w:fldChar w:fldCharType="end"/>
      </w:r>
      <w:r w:rsidR="007F154B">
        <w:rPr>
          <w:rFonts w:ascii="Arial" w:hAnsi="Arial" w:cs="Arial"/>
        </w:rPr>
        <w:t>.</w:t>
      </w:r>
    </w:p>
    <w:p w:rsidR="00BB451F" w:rsidRDefault="00BB451F" w:rsidP="003E6719">
      <w:pPr>
        <w:spacing w:line="360" w:lineRule="auto"/>
        <w:jc w:val="both"/>
        <w:rPr>
          <w:rFonts w:ascii="Arial" w:hAnsi="Arial" w:cs="Arial"/>
        </w:rPr>
      </w:pPr>
      <w:r>
        <w:rPr>
          <w:rFonts w:ascii="Arial" w:hAnsi="Arial" w:cs="Arial"/>
        </w:rPr>
        <w:t xml:space="preserve">As a result </w:t>
      </w:r>
      <w:r w:rsidR="00A44EEC">
        <w:rPr>
          <w:rFonts w:ascii="Arial" w:hAnsi="Arial" w:cs="Arial"/>
        </w:rPr>
        <w:t>of the cellular alterations, several factors contribute to the</w:t>
      </w:r>
      <w:r w:rsidR="009D7D8C">
        <w:rPr>
          <w:rFonts w:ascii="Arial" w:hAnsi="Arial" w:cs="Arial"/>
        </w:rPr>
        <w:t xml:space="preserve"> alteration in the remodelling process,</w:t>
      </w:r>
      <w:r w:rsidR="00EE55BD">
        <w:rPr>
          <w:rFonts w:ascii="Arial" w:hAnsi="Arial" w:cs="Arial"/>
        </w:rPr>
        <w:t xml:space="preserve"> </w:t>
      </w:r>
      <w:r w:rsidR="007D504C">
        <w:rPr>
          <w:rFonts w:ascii="Arial" w:hAnsi="Arial" w:cs="Arial"/>
        </w:rPr>
        <w:t>(Figure 12</w:t>
      </w:r>
      <w:r w:rsidR="009D7D8C">
        <w:rPr>
          <w:rFonts w:ascii="Arial" w:hAnsi="Arial" w:cs="Arial"/>
        </w:rPr>
        <w:t>) and</w:t>
      </w:r>
      <w:r w:rsidR="00A44EEC">
        <w:rPr>
          <w:rFonts w:ascii="Arial" w:hAnsi="Arial" w:cs="Arial"/>
        </w:rPr>
        <w:t xml:space="preserve"> </w:t>
      </w:r>
      <w:r w:rsidR="00E75604">
        <w:rPr>
          <w:rFonts w:ascii="Arial" w:hAnsi="Arial" w:cs="Arial"/>
        </w:rPr>
        <w:t xml:space="preserve">have a </w:t>
      </w:r>
      <w:r>
        <w:rPr>
          <w:rFonts w:ascii="Arial" w:hAnsi="Arial" w:cs="Arial"/>
        </w:rPr>
        <w:t>causative role</w:t>
      </w:r>
      <w:r w:rsidR="00BF243F">
        <w:rPr>
          <w:rFonts w:ascii="Arial" w:hAnsi="Arial" w:cs="Arial"/>
        </w:rPr>
        <w:t xml:space="preserve"> in osteoporosis</w:t>
      </w:r>
      <w:r>
        <w:rPr>
          <w:rFonts w:ascii="Arial" w:hAnsi="Arial" w:cs="Arial"/>
        </w:rPr>
        <w:t>:</w:t>
      </w:r>
    </w:p>
    <w:p w:rsidR="00BB451F" w:rsidRDefault="00D47853" w:rsidP="003E6719">
      <w:pPr>
        <w:pStyle w:val="ListParagraph"/>
        <w:numPr>
          <w:ilvl w:val="0"/>
          <w:numId w:val="23"/>
        </w:numPr>
        <w:spacing w:line="360" w:lineRule="auto"/>
        <w:jc w:val="both"/>
        <w:rPr>
          <w:rFonts w:ascii="Arial" w:hAnsi="Arial" w:cs="Arial"/>
        </w:rPr>
      </w:pPr>
      <w:r w:rsidRPr="00BB451F">
        <w:rPr>
          <w:rFonts w:ascii="Arial" w:hAnsi="Arial" w:cs="Arial"/>
        </w:rPr>
        <w:t>There is i</w:t>
      </w:r>
      <w:r w:rsidR="00BB451F" w:rsidRPr="00BB451F">
        <w:rPr>
          <w:rFonts w:ascii="Arial" w:hAnsi="Arial" w:cs="Arial"/>
        </w:rPr>
        <w:t>ncreased bone resorption</w:t>
      </w:r>
      <w:r w:rsidR="00A16981">
        <w:rPr>
          <w:rFonts w:ascii="Arial" w:hAnsi="Arial" w:cs="Arial"/>
        </w:rPr>
        <w:t xml:space="preserve"> causing</w:t>
      </w:r>
      <w:r w:rsidR="00E4326F">
        <w:rPr>
          <w:rFonts w:ascii="Arial" w:hAnsi="Arial" w:cs="Arial"/>
        </w:rPr>
        <w:t xml:space="preserve"> an imbalance (negative balance)</w:t>
      </w:r>
      <w:r w:rsidR="00BB451F">
        <w:rPr>
          <w:rFonts w:ascii="Arial" w:hAnsi="Arial" w:cs="Arial"/>
        </w:rPr>
        <w:t xml:space="preserve"> in bone tur</w:t>
      </w:r>
      <w:r w:rsidR="00A16981">
        <w:rPr>
          <w:rFonts w:ascii="Arial" w:hAnsi="Arial" w:cs="Arial"/>
        </w:rPr>
        <w:t>n</w:t>
      </w:r>
      <w:r w:rsidR="00BB451F">
        <w:rPr>
          <w:rFonts w:ascii="Arial" w:hAnsi="Arial" w:cs="Arial"/>
        </w:rPr>
        <w:t>over.</w:t>
      </w:r>
    </w:p>
    <w:p w:rsidR="00BB451F" w:rsidRDefault="00BB451F" w:rsidP="003E6719">
      <w:pPr>
        <w:pStyle w:val="ListParagraph"/>
        <w:numPr>
          <w:ilvl w:val="0"/>
          <w:numId w:val="23"/>
        </w:numPr>
        <w:spacing w:line="360" w:lineRule="auto"/>
        <w:jc w:val="both"/>
        <w:rPr>
          <w:rFonts w:ascii="Arial" w:hAnsi="Arial" w:cs="Arial"/>
        </w:rPr>
      </w:pPr>
      <w:r>
        <w:rPr>
          <w:rFonts w:ascii="Arial" w:hAnsi="Arial" w:cs="Arial"/>
        </w:rPr>
        <w:t>There is an accumulation of micro damage</w:t>
      </w:r>
    </w:p>
    <w:p w:rsidR="00BB451F" w:rsidRDefault="00BB451F" w:rsidP="003E6719">
      <w:pPr>
        <w:pStyle w:val="ListParagraph"/>
        <w:numPr>
          <w:ilvl w:val="0"/>
          <w:numId w:val="23"/>
        </w:numPr>
        <w:spacing w:line="360" w:lineRule="auto"/>
        <w:jc w:val="both"/>
        <w:rPr>
          <w:rFonts w:ascii="Arial" w:hAnsi="Arial" w:cs="Arial"/>
        </w:rPr>
      </w:pPr>
      <w:r>
        <w:rPr>
          <w:rFonts w:ascii="Arial" w:hAnsi="Arial" w:cs="Arial"/>
        </w:rPr>
        <w:t>T</w:t>
      </w:r>
      <w:r w:rsidRPr="00BB451F">
        <w:rPr>
          <w:rFonts w:ascii="Arial" w:hAnsi="Arial" w:cs="Arial"/>
        </w:rPr>
        <w:t>he</w:t>
      </w:r>
      <w:r>
        <w:rPr>
          <w:rFonts w:ascii="Arial" w:hAnsi="Arial" w:cs="Arial"/>
        </w:rPr>
        <w:t>re is a</w:t>
      </w:r>
      <w:r w:rsidRPr="00BB451F">
        <w:rPr>
          <w:rFonts w:ascii="Arial" w:hAnsi="Arial" w:cs="Arial"/>
        </w:rPr>
        <w:t xml:space="preserve"> loss </w:t>
      </w:r>
      <w:r>
        <w:rPr>
          <w:rFonts w:ascii="Arial" w:hAnsi="Arial" w:cs="Arial"/>
        </w:rPr>
        <w:t>of trabecular bone architecture</w:t>
      </w:r>
      <w:r w:rsidR="00BF243F">
        <w:rPr>
          <w:rFonts w:ascii="Arial" w:hAnsi="Arial" w:cs="Arial"/>
        </w:rPr>
        <w:t xml:space="preserve"> and thinner cortical bone</w:t>
      </w:r>
    </w:p>
    <w:p w:rsidR="00BB451F" w:rsidRDefault="00BB451F" w:rsidP="003E6719">
      <w:pPr>
        <w:pStyle w:val="ListParagraph"/>
        <w:numPr>
          <w:ilvl w:val="0"/>
          <w:numId w:val="23"/>
        </w:numPr>
        <w:spacing w:line="360" w:lineRule="auto"/>
        <w:jc w:val="both"/>
        <w:rPr>
          <w:rFonts w:ascii="Arial" w:hAnsi="Arial" w:cs="Arial"/>
        </w:rPr>
      </w:pPr>
      <w:r>
        <w:rPr>
          <w:rFonts w:ascii="Arial" w:hAnsi="Arial" w:cs="Arial"/>
        </w:rPr>
        <w:t>There is accelerated bone loss</w:t>
      </w:r>
    </w:p>
    <w:p w:rsidR="00EE55BD" w:rsidRPr="00EE55BD" w:rsidRDefault="00BB451F" w:rsidP="003E6719">
      <w:pPr>
        <w:pStyle w:val="ListParagraph"/>
        <w:numPr>
          <w:ilvl w:val="0"/>
          <w:numId w:val="23"/>
        </w:numPr>
        <w:spacing w:line="360" w:lineRule="auto"/>
        <w:jc w:val="both"/>
        <w:rPr>
          <w:rFonts w:ascii="Arial" w:hAnsi="Arial" w:cs="Arial"/>
        </w:rPr>
      </w:pPr>
      <w:r>
        <w:rPr>
          <w:rFonts w:ascii="Arial" w:hAnsi="Arial" w:cs="Arial"/>
        </w:rPr>
        <w:t xml:space="preserve">There is </w:t>
      </w:r>
      <w:r w:rsidR="0043107F" w:rsidRPr="00BB451F">
        <w:rPr>
          <w:rFonts w:ascii="Arial" w:hAnsi="Arial" w:cs="Arial"/>
        </w:rPr>
        <w:t>increased</w:t>
      </w:r>
      <w:r w:rsidR="00DE7AB3" w:rsidRPr="00BB451F">
        <w:rPr>
          <w:rFonts w:ascii="Arial" w:hAnsi="Arial" w:cs="Arial"/>
        </w:rPr>
        <w:t xml:space="preserve"> fragility and fracture risk. </w:t>
      </w:r>
    </w:p>
    <w:p w:rsidR="00832431" w:rsidRPr="00520E4A" w:rsidRDefault="007D504C" w:rsidP="003E6719">
      <w:pPr>
        <w:pStyle w:val="ListParagraph"/>
        <w:spacing w:line="360" w:lineRule="auto"/>
        <w:jc w:val="both"/>
        <w:rPr>
          <w:rFonts w:ascii="Arial" w:hAnsi="Arial" w:cs="Arial"/>
        </w:rPr>
      </w:pPr>
      <w:r>
        <w:rPr>
          <w:rFonts w:ascii="Arial" w:hAnsi="Arial" w:cs="Arial"/>
        </w:rPr>
        <w:t>(Figure 13</w:t>
      </w:r>
      <w:r w:rsidR="00EE55BD" w:rsidRPr="00EE55BD">
        <w:rPr>
          <w:rFonts w:ascii="Arial" w:hAnsi="Arial" w:cs="Arial"/>
        </w:rPr>
        <w:t>)</w:t>
      </w:r>
    </w:p>
    <w:p w:rsidR="005C0CB2" w:rsidRDefault="00520E4A" w:rsidP="003B725E">
      <w:pPr>
        <w:spacing w:line="360" w:lineRule="auto"/>
        <w:jc w:val="both"/>
        <w:rPr>
          <w:rFonts w:ascii="Arial" w:hAnsi="Arial" w:cs="Arial"/>
        </w:rPr>
      </w:pPr>
      <w:r>
        <w:rPr>
          <w:rFonts w:ascii="Arial" w:hAnsi="Arial" w:cs="Arial"/>
        </w:rPr>
        <w:t xml:space="preserve">The imbalance at the BMU between bone resorption and bone formation results in a change in the initiation of new remodelling cycles. The magnitude of the imbalance determines the amount of bone loss at the BMU </w:t>
      </w:r>
      <w:r>
        <w:rPr>
          <w:rFonts w:ascii="Arial" w:hAnsi="Arial" w:cs="Arial"/>
        </w:rPr>
        <w:fldChar w:fldCharType="begin">
          <w:fldData xml:space="preserve">PEVuZE5vdGU+PENpdGU+PEF1dGhvcj5Db21wc3RvbjwvQXV0aG9yPjxZZWFyPjIwMDc8L1llYXI+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YXJjaDwvYWJici0xPjwvYWx0LXBlcmlvZGljYWw+PHBhZ2VzPjEwMzEtNjwvcGFnZXM+PHZvbHVt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PEVuZE5vdGU+PENpdGU+PEF1dGhvcj5Db21wc3RvbjwvQXV0aG9yPjxZZWFyPjIwMDc8L1llYXI+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YXJjaDwvYWJici0xPjwvYWx0LXBlcmlvZGljYWw+PHBhZ2VzPjEwMzEtNjwvcGFnZXM+PHZvbHVt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Pr>
          <w:rFonts w:ascii="Arial" w:hAnsi="Arial" w:cs="Arial"/>
        </w:rPr>
      </w:r>
      <w:r>
        <w:rPr>
          <w:rFonts w:ascii="Arial" w:hAnsi="Arial" w:cs="Arial"/>
        </w:rPr>
        <w:fldChar w:fldCharType="separate"/>
      </w:r>
      <w:r w:rsidR="005A347B">
        <w:rPr>
          <w:rFonts w:ascii="Arial" w:hAnsi="Arial" w:cs="Arial"/>
          <w:noProof/>
        </w:rPr>
        <w:t>(</w:t>
      </w:r>
      <w:hyperlink w:anchor="_ENREF_157" w:tooltip="Compston, 2007 #106" w:history="1">
        <w:r w:rsidR="003B725E">
          <w:rPr>
            <w:rFonts w:ascii="Arial" w:hAnsi="Arial" w:cs="Arial"/>
            <w:noProof/>
          </w:rPr>
          <w:t>157</w:t>
        </w:r>
      </w:hyperlink>
      <w:r w:rsidR="005A347B">
        <w:rPr>
          <w:rFonts w:ascii="Arial" w:hAnsi="Arial" w:cs="Arial"/>
          <w:noProof/>
        </w:rPr>
        <w:t>)</w:t>
      </w:r>
      <w:r>
        <w:rPr>
          <w:rFonts w:ascii="Arial" w:hAnsi="Arial" w:cs="Arial"/>
        </w:rPr>
        <w:fldChar w:fldCharType="end"/>
      </w:r>
      <w:r>
        <w:rPr>
          <w:rFonts w:ascii="Arial" w:hAnsi="Arial" w:cs="Arial"/>
        </w:rPr>
        <w:t xml:space="preserve">. There is also an increase in the activation frequency which represents the average time taken between the initiation of two successive remodelling cycles at the same skeletal site </w:t>
      </w:r>
      <w:r>
        <w:rPr>
          <w:rFonts w:ascii="Arial" w:hAnsi="Arial" w:cs="Arial"/>
        </w:rPr>
        <w:fldChar w:fldCharType="begin"/>
      </w:r>
      <w:r w:rsidR="005A347B">
        <w:rPr>
          <w:rFonts w:ascii="Arial" w:hAnsi="Arial" w:cs="Arial"/>
        </w:rPr>
        <w:instrText xml:space="preserve"> ADDIN EN.CITE &lt;EndNote&gt;&lt;Cite&gt;&lt;Author&gt;Parfitt&lt;/Author&gt;&lt;Year&gt;1987&lt;/Year&gt;&lt;RecNum&gt;107&lt;/RecNum&gt;&lt;DisplayText&gt;(158)&lt;/DisplayText&gt;&lt;record&gt;&lt;rec-number&gt;107&lt;/rec-number&gt;&lt;foreign-keys&gt;&lt;key app="EN" db-id="p9a5ttsvyvde9me5aw2x05fp5p55axf0wr90" timestamp="1417715005"&gt;107&lt;/key&gt;&lt;/foreign-keys&gt;&lt;ref-type name="Journal Article"&gt;17&lt;/ref-type&gt;&lt;contributors&gt;&lt;authors&gt;&lt;author&gt;Parfitt, A. M.&lt;/author&gt;&lt;author&gt;Drezner, M. K.&lt;/author&gt;&lt;author&gt;Glorieux, F. H.&lt;/author&gt;&lt;author&gt;Kanis, J. A.&lt;/author&gt;&lt;author&gt;Malluche, H.&lt;/author&gt;&lt;author&gt;Meunier, P. J.&lt;/author&gt;&lt;author&gt;Ott, S. M.&lt;/author&gt;&lt;author&gt;Recker, R. R.&lt;/author&gt;&lt;/authors&gt;&lt;/contributors&gt;&lt;auth-address&gt;Department of Medicine, Henry Ford Hospital, Detroit, MI.&lt;/auth-address&gt;&lt;titles&gt;&lt;title&gt;Bone histomorphometry: standardization of nomenclature, symbols, and units. Report of the ASBMR Histomorphometry Nomenclature Committee&lt;/title&gt;&lt;secondary-title&gt;J Bone Miner Res&lt;/secondary-title&gt;&lt;alt-title&gt;Journal of bone and mineral research : the official journal of the American Society for Bone and Mineral Research&lt;/alt-title&gt;&lt;/titles&gt;&lt;periodical&gt;&lt;full-title&gt;J Bone Miner Res&lt;/full-title&gt;&lt;abbr-1&gt;Journal of bone and mineral research : the official journal of the American Society for Bone and Mineral Research&lt;/abbr-1&gt;&lt;/periodical&gt;&lt;alt-periodical&gt;&lt;full-title&gt;J Bone Miner Res&lt;/full-title&gt;&lt;abbr-1&gt;Journal of bone and mineral research : the official journal of the American Society for Bone and Mineral Research&lt;/abbr-1&gt;&lt;/alt-periodical&gt;&lt;pages&gt;595-610&lt;/pages&gt;&lt;volume&gt;2&lt;/volume&gt;&lt;number&gt;6&lt;/number&gt;&lt;edition&gt;1987/12/01&lt;/edition&gt;&lt;keywords&gt;&lt;keyword&gt;Animals&lt;/keyword&gt;&lt;keyword&gt;Bone and Bones/ cytology&lt;/keyword&gt;&lt;keyword&gt;Humans&lt;/keyword&gt;&lt;keyword&gt;Terminology as Topic&lt;/keyword&gt;&lt;/keywords&gt;&lt;dates&gt;&lt;year&gt;1987&lt;/year&gt;&lt;pub-dates&gt;&lt;date&gt;Dec&lt;/date&gt;&lt;/pub-dates&gt;&lt;/dates&gt;&lt;isbn&gt;0884-0431 (Print)&amp;#xD;0884-0431 (Linking)&lt;/isbn&gt;&lt;accession-num&gt;3455637&lt;/accession-num&gt;&lt;urls&gt;&lt;/urls&gt;&lt;electronic-resource-num&gt;10.1002/jbmr.5650020617&lt;/electronic-resource-num&gt;&lt;remote-database-provider&gt;NLM&lt;/remote-database-provider&gt;&lt;language&gt;eng&lt;/language&gt;&lt;/record&gt;&lt;/Cite&gt;&lt;/EndNote&gt;</w:instrText>
      </w:r>
      <w:r>
        <w:rPr>
          <w:rFonts w:ascii="Arial" w:hAnsi="Arial" w:cs="Arial"/>
        </w:rPr>
        <w:fldChar w:fldCharType="separate"/>
      </w:r>
      <w:r w:rsidR="005A347B">
        <w:rPr>
          <w:rFonts w:ascii="Arial" w:hAnsi="Arial" w:cs="Arial"/>
          <w:noProof/>
        </w:rPr>
        <w:t>(</w:t>
      </w:r>
      <w:hyperlink w:anchor="_ENREF_158" w:tooltip="Parfitt, 1987 #107" w:history="1">
        <w:r w:rsidR="003B725E">
          <w:rPr>
            <w:rFonts w:ascii="Arial" w:hAnsi="Arial" w:cs="Arial"/>
            <w:noProof/>
          </w:rPr>
          <w:t>158</w:t>
        </w:r>
      </w:hyperlink>
      <w:r w:rsidR="005A347B">
        <w:rPr>
          <w:rFonts w:ascii="Arial" w:hAnsi="Arial" w:cs="Arial"/>
          <w:noProof/>
        </w:rPr>
        <w:t>)</w:t>
      </w:r>
      <w:r>
        <w:rPr>
          <w:rFonts w:ascii="Arial" w:hAnsi="Arial" w:cs="Arial"/>
        </w:rPr>
        <w:fldChar w:fldCharType="end"/>
      </w:r>
      <w:r w:rsidR="00730C4B">
        <w:rPr>
          <w:rFonts w:ascii="Arial" w:hAnsi="Arial" w:cs="Arial"/>
        </w:rPr>
        <w:t xml:space="preserve">.   </w:t>
      </w:r>
    </w:p>
    <w:p w:rsidR="005C0CB2" w:rsidRDefault="005C0CB2" w:rsidP="003E6719">
      <w:pPr>
        <w:spacing w:line="360" w:lineRule="auto"/>
        <w:rPr>
          <w:rFonts w:ascii="Arial" w:hAnsi="Arial" w:cs="Arial"/>
        </w:rPr>
      </w:pPr>
    </w:p>
    <w:p w:rsidR="00254E3B" w:rsidRDefault="00254E3B" w:rsidP="00900F2C">
      <w:pPr>
        <w:spacing w:line="360" w:lineRule="auto"/>
        <w:ind w:left="360"/>
        <w:rPr>
          <w:rFonts w:ascii="Arial" w:hAnsi="Arial" w:cs="Arial"/>
        </w:rPr>
      </w:pPr>
    </w:p>
    <w:p w:rsidR="00254E3B" w:rsidRPr="009D7D8C" w:rsidRDefault="00254E3B" w:rsidP="00900F2C">
      <w:pPr>
        <w:spacing w:line="360" w:lineRule="auto"/>
        <w:ind w:left="360"/>
        <w:rPr>
          <w:rFonts w:ascii="Arial" w:hAnsi="Arial" w:cs="Arial"/>
        </w:rPr>
      </w:pPr>
      <w:r>
        <w:rPr>
          <w:rFonts w:ascii="Arial" w:hAnsi="Arial" w:cs="Arial"/>
          <w:noProof/>
          <w:lang w:eastAsia="zh-CN"/>
        </w:rPr>
        <w:lastRenderedPageBreak/>
        <mc:AlternateContent>
          <mc:Choice Requires="wps">
            <w:drawing>
              <wp:anchor distT="0" distB="0" distL="114300" distR="114300" simplePos="0" relativeHeight="253107712" behindDoc="0" locked="0" layoutInCell="1" allowOverlap="1" wp14:anchorId="1494B389" wp14:editId="27B85B93">
                <wp:simplePos x="0" y="0"/>
                <wp:positionH relativeFrom="column">
                  <wp:posOffset>645795</wp:posOffset>
                </wp:positionH>
                <wp:positionV relativeFrom="paragraph">
                  <wp:posOffset>-92710</wp:posOffset>
                </wp:positionV>
                <wp:extent cx="4543425" cy="3686175"/>
                <wp:effectExtent l="0" t="0" r="28575" b="28575"/>
                <wp:wrapNone/>
                <wp:docPr id="219" name="Rectangle 219"/>
                <wp:cNvGraphicFramePr/>
                <a:graphic xmlns:a="http://schemas.openxmlformats.org/drawingml/2006/main">
                  <a:graphicData uri="http://schemas.microsoft.com/office/word/2010/wordprocessingShape">
                    <wps:wsp>
                      <wps:cNvSpPr/>
                      <wps:spPr>
                        <a:xfrm>
                          <a:off x="0" y="0"/>
                          <a:ext cx="4543425" cy="36861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CA1656" id="Rectangle 219" o:spid="_x0000_s1026" style="position:absolute;margin-left:50.85pt;margin-top:-7.3pt;width:357.75pt;height:290.25pt;z-index:25310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" filled="f" strokecolor="black [3213]"/>
            </w:pict>
          </mc:Fallback>
        </mc:AlternateContent>
      </w:r>
    </w:p>
    <w:p w:rsidR="009D7D8C" w:rsidRDefault="00254E3B" w:rsidP="009D3BB6">
      <w:pPr>
        <w:pStyle w:val="ListParagraph"/>
        <w:spacing w:line="360" w:lineRule="auto"/>
        <w:jc w:val="center"/>
        <w:rPr>
          <w:rFonts w:ascii="Arial" w:hAnsi="Arial" w:cs="Arial"/>
        </w:rPr>
      </w:pPr>
      <w:r>
        <w:rPr>
          <w:noProof/>
          <w:lang w:eastAsia="zh-CN"/>
        </w:rPr>
        <mc:AlternateContent>
          <mc:Choice Requires="wps">
            <w:drawing>
              <wp:anchor distT="0" distB="0" distL="114300" distR="114300" simplePos="0" relativeHeight="252968448" behindDoc="0" locked="0" layoutInCell="1" allowOverlap="1" wp14:anchorId="669DD0D8" wp14:editId="4F61E262">
                <wp:simplePos x="0" y="0"/>
                <wp:positionH relativeFrom="column">
                  <wp:posOffset>2245360</wp:posOffset>
                </wp:positionH>
                <wp:positionV relativeFrom="paragraph">
                  <wp:posOffset>2288540</wp:posOffset>
                </wp:positionV>
                <wp:extent cx="1009650" cy="342900"/>
                <wp:effectExtent l="0" t="0" r="0" b="0"/>
                <wp:wrapNone/>
                <wp:docPr id="213" name="Freeform 213"/>
                <wp:cNvGraphicFramePr/>
                <a:graphic xmlns:a="http://schemas.openxmlformats.org/drawingml/2006/main">
                  <a:graphicData uri="http://schemas.microsoft.com/office/word/2010/wordprocessingShape">
                    <wps:wsp>
                      <wps:cNvSpPr/>
                      <wps:spPr>
                        <a:xfrm>
                          <a:off x="0" y="0"/>
                          <a:ext cx="1009650" cy="342900"/>
                        </a:xfrm>
                        <a:custGeom>
                          <a:avLst/>
                          <a:gdLst>
                            <a:gd name="connsiteX0" fmla="*/ 38695 w 1010245"/>
                            <a:gd name="connsiteY0" fmla="*/ 171450 h 342900"/>
                            <a:gd name="connsiteX1" fmla="*/ 76795 w 1010245"/>
                            <a:gd name="connsiteY1" fmla="*/ 219075 h 342900"/>
                            <a:gd name="connsiteX2" fmla="*/ 95845 w 1010245"/>
                            <a:gd name="connsiteY2" fmla="*/ 247650 h 342900"/>
                            <a:gd name="connsiteX3" fmla="*/ 124420 w 1010245"/>
                            <a:gd name="connsiteY3" fmla="*/ 257175 h 342900"/>
                            <a:gd name="connsiteX4" fmla="*/ 162520 w 1010245"/>
                            <a:gd name="connsiteY4" fmla="*/ 247650 h 342900"/>
                            <a:gd name="connsiteX5" fmla="*/ 191095 w 1010245"/>
                            <a:gd name="connsiteY5" fmla="*/ 219075 h 342900"/>
                            <a:gd name="connsiteX6" fmla="*/ 267295 w 1010245"/>
                            <a:gd name="connsiteY6" fmla="*/ 152400 h 342900"/>
                            <a:gd name="connsiteX7" fmla="*/ 410170 w 1010245"/>
                            <a:gd name="connsiteY7" fmla="*/ 133350 h 342900"/>
                            <a:gd name="connsiteX8" fmla="*/ 495895 w 1010245"/>
                            <a:gd name="connsiteY8" fmla="*/ 142875 h 342900"/>
                            <a:gd name="connsiteX9" fmla="*/ 524470 w 1010245"/>
                            <a:gd name="connsiteY9" fmla="*/ 171450 h 342900"/>
                            <a:gd name="connsiteX10" fmla="*/ 553045 w 1010245"/>
                            <a:gd name="connsiteY10" fmla="*/ 190500 h 342900"/>
                            <a:gd name="connsiteX11" fmla="*/ 619720 w 1010245"/>
                            <a:gd name="connsiteY11" fmla="*/ 180975 h 342900"/>
                            <a:gd name="connsiteX12" fmla="*/ 686395 w 1010245"/>
                            <a:gd name="connsiteY12" fmla="*/ 161925 h 342900"/>
                            <a:gd name="connsiteX13" fmla="*/ 810220 w 1010245"/>
                            <a:gd name="connsiteY13" fmla="*/ 180975 h 342900"/>
                            <a:gd name="connsiteX14" fmla="*/ 838795 w 1010245"/>
                            <a:gd name="connsiteY14" fmla="*/ 190500 h 342900"/>
                            <a:gd name="connsiteX15" fmla="*/ 895945 w 1010245"/>
                            <a:gd name="connsiteY15" fmla="*/ 228600 h 342900"/>
                            <a:gd name="connsiteX16" fmla="*/ 914995 w 1010245"/>
                            <a:gd name="connsiteY16" fmla="*/ 285750 h 342900"/>
                            <a:gd name="connsiteX17" fmla="*/ 924520 w 1010245"/>
                            <a:gd name="connsiteY17" fmla="*/ 314325 h 342900"/>
                            <a:gd name="connsiteX18" fmla="*/ 943570 w 1010245"/>
                            <a:gd name="connsiteY18" fmla="*/ 342900 h 342900"/>
                            <a:gd name="connsiteX19" fmla="*/ 972145 w 1010245"/>
                            <a:gd name="connsiteY19" fmla="*/ 333375 h 342900"/>
                            <a:gd name="connsiteX20" fmla="*/ 981670 w 1010245"/>
                            <a:gd name="connsiteY20" fmla="*/ 304800 h 342900"/>
                            <a:gd name="connsiteX21" fmla="*/ 991195 w 1010245"/>
                            <a:gd name="connsiteY21" fmla="*/ 266700 h 342900"/>
                            <a:gd name="connsiteX22" fmla="*/ 1000720 w 1010245"/>
                            <a:gd name="connsiteY22" fmla="*/ 238125 h 342900"/>
                            <a:gd name="connsiteX23" fmla="*/ 1010245 w 1010245"/>
                            <a:gd name="connsiteY23" fmla="*/ 180975 h 342900"/>
                            <a:gd name="connsiteX24" fmla="*/ 1000720 w 1010245"/>
                            <a:gd name="connsiteY24" fmla="*/ 9525 h 342900"/>
                            <a:gd name="connsiteX25" fmla="*/ 972145 w 1010245"/>
                            <a:gd name="connsiteY25" fmla="*/ 0 h 342900"/>
                            <a:gd name="connsiteX26" fmla="*/ 781645 w 1010245"/>
                            <a:gd name="connsiteY26" fmla="*/ 9525 h 342900"/>
                            <a:gd name="connsiteX27" fmla="*/ 381595 w 1010245"/>
                            <a:gd name="connsiteY27" fmla="*/ 28575 h 342900"/>
                            <a:gd name="connsiteX28" fmla="*/ 172045 w 1010245"/>
                            <a:gd name="connsiteY28" fmla="*/ 38100 h 342900"/>
                            <a:gd name="connsiteX29" fmla="*/ 114895 w 1010245"/>
                            <a:gd name="connsiteY29" fmla="*/ 47625 h 342900"/>
                            <a:gd name="connsiteX30" fmla="*/ 48220 w 1010245"/>
                            <a:gd name="connsiteY30" fmla="*/ 57150 h 342900"/>
                            <a:gd name="connsiteX31" fmla="*/ 19645 w 1010245"/>
                            <a:gd name="connsiteY31" fmla="*/ 76200 h 342900"/>
                            <a:gd name="connsiteX32" fmla="*/ 595 w 1010245"/>
                            <a:gd name="connsiteY32" fmla="*/ 133350 h 342900"/>
                            <a:gd name="connsiteX33" fmla="*/ 38695 w 1010245"/>
                            <a:gd name="connsiteY33" fmla="*/ 171450 h 34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10245" h="342900">
                              <a:moveTo>
                                <a:pt x="38695" y="171450"/>
                              </a:moveTo>
                              <a:cubicBezTo>
                                <a:pt x="51395" y="187325"/>
                                <a:pt x="64597" y="202811"/>
                                <a:pt x="76795" y="219075"/>
                              </a:cubicBezTo>
                              <a:cubicBezTo>
                                <a:pt x="83664" y="228233"/>
                                <a:pt x="86906" y="240499"/>
                                <a:pt x="95845" y="247650"/>
                              </a:cubicBezTo>
                              <a:cubicBezTo>
                                <a:pt x="103685" y="253922"/>
                                <a:pt x="114895" y="254000"/>
                                <a:pt x="124420" y="257175"/>
                              </a:cubicBezTo>
                              <a:cubicBezTo>
                                <a:pt x="137120" y="254000"/>
                                <a:pt x="151154" y="254145"/>
                                <a:pt x="162520" y="247650"/>
                              </a:cubicBezTo>
                              <a:cubicBezTo>
                                <a:pt x="174216" y="240967"/>
                                <a:pt x="182471" y="229423"/>
                                <a:pt x="191095" y="219075"/>
                              </a:cubicBezTo>
                              <a:cubicBezTo>
                                <a:pt x="215337" y="189985"/>
                                <a:pt x="215637" y="159780"/>
                                <a:pt x="267295" y="152400"/>
                              </a:cubicBezTo>
                              <a:cubicBezTo>
                                <a:pt x="359310" y="139255"/>
                                <a:pt x="311693" y="145660"/>
                                <a:pt x="410170" y="133350"/>
                              </a:cubicBezTo>
                              <a:cubicBezTo>
                                <a:pt x="438745" y="136525"/>
                                <a:pt x="468620" y="133783"/>
                                <a:pt x="495895" y="142875"/>
                              </a:cubicBezTo>
                              <a:cubicBezTo>
                                <a:pt x="508674" y="147135"/>
                                <a:pt x="514122" y="162826"/>
                                <a:pt x="524470" y="171450"/>
                              </a:cubicBezTo>
                              <a:cubicBezTo>
                                <a:pt x="533264" y="178779"/>
                                <a:pt x="543520" y="184150"/>
                                <a:pt x="553045" y="190500"/>
                              </a:cubicBezTo>
                              <a:cubicBezTo>
                                <a:pt x="575270" y="187325"/>
                                <a:pt x="597631" y="184991"/>
                                <a:pt x="619720" y="180975"/>
                              </a:cubicBezTo>
                              <a:cubicBezTo>
                                <a:pt x="646032" y="176191"/>
                                <a:pt x="661912" y="170086"/>
                                <a:pt x="686395" y="161925"/>
                              </a:cubicBezTo>
                              <a:cubicBezTo>
                                <a:pt x="755485" y="169602"/>
                                <a:pt x="757726" y="165977"/>
                                <a:pt x="810220" y="180975"/>
                              </a:cubicBezTo>
                              <a:cubicBezTo>
                                <a:pt x="819874" y="183733"/>
                                <a:pt x="830018" y="185624"/>
                                <a:pt x="838795" y="190500"/>
                              </a:cubicBezTo>
                              <a:cubicBezTo>
                                <a:pt x="858809" y="201619"/>
                                <a:pt x="895945" y="228600"/>
                                <a:pt x="895945" y="228600"/>
                              </a:cubicBezTo>
                              <a:lnTo>
                                <a:pt x="914995" y="285750"/>
                              </a:lnTo>
                              <a:cubicBezTo>
                                <a:pt x="918170" y="295275"/>
                                <a:pt x="918951" y="305971"/>
                                <a:pt x="924520" y="314325"/>
                              </a:cubicBezTo>
                              <a:lnTo>
                                <a:pt x="943570" y="342900"/>
                              </a:lnTo>
                              <a:cubicBezTo>
                                <a:pt x="953095" y="339725"/>
                                <a:pt x="965045" y="340475"/>
                                <a:pt x="972145" y="333375"/>
                              </a:cubicBezTo>
                              <a:cubicBezTo>
                                <a:pt x="979245" y="326275"/>
                                <a:pt x="978912" y="314454"/>
                                <a:pt x="981670" y="304800"/>
                              </a:cubicBezTo>
                              <a:cubicBezTo>
                                <a:pt x="985266" y="292213"/>
                                <a:pt x="987599" y="279287"/>
                                <a:pt x="991195" y="266700"/>
                              </a:cubicBezTo>
                              <a:cubicBezTo>
                                <a:pt x="993953" y="257046"/>
                                <a:pt x="998542" y="247926"/>
                                <a:pt x="1000720" y="238125"/>
                              </a:cubicBezTo>
                              <a:cubicBezTo>
                                <a:pt x="1004910" y="219272"/>
                                <a:pt x="1007070" y="200025"/>
                                <a:pt x="1010245" y="180975"/>
                              </a:cubicBezTo>
                              <a:cubicBezTo>
                                <a:pt x="1007070" y="123825"/>
                                <a:pt x="1012512" y="65535"/>
                                <a:pt x="1000720" y="9525"/>
                              </a:cubicBezTo>
                              <a:cubicBezTo>
                                <a:pt x="998652" y="-300"/>
                                <a:pt x="982185" y="0"/>
                                <a:pt x="972145" y="0"/>
                              </a:cubicBezTo>
                              <a:cubicBezTo>
                                <a:pt x="908566" y="0"/>
                                <a:pt x="845145" y="6350"/>
                                <a:pt x="781645" y="9525"/>
                              </a:cubicBezTo>
                              <a:cubicBezTo>
                                <a:pt x="625139" y="48651"/>
                                <a:pt x="768778" y="15669"/>
                                <a:pt x="381595" y="28575"/>
                              </a:cubicBezTo>
                              <a:cubicBezTo>
                                <a:pt x="311712" y="30904"/>
                                <a:pt x="241895" y="34925"/>
                                <a:pt x="172045" y="38100"/>
                              </a:cubicBezTo>
                              <a:lnTo>
                                <a:pt x="114895" y="47625"/>
                              </a:lnTo>
                              <a:cubicBezTo>
                                <a:pt x="92705" y="51039"/>
                                <a:pt x="69724" y="50699"/>
                                <a:pt x="48220" y="57150"/>
                              </a:cubicBezTo>
                              <a:cubicBezTo>
                                <a:pt x="37255" y="60439"/>
                                <a:pt x="29170" y="69850"/>
                                <a:pt x="19645" y="76200"/>
                              </a:cubicBezTo>
                              <a:cubicBezTo>
                                <a:pt x="13295" y="95250"/>
                                <a:pt x="-3343" y="113659"/>
                                <a:pt x="595" y="133350"/>
                              </a:cubicBezTo>
                              <a:lnTo>
                                <a:pt x="38695" y="17145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02DD98" id="Freeform 213" o:spid="_x0000_s1026" style="position:absolute;margin-left:176.8pt;margin-top:180.2pt;width:79.5pt;height:27pt;z-index:252968448;visibility:visible;mso-wrap-style:square;mso-wrap-distance-left:9pt;mso-wrap-distance-top:0;mso-wrap-distance-right:9pt;mso-wrap-distance-bottom:0;mso-position-horizontal:absolute;mso-position-horizontal-relative:text;mso-position-vertical:absolute;mso-position-vertical-relative:text;v-text-anchor:middle" coordsize="101024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" path="m38695,171450v12700,15875,25902,31361,38100,47625c83664,228233,86906,240499,95845,247650v7840,6272,19050,6350,28575,9525c137120,254000,151154,254145,162520,247650v11696,-6683,19951,-18227,28575,-28575c215337,189985,215637,159780,267295,152400v92015,-13145,44398,-6740,142875,-19050c438745,136525,468620,133783,495895,142875v12779,4260,18227,19951,28575,28575c533264,178779,543520,184150,553045,190500v22225,-3175,44586,-5509,66675,-9525c646032,176191,661912,170086,686395,161925v69090,7677,71331,4052,123825,19050c819874,183733,830018,185624,838795,190500v20014,11119,57150,38100,57150,38100l914995,285750v3175,9525,3956,20221,9525,28575l943570,342900v9525,-3175,21475,-2425,28575,-9525c979245,326275,978912,314454,981670,304800v3596,-12587,5929,-25513,9525,-38100c993953,257046,998542,247926,1000720,238125v4190,-18853,6350,-38100,9525,-57150c1007070,123825,1012512,65535,1000720,9525,998652,-300,982185,,972145,,908566,,845145,6350,781645,9525,625139,48651,768778,15669,381595,28575v-69883,2329,-139700,6350,-209550,9525l114895,47625c92705,51039,69724,50699,48220,57150,37255,60439,29170,69850,19645,76200,13295,95250,-3343,113659,595,133350r38100,38100xe" fillcolor="white [3212]" stroked="f" strokeweight="2pt">
                <v:path arrowok="t" o:connecttype="custom" o:connectlocs="38672,171450;76750,219075;95789,247650;124347,257175;162424,247650;190982,219075;267138,152400;409928,133350;495603,142875;524161,171450;552719,190500;619355,180975;685991,161925;809743,180975;838301,190500;895417,228600;914456,285750;923975,314325;943014,342900;971572,333375;981092,304800;990611,266700;1000131,238125;1009650,180975;1000131,9525;971572,0;781185,9525;381370,28575;171944,38100;114827,47625;48192,57150;19633,76200;595,133350;38672,171450" o:connectangles="0,0,0,0,0,0,0,0,0,0,0,0,0,0,0,0,0,0,0,0,0,0,0,0,0,0,0,0,0,0,0,0,0,0"/>
              </v:shape>
            </w:pict>
          </mc:Fallback>
        </mc:AlternateContent>
      </w:r>
      <w:r>
        <w:rPr>
          <w:noProof/>
          <w:lang w:eastAsia="zh-CN"/>
        </w:rPr>
        <mc:AlternateContent>
          <mc:Choice Requires="wps">
            <w:drawing>
              <wp:anchor distT="0" distB="0" distL="114300" distR="114300" simplePos="0" relativeHeight="253020672" behindDoc="0" locked="0" layoutInCell="1" allowOverlap="1" wp14:anchorId="7936A35D" wp14:editId="402617DA">
                <wp:simplePos x="0" y="0"/>
                <wp:positionH relativeFrom="column">
                  <wp:posOffset>3356610</wp:posOffset>
                </wp:positionH>
                <wp:positionV relativeFrom="paragraph">
                  <wp:posOffset>193675</wp:posOffset>
                </wp:positionV>
                <wp:extent cx="1012825" cy="281305"/>
                <wp:effectExtent l="0" t="0" r="0" b="4445"/>
                <wp:wrapNone/>
                <wp:docPr id="216" name="Freeform 216"/>
                <wp:cNvGraphicFramePr/>
                <a:graphic xmlns:a="http://schemas.openxmlformats.org/drawingml/2006/main">
                  <a:graphicData uri="http://schemas.microsoft.com/office/word/2010/wordprocessingShape">
                    <wps:wsp>
                      <wps:cNvSpPr/>
                      <wps:spPr>
                        <a:xfrm>
                          <a:off x="0" y="0"/>
                          <a:ext cx="1012825" cy="281305"/>
                        </a:xfrm>
                        <a:custGeom>
                          <a:avLst/>
                          <a:gdLst>
                            <a:gd name="connsiteX0" fmla="*/ 51290 w 1013315"/>
                            <a:gd name="connsiteY0" fmla="*/ 36874 h 281879"/>
                            <a:gd name="connsiteX1" fmla="*/ 60815 w 1013315"/>
                            <a:gd name="connsiteY1" fmla="*/ 122599 h 281879"/>
                            <a:gd name="connsiteX2" fmla="*/ 70340 w 1013315"/>
                            <a:gd name="connsiteY2" fmla="*/ 151174 h 281879"/>
                            <a:gd name="connsiteX3" fmla="*/ 98915 w 1013315"/>
                            <a:gd name="connsiteY3" fmla="*/ 179749 h 281879"/>
                            <a:gd name="connsiteX4" fmla="*/ 194165 w 1013315"/>
                            <a:gd name="connsiteY4" fmla="*/ 227374 h 281879"/>
                            <a:gd name="connsiteX5" fmla="*/ 222740 w 1013315"/>
                            <a:gd name="connsiteY5" fmla="*/ 246424 h 281879"/>
                            <a:gd name="connsiteX6" fmla="*/ 346565 w 1013315"/>
                            <a:gd name="connsiteY6" fmla="*/ 255949 h 281879"/>
                            <a:gd name="connsiteX7" fmla="*/ 556115 w 1013315"/>
                            <a:gd name="connsiteY7" fmla="*/ 265474 h 281879"/>
                            <a:gd name="connsiteX8" fmla="*/ 841865 w 1013315"/>
                            <a:gd name="connsiteY8" fmla="*/ 265474 h 281879"/>
                            <a:gd name="connsiteX9" fmla="*/ 899015 w 1013315"/>
                            <a:gd name="connsiteY9" fmla="*/ 208324 h 281879"/>
                            <a:gd name="connsiteX10" fmla="*/ 908540 w 1013315"/>
                            <a:gd name="connsiteY10" fmla="*/ 179749 h 281879"/>
                            <a:gd name="connsiteX11" fmla="*/ 937115 w 1013315"/>
                            <a:gd name="connsiteY11" fmla="*/ 160699 h 281879"/>
                            <a:gd name="connsiteX12" fmla="*/ 965690 w 1013315"/>
                            <a:gd name="connsiteY12" fmla="*/ 132124 h 281879"/>
                            <a:gd name="connsiteX13" fmla="*/ 975215 w 1013315"/>
                            <a:gd name="connsiteY13" fmla="*/ 103549 h 281879"/>
                            <a:gd name="connsiteX14" fmla="*/ 1013315 w 1013315"/>
                            <a:gd name="connsiteY14" fmla="*/ 46399 h 281879"/>
                            <a:gd name="connsiteX15" fmla="*/ 937115 w 1013315"/>
                            <a:gd name="connsiteY15" fmla="*/ 27349 h 281879"/>
                            <a:gd name="connsiteX16" fmla="*/ 403715 w 1013315"/>
                            <a:gd name="connsiteY16" fmla="*/ 17824 h 281879"/>
                            <a:gd name="connsiteX17" fmla="*/ 98915 w 1013315"/>
                            <a:gd name="connsiteY17" fmla="*/ 17824 h 281879"/>
                            <a:gd name="connsiteX18" fmla="*/ 51290 w 1013315"/>
                            <a:gd name="connsiteY18" fmla="*/ 36874 h 2818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13315" h="281879">
                              <a:moveTo>
                                <a:pt x="51290" y="36874"/>
                              </a:moveTo>
                              <a:cubicBezTo>
                                <a:pt x="44940" y="54336"/>
                                <a:pt x="56088" y="94239"/>
                                <a:pt x="60815" y="122599"/>
                              </a:cubicBezTo>
                              <a:cubicBezTo>
                                <a:pt x="62466" y="132503"/>
                                <a:pt x="64771" y="142820"/>
                                <a:pt x="70340" y="151174"/>
                              </a:cubicBezTo>
                              <a:cubicBezTo>
                                <a:pt x="77812" y="162382"/>
                                <a:pt x="88282" y="171479"/>
                                <a:pt x="98915" y="179749"/>
                              </a:cubicBezTo>
                              <a:cubicBezTo>
                                <a:pt x="152633" y="221529"/>
                                <a:pt x="142044" y="214344"/>
                                <a:pt x="194165" y="227374"/>
                              </a:cubicBezTo>
                              <a:cubicBezTo>
                                <a:pt x="203690" y="233724"/>
                                <a:pt x="211488" y="244314"/>
                                <a:pt x="222740" y="246424"/>
                              </a:cubicBezTo>
                              <a:cubicBezTo>
                                <a:pt x="263428" y="254053"/>
                                <a:pt x="305235" y="253587"/>
                                <a:pt x="346565" y="255949"/>
                              </a:cubicBezTo>
                              <a:cubicBezTo>
                                <a:pt x="416373" y="259938"/>
                                <a:pt x="486265" y="262299"/>
                                <a:pt x="556115" y="265474"/>
                              </a:cubicBezTo>
                              <a:cubicBezTo>
                                <a:pt x="656944" y="279878"/>
                                <a:pt x="724747" y="293744"/>
                                <a:pt x="841865" y="265474"/>
                              </a:cubicBezTo>
                              <a:cubicBezTo>
                                <a:pt x="868054" y="259153"/>
                                <a:pt x="899015" y="208324"/>
                                <a:pt x="899015" y="208324"/>
                              </a:cubicBezTo>
                              <a:cubicBezTo>
                                <a:pt x="902190" y="198799"/>
                                <a:pt x="902268" y="187589"/>
                                <a:pt x="908540" y="179749"/>
                              </a:cubicBezTo>
                              <a:cubicBezTo>
                                <a:pt x="915691" y="170810"/>
                                <a:pt x="928321" y="168028"/>
                                <a:pt x="937115" y="160699"/>
                              </a:cubicBezTo>
                              <a:cubicBezTo>
                                <a:pt x="947463" y="152075"/>
                                <a:pt x="956165" y="141649"/>
                                <a:pt x="965690" y="132124"/>
                              </a:cubicBezTo>
                              <a:cubicBezTo>
                                <a:pt x="968865" y="122599"/>
                                <a:pt x="970339" y="112326"/>
                                <a:pt x="975215" y="103549"/>
                              </a:cubicBezTo>
                              <a:cubicBezTo>
                                <a:pt x="986334" y="83535"/>
                                <a:pt x="1013315" y="46399"/>
                                <a:pt x="1013315" y="46399"/>
                              </a:cubicBezTo>
                              <a:cubicBezTo>
                                <a:pt x="995059" y="-8369"/>
                                <a:pt x="1017378" y="27349"/>
                                <a:pt x="937115" y="27349"/>
                              </a:cubicBezTo>
                              <a:cubicBezTo>
                                <a:pt x="759287" y="27349"/>
                                <a:pt x="581515" y="20999"/>
                                <a:pt x="403715" y="17824"/>
                              </a:cubicBezTo>
                              <a:cubicBezTo>
                                <a:pt x="283085" y="-12334"/>
                                <a:pt x="353076" y="1426"/>
                                <a:pt x="98915" y="17824"/>
                              </a:cubicBezTo>
                              <a:cubicBezTo>
                                <a:pt x="-95410" y="30361"/>
                                <a:pt x="57640" y="19412"/>
                                <a:pt x="51290" y="36874"/>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85EA70" id="Freeform 216" o:spid="_x0000_s1026" style="position:absolute;margin-left:264.3pt;margin-top:15.25pt;width:79.75pt;height:22.15pt;z-index:253020672;visibility:visible;mso-wrap-style:square;mso-wrap-distance-left:9pt;mso-wrap-distance-top:0;mso-wrap-distance-right:9pt;mso-wrap-distance-bottom:0;mso-position-horizontal:absolute;mso-position-horizontal-relative:text;mso-position-vertical:absolute;mso-position-vertical-relative:text;v-text-anchor:middle" coordsize="1013315,28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" path="m51290,36874v-6350,17462,4798,57365,9525,85725c62466,132503,64771,142820,70340,151174v7472,11208,17942,20305,28575,28575c152633,221529,142044,214344,194165,227374v9525,6350,17323,16940,28575,19050c263428,254053,305235,253587,346565,255949v69808,3989,139700,6350,209550,9525c656944,279878,724747,293744,841865,265474v26189,-6321,57150,-57150,57150,-57150c902190,198799,902268,187589,908540,179749v7151,-8939,19781,-11721,28575,-19050c947463,152075,956165,141649,965690,132124v3175,-9525,4649,-19798,9525,-28575c986334,83535,1013315,46399,1013315,46399,995059,-8369,1017378,27349,937115,27349v-177828,,-355600,-6350,-533400,-9525c283085,-12334,353076,1426,98915,17824,-95410,30361,57640,19412,51290,36874xe" fillcolor="white [3212]" stroked="f" strokeweight="2pt">
                <v:path arrowok="t" o:connecttype="custom" o:connectlocs="51265,36799;60786,122349;70306,150866;98867,179383;194071,226911;222632,245922;346397,255428;555846,264933;841458,264933;898580,207900;908101,179383;936662,160372;965223,131855;974743,103338;1012825,46305;936662,27293;403520,17788;98867,17788;51265,36799" o:connectangles="0,0,0,0,0,0,0,0,0,0,0,0,0,0,0,0,0,0,0"/>
              </v:shape>
            </w:pict>
          </mc:Fallback>
        </mc:AlternateContent>
      </w:r>
      <w:r w:rsidR="00A729DD">
        <w:rPr>
          <w:noProof/>
          <w:lang w:eastAsia="zh-CN"/>
        </w:rPr>
        <mc:AlternateContent>
          <mc:Choice Requires="wps">
            <w:drawing>
              <wp:anchor distT="0" distB="0" distL="114300" distR="114300" simplePos="0" relativeHeight="253072896" behindDoc="0" locked="0" layoutInCell="1" allowOverlap="1" wp14:anchorId="106DE3C9" wp14:editId="62C84479">
                <wp:simplePos x="0" y="0"/>
                <wp:positionH relativeFrom="column">
                  <wp:posOffset>3395345</wp:posOffset>
                </wp:positionH>
                <wp:positionV relativeFrom="paragraph">
                  <wp:posOffset>215265</wp:posOffset>
                </wp:positionV>
                <wp:extent cx="117500" cy="129707"/>
                <wp:effectExtent l="0" t="0" r="15875" b="22860"/>
                <wp:wrapNone/>
                <wp:docPr id="217" name="Freeform 217"/>
                <wp:cNvGraphicFramePr/>
                <a:graphic xmlns:a="http://schemas.openxmlformats.org/drawingml/2006/main">
                  <a:graphicData uri="http://schemas.microsoft.com/office/word/2010/wordprocessingShape">
                    <wps:wsp>
                      <wps:cNvSpPr/>
                      <wps:spPr>
                        <a:xfrm>
                          <a:off x="0" y="0"/>
                          <a:ext cx="117500" cy="129707"/>
                        </a:xfrm>
                        <a:custGeom>
                          <a:avLst/>
                          <a:gdLst>
                            <a:gd name="connsiteX0" fmla="*/ 50375 w 117500"/>
                            <a:gd name="connsiteY0" fmla="*/ 5882 h 129707"/>
                            <a:gd name="connsiteX1" fmla="*/ 2750 w 117500"/>
                            <a:gd name="connsiteY1" fmla="*/ 24932 h 129707"/>
                            <a:gd name="connsiteX2" fmla="*/ 31325 w 117500"/>
                            <a:gd name="connsiteY2" fmla="*/ 110657 h 129707"/>
                            <a:gd name="connsiteX3" fmla="*/ 59900 w 117500"/>
                            <a:gd name="connsiteY3" fmla="*/ 129707 h 129707"/>
                            <a:gd name="connsiteX4" fmla="*/ 107525 w 117500"/>
                            <a:gd name="connsiteY4" fmla="*/ 120182 h 129707"/>
                            <a:gd name="connsiteX5" fmla="*/ 50375 w 117500"/>
                            <a:gd name="connsiteY5" fmla="*/ 5882 h 129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7500" h="129707">
                              <a:moveTo>
                                <a:pt x="50375" y="5882"/>
                              </a:moveTo>
                              <a:cubicBezTo>
                                <a:pt x="32913" y="-9993"/>
                                <a:pt x="10396" y="9639"/>
                                <a:pt x="2750" y="24932"/>
                              </a:cubicBezTo>
                              <a:cubicBezTo>
                                <a:pt x="-7893" y="46218"/>
                                <a:pt x="14632" y="93964"/>
                                <a:pt x="31325" y="110657"/>
                              </a:cubicBezTo>
                              <a:cubicBezTo>
                                <a:pt x="39420" y="118752"/>
                                <a:pt x="50375" y="123357"/>
                                <a:pt x="59900" y="129707"/>
                              </a:cubicBezTo>
                              <a:cubicBezTo>
                                <a:pt x="75775" y="126532"/>
                                <a:pt x="102405" y="135541"/>
                                <a:pt x="107525" y="120182"/>
                              </a:cubicBezTo>
                              <a:cubicBezTo>
                                <a:pt x="144558" y="9083"/>
                                <a:pt x="67837" y="21757"/>
                                <a:pt x="50375" y="5882"/>
                              </a:cubicBez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A14E98" id="Freeform 217" o:spid="_x0000_s1026" style="position:absolute;margin-left:267.35pt;margin-top:16.95pt;width:9.25pt;height:10.2pt;z-index:253072896;visibility:visible;mso-wrap-style:square;mso-wrap-distance-left:9pt;mso-wrap-distance-top:0;mso-wrap-distance-right:9pt;mso-wrap-distance-bottom:0;mso-position-horizontal:absolute;mso-position-horizontal-relative:text;mso-position-vertical:absolute;mso-position-vertical-relative:text;v-text-anchor:middle" coordsize="117500,129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" path="m50375,5882c32913,-9993,10396,9639,2750,24932,-7893,46218,14632,93964,31325,110657v8095,8095,19050,12700,28575,19050c75775,126532,102405,135541,107525,120182,144558,9083,67837,21757,50375,5882xe" filled="f" strokecolor="white [3212]" strokeweight="2pt">
                <v:path arrowok="t" o:connecttype="custom" o:connectlocs="50375,5882;2750,24932;31325,110657;59900,129707;107525,120182;50375,5882" o:connectangles="0,0,0,0,0,0"/>
              </v:shape>
            </w:pict>
          </mc:Fallback>
        </mc:AlternateContent>
      </w:r>
      <w:r w:rsidR="00A729DD">
        <w:rPr>
          <w:noProof/>
          <w:lang w:eastAsia="zh-CN"/>
        </w:rPr>
        <mc:AlternateContent>
          <mc:Choice Requires="wps">
            <w:drawing>
              <wp:anchor distT="0" distB="0" distL="114300" distR="114300" simplePos="0" relativeHeight="253003264" behindDoc="0" locked="0" layoutInCell="1" allowOverlap="1" wp14:anchorId="37F7C779" wp14:editId="37AC4DEA">
                <wp:simplePos x="0" y="0"/>
                <wp:positionH relativeFrom="column">
                  <wp:posOffset>3639196</wp:posOffset>
                </wp:positionH>
                <wp:positionV relativeFrom="paragraph">
                  <wp:posOffset>1478915</wp:posOffset>
                </wp:positionV>
                <wp:extent cx="950404" cy="190500"/>
                <wp:effectExtent l="0" t="0" r="2540" b="0"/>
                <wp:wrapNone/>
                <wp:docPr id="215" name="Freeform 215"/>
                <wp:cNvGraphicFramePr/>
                <a:graphic xmlns:a="http://schemas.openxmlformats.org/drawingml/2006/main">
                  <a:graphicData uri="http://schemas.microsoft.com/office/word/2010/wordprocessingShape">
                    <wps:wsp>
                      <wps:cNvSpPr/>
                      <wps:spPr>
                        <a:xfrm>
                          <a:off x="0" y="0"/>
                          <a:ext cx="950404" cy="190500"/>
                        </a:xfrm>
                        <a:custGeom>
                          <a:avLst/>
                          <a:gdLst>
                            <a:gd name="connsiteX0" fmla="*/ 16499 w 950404"/>
                            <a:gd name="connsiteY0" fmla="*/ 28575 h 190500"/>
                            <a:gd name="connsiteX1" fmla="*/ 54599 w 950404"/>
                            <a:gd name="connsiteY1" fmla="*/ 104775 h 190500"/>
                            <a:gd name="connsiteX2" fmla="*/ 83174 w 950404"/>
                            <a:gd name="connsiteY2" fmla="*/ 114300 h 190500"/>
                            <a:gd name="connsiteX3" fmla="*/ 159374 w 950404"/>
                            <a:gd name="connsiteY3" fmla="*/ 123825 h 190500"/>
                            <a:gd name="connsiteX4" fmla="*/ 197474 w 950404"/>
                            <a:gd name="connsiteY4" fmla="*/ 133350 h 190500"/>
                            <a:gd name="connsiteX5" fmla="*/ 283199 w 950404"/>
                            <a:gd name="connsiteY5" fmla="*/ 142875 h 190500"/>
                            <a:gd name="connsiteX6" fmla="*/ 368924 w 950404"/>
                            <a:gd name="connsiteY6" fmla="*/ 171450 h 190500"/>
                            <a:gd name="connsiteX7" fmla="*/ 397499 w 950404"/>
                            <a:gd name="connsiteY7" fmla="*/ 180975 h 190500"/>
                            <a:gd name="connsiteX8" fmla="*/ 454649 w 950404"/>
                            <a:gd name="connsiteY8" fmla="*/ 171450 h 190500"/>
                            <a:gd name="connsiteX9" fmla="*/ 559424 w 950404"/>
                            <a:gd name="connsiteY9" fmla="*/ 190500 h 190500"/>
                            <a:gd name="connsiteX10" fmla="*/ 711824 w 950404"/>
                            <a:gd name="connsiteY10" fmla="*/ 152400 h 190500"/>
                            <a:gd name="connsiteX11" fmla="*/ 740399 w 950404"/>
                            <a:gd name="connsiteY11" fmla="*/ 133350 h 190500"/>
                            <a:gd name="connsiteX12" fmla="*/ 797549 w 950404"/>
                            <a:gd name="connsiteY12" fmla="*/ 114300 h 190500"/>
                            <a:gd name="connsiteX13" fmla="*/ 911849 w 950404"/>
                            <a:gd name="connsiteY13" fmla="*/ 104775 h 190500"/>
                            <a:gd name="connsiteX14" fmla="*/ 930899 w 950404"/>
                            <a:gd name="connsiteY14" fmla="*/ 28575 h 190500"/>
                            <a:gd name="connsiteX15" fmla="*/ 902324 w 950404"/>
                            <a:gd name="connsiteY15" fmla="*/ 19050 h 190500"/>
                            <a:gd name="connsiteX16" fmla="*/ 740399 w 950404"/>
                            <a:gd name="connsiteY16" fmla="*/ 0 h 190500"/>
                            <a:gd name="connsiteX17" fmla="*/ 387974 w 950404"/>
                            <a:gd name="connsiteY17" fmla="*/ 9525 h 190500"/>
                            <a:gd name="connsiteX18" fmla="*/ 340349 w 950404"/>
                            <a:gd name="connsiteY18" fmla="*/ 19050 h 190500"/>
                            <a:gd name="connsiteX19" fmla="*/ 16499 w 950404"/>
                            <a:gd name="connsiteY19" fmla="*/ 28575 h 190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950404" h="190500">
                              <a:moveTo>
                                <a:pt x="16499" y="28575"/>
                              </a:moveTo>
                              <a:cubicBezTo>
                                <a:pt x="-31126" y="42862"/>
                                <a:pt x="37814" y="91347"/>
                                <a:pt x="54599" y="104775"/>
                              </a:cubicBezTo>
                              <a:cubicBezTo>
                                <a:pt x="62439" y="111047"/>
                                <a:pt x="73296" y="112504"/>
                                <a:pt x="83174" y="114300"/>
                              </a:cubicBezTo>
                              <a:cubicBezTo>
                                <a:pt x="108359" y="118879"/>
                                <a:pt x="134125" y="119617"/>
                                <a:pt x="159374" y="123825"/>
                              </a:cubicBezTo>
                              <a:cubicBezTo>
                                <a:pt x="172287" y="125977"/>
                                <a:pt x="184535" y="131359"/>
                                <a:pt x="197474" y="133350"/>
                              </a:cubicBezTo>
                              <a:cubicBezTo>
                                <a:pt x="225891" y="137722"/>
                                <a:pt x="254624" y="139700"/>
                                <a:pt x="283199" y="142875"/>
                              </a:cubicBezTo>
                              <a:lnTo>
                                <a:pt x="368924" y="171450"/>
                              </a:lnTo>
                              <a:lnTo>
                                <a:pt x="397499" y="180975"/>
                              </a:lnTo>
                              <a:cubicBezTo>
                                <a:pt x="416549" y="177800"/>
                                <a:pt x="435336" y="171450"/>
                                <a:pt x="454649" y="171450"/>
                              </a:cubicBezTo>
                              <a:cubicBezTo>
                                <a:pt x="508501" y="171450"/>
                                <a:pt x="519238" y="177105"/>
                                <a:pt x="559424" y="190500"/>
                              </a:cubicBezTo>
                              <a:cubicBezTo>
                                <a:pt x="585178" y="113238"/>
                                <a:pt x="553535" y="178782"/>
                                <a:pt x="711824" y="152400"/>
                              </a:cubicBezTo>
                              <a:cubicBezTo>
                                <a:pt x="723116" y="150518"/>
                                <a:pt x="729938" y="137999"/>
                                <a:pt x="740399" y="133350"/>
                              </a:cubicBezTo>
                              <a:cubicBezTo>
                                <a:pt x="758749" y="125195"/>
                                <a:pt x="777538" y="115968"/>
                                <a:pt x="797549" y="114300"/>
                              </a:cubicBezTo>
                              <a:lnTo>
                                <a:pt x="911849" y="104775"/>
                              </a:lnTo>
                              <a:cubicBezTo>
                                <a:pt x="951234" y="91647"/>
                                <a:pt x="965297" y="97372"/>
                                <a:pt x="930899" y="28575"/>
                              </a:cubicBezTo>
                              <a:cubicBezTo>
                                <a:pt x="926409" y="19595"/>
                                <a:pt x="912202" y="20846"/>
                                <a:pt x="902324" y="19050"/>
                              </a:cubicBezTo>
                              <a:cubicBezTo>
                                <a:pt x="881752" y="15310"/>
                                <a:pt x="757041" y="1849"/>
                                <a:pt x="740399" y="0"/>
                              </a:cubicBezTo>
                              <a:cubicBezTo>
                                <a:pt x="622924" y="3175"/>
                                <a:pt x="505359" y="3935"/>
                                <a:pt x="387974" y="9525"/>
                              </a:cubicBezTo>
                              <a:cubicBezTo>
                                <a:pt x="371803" y="10295"/>
                                <a:pt x="356533" y="18624"/>
                                <a:pt x="340349" y="19050"/>
                              </a:cubicBezTo>
                              <a:cubicBezTo>
                                <a:pt x="235610" y="21806"/>
                                <a:pt x="64124" y="14288"/>
                                <a:pt x="16499" y="28575"/>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934328" id="Freeform 215" o:spid="_x0000_s1026" style="position:absolute;margin-left:286.55pt;margin-top:116.45pt;width:74.85pt;height:15pt;z-index:253003264;visibility:visible;mso-wrap-style:square;mso-wrap-distance-left:9pt;mso-wrap-distance-top:0;mso-wrap-distance-right:9pt;mso-wrap-distance-bottom:0;mso-position-horizontal:absolute;mso-position-horizontal-relative:text;mso-position-vertical:absolute;mso-position-vertical-relative:text;v-text-anchor:middle" coordsize="950404,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" path="m16499,28575v-47625,14287,21315,62772,38100,76200c62439,111047,73296,112504,83174,114300v25185,4579,50951,5317,76200,9525c172287,125977,184535,131359,197474,133350v28417,4372,57150,6350,85725,9525l368924,171450r28575,9525c416549,177800,435336,171450,454649,171450v53852,,64589,5655,104775,19050c585178,113238,553535,178782,711824,152400v11292,-1882,18114,-14401,28575,-19050c758749,125195,777538,115968,797549,114300r114300,-9525c951234,91647,965297,97372,930899,28575v-4490,-8980,-18697,-7729,-28575,-9525c881752,15310,757041,1849,740399,,622924,3175,505359,3935,387974,9525v-16171,770,-31441,9099,-47625,9525c235610,21806,64124,14288,16499,28575xe" fillcolor="white [3212]" stroked="f" strokeweight="2pt">
                <v:path arrowok="t" o:connecttype="custom" o:connectlocs="16499,28575;54599,104775;83174,114300;159374,123825;197474,133350;283199,142875;368924,171450;397499,180975;454649,171450;559424,190500;711824,152400;740399,133350;797549,114300;911849,104775;930899,28575;902324,19050;740399,0;387974,9525;340349,19050;16499,28575" o:connectangles="0,0,0,0,0,0,0,0,0,0,0,0,0,0,0,0,0,0,0,0"/>
              </v:shape>
            </w:pict>
          </mc:Fallback>
        </mc:AlternateContent>
      </w:r>
      <w:r w:rsidR="00A729DD">
        <w:rPr>
          <w:noProof/>
          <w:lang w:eastAsia="zh-CN"/>
        </w:rPr>
        <mc:AlternateContent>
          <mc:Choice Requires="wps">
            <w:drawing>
              <wp:anchor distT="0" distB="0" distL="114300" distR="114300" simplePos="0" relativeHeight="252985856" behindDoc="0" locked="0" layoutInCell="1" allowOverlap="1" wp14:anchorId="6835E57E" wp14:editId="76B20AA8">
                <wp:simplePos x="0" y="0"/>
                <wp:positionH relativeFrom="column">
                  <wp:posOffset>2286424</wp:posOffset>
                </wp:positionH>
                <wp:positionV relativeFrom="paragraph">
                  <wp:posOffset>2279015</wp:posOffset>
                </wp:positionV>
                <wp:extent cx="206298" cy="129796"/>
                <wp:effectExtent l="0" t="0" r="3810" b="3810"/>
                <wp:wrapNone/>
                <wp:docPr id="214" name="Freeform 214"/>
                <wp:cNvGraphicFramePr/>
                <a:graphic xmlns:a="http://schemas.openxmlformats.org/drawingml/2006/main">
                  <a:graphicData uri="http://schemas.microsoft.com/office/word/2010/wordprocessingShape">
                    <wps:wsp>
                      <wps:cNvSpPr/>
                      <wps:spPr>
                        <a:xfrm>
                          <a:off x="0" y="0"/>
                          <a:ext cx="206298" cy="129796"/>
                        </a:xfrm>
                        <a:custGeom>
                          <a:avLst/>
                          <a:gdLst>
                            <a:gd name="connsiteX0" fmla="*/ 7196 w 206298"/>
                            <a:gd name="connsiteY0" fmla="*/ 19050 h 129796"/>
                            <a:gd name="connsiteX1" fmla="*/ 16721 w 206298"/>
                            <a:gd name="connsiteY1" fmla="*/ 66675 h 129796"/>
                            <a:gd name="connsiteX2" fmla="*/ 35771 w 206298"/>
                            <a:gd name="connsiteY2" fmla="*/ 123825 h 129796"/>
                            <a:gd name="connsiteX3" fmla="*/ 169121 w 206298"/>
                            <a:gd name="connsiteY3" fmla="*/ 114300 h 129796"/>
                            <a:gd name="connsiteX4" fmla="*/ 131021 w 206298"/>
                            <a:gd name="connsiteY4" fmla="*/ 0 h 129796"/>
                            <a:gd name="connsiteX5" fmla="*/ 7196 w 206298"/>
                            <a:gd name="connsiteY5" fmla="*/ 19050 h 1297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6298" h="129796">
                              <a:moveTo>
                                <a:pt x="7196" y="19050"/>
                              </a:moveTo>
                              <a:cubicBezTo>
                                <a:pt x="-11854" y="30162"/>
                                <a:pt x="12461" y="51056"/>
                                <a:pt x="16721" y="66675"/>
                              </a:cubicBezTo>
                              <a:cubicBezTo>
                                <a:pt x="22005" y="86048"/>
                                <a:pt x="35771" y="123825"/>
                                <a:pt x="35771" y="123825"/>
                              </a:cubicBezTo>
                              <a:cubicBezTo>
                                <a:pt x="80221" y="120650"/>
                                <a:pt x="136376" y="144526"/>
                                <a:pt x="169121" y="114300"/>
                              </a:cubicBezTo>
                              <a:cubicBezTo>
                                <a:pt x="257704" y="32532"/>
                                <a:pt x="164517" y="11165"/>
                                <a:pt x="131021" y="0"/>
                              </a:cubicBezTo>
                              <a:cubicBezTo>
                                <a:pt x="48520" y="10313"/>
                                <a:pt x="26246" y="7938"/>
                                <a:pt x="7196" y="1905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F5FA9A" id="Freeform 214" o:spid="_x0000_s1026" style="position:absolute;margin-left:180.05pt;margin-top:179.45pt;width:16.25pt;height:10.2pt;z-index:252985856;visibility:visible;mso-wrap-style:square;mso-wrap-distance-left:9pt;mso-wrap-distance-top:0;mso-wrap-distance-right:9pt;mso-wrap-distance-bottom:0;mso-position-horizontal:absolute;mso-position-horizontal-relative:text;mso-position-vertical:absolute;mso-position-vertical-relative:text;v-text-anchor:middle" coordsize="206298,129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" path="m7196,19050v-19050,11112,5265,32006,9525,47625c22005,86048,35771,123825,35771,123825v44450,-3175,100605,20701,133350,-9525c257704,32532,164517,11165,131021,,48520,10313,26246,7938,7196,19050xe" fillcolor="white [3212]" stroked="f" strokeweight="2pt">
                <v:path arrowok="t" o:connecttype="custom" o:connectlocs="7196,19050;16721,66675;35771,123825;169121,114300;131021,0;7196,19050" o:connectangles="0,0,0,0,0,0"/>
              </v:shape>
            </w:pict>
          </mc:Fallback>
        </mc:AlternateContent>
      </w:r>
      <w:r w:rsidR="00E35DE9" w:rsidRPr="00452EE2">
        <w:rPr>
          <w:noProof/>
          <w:lang w:eastAsia="zh-CN"/>
        </w:rPr>
        <mc:AlternateContent>
          <mc:Choice Requires="wps">
            <w:drawing>
              <wp:anchor distT="45720" distB="45720" distL="114300" distR="114300" simplePos="0" relativeHeight="251112960" behindDoc="0" locked="0" layoutInCell="1" allowOverlap="1" wp14:anchorId="274FC0D9" wp14:editId="39A61B60">
                <wp:simplePos x="0" y="0"/>
                <wp:positionH relativeFrom="column">
                  <wp:posOffset>1233170</wp:posOffset>
                </wp:positionH>
                <wp:positionV relativeFrom="paragraph">
                  <wp:posOffset>-337023</wp:posOffset>
                </wp:positionV>
                <wp:extent cx="3105150" cy="280035"/>
                <wp:effectExtent l="0" t="0" r="0" b="5715"/>
                <wp:wrapSquare wrapText="bothSides"/>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280035"/>
                        </a:xfrm>
                        <a:prstGeom prst="rect">
                          <a:avLst/>
                        </a:prstGeom>
                        <a:solidFill>
                          <a:srgbClr val="FFFFFF"/>
                        </a:solidFill>
                        <a:ln w="9525">
                          <a:noFill/>
                          <a:miter lim="800000"/>
                          <a:headEnd/>
                          <a:tailEnd/>
                        </a:ln>
                      </wps:spPr>
                      <wps:txbx>
                        <w:txbxContent>
                          <w:p w:rsidR="004166BC" w:rsidRDefault="004166BC" w:rsidP="003702EC">
                            <w:pPr>
                              <w:rPr>
                                <w:rFonts w:ascii="Arial" w:hAnsi="Arial" w:cs="Arial"/>
                                <w:b/>
                              </w:rPr>
                            </w:pPr>
                            <w:r w:rsidRPr="009D7D8C">
                              <w:rPr>
                                <w:rFonts w:ascii="Arial" w:hAnsi="Arial" w:cs="Arial"/>
                                <w:b/>
                              </w:rPr>
                              <w:t>Bone remodelling process:</w:t>
                            </w:r>
                            <w:r>
                              <w:rPr>
                                <w:rFonts w:ascii="Arial" w:hAnsi="Arial" w:cs="Arial"/>
                                <w:b/>
                              </w:rPr>
                              <w:t xml:space="preserve"> Osteoporosis</w:t>
                            </w:r>
                          </w:p>
                          <w:p w:rsidR="004166BC" w:rsidRPr="009D7D8C" w:rsidRDefault="004166BC" w:rsidP="003702EC">
                            <w:pP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FC0D9" id="_x0000_s1078" type="#_x0000_t202" style="position:absolute;left:0;text-align:left;margin-left:97.1pt;margin-top:-26.55pt;width:244.5pt;height:22.05pt;z-index:25111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" stroked="f">
                <v:textbox>
                  <w:txbxContent>
                    <w:p w:rsidR="004166BC" w:rsidRDefault="004166BC" w:rsidP="003702EC">
                      <w:pPr>
                        <w:rPr>
                          <w:rFonts w:ascii="Arial" w:hAnsi="Arial" w:cs="Arial"/>
                          <w:b/>
                        </w:rPr>
                      </w:pPr>
                      <w:r w:rsidRPr="009D7D8C">
                        <w:rPr>
                          <w:rFonts w:ascii="Arial" w:hAnsi="Arial" w:cs="Arial"/>
                          <w:b/>
                        </w:rPr>
                        <w:t>Bone remodelling process:</w:t>
                      </w:r>
                      <w:r>
                        <w:rPr>
                          <w:rFonts w:ascii="Arial" w:hAnsi="Arial" w:cs="Arial"/>
                          <w:b/>
                        </w:rPr>
                        <w:t xml:space="preserve"> Osteoporosis</w:t>
                      </w:r>
                    </w:p>
                    <w:p w:rsidR="004166BC" w:rsidRPr="009D7D8C" w:rsidRDefault="004166BC" w:rsidP="003702EC">
                      <w:pPr>
                        <w:rPr>
                          <w:rFonts w:ascii="Arial" w:hAnsi="Arial" w:cs="Arial"/>
                          <w:b/>
                        </w:rPr>
                      </w:pPr>
                    </w:p>
                  </w:txbxContent>
                </v:textbox>
                <w10:wrap type="square"/>
              </v:shape>
            </w:pict>
          </mc:Fallback>
        </mc:AlternateContent>
      </w:r>
      <w:r w:rsidR="001E1586">
        <w:rPr>
          <w:noProof/>
          <w:lang w:eastAsia="zh-CN"/>
        </w:rPr>
        <mc:AlternateContent>
          <mc:Choice Requires="wps">
            <w:drawing>
              <wp:anchor distT="0" distB="0" distL="114300" distR="114300" simplePos="0" relativeHeight="252236288" behindDoc="0" locked="0" layoutInCell="1" allowOverlap="1" wp14:anchorId="347503D9" wp14:editId="08216ABC">
                <wp:simplePos x="0" y="0"/>
                <wp:positionH relativeFrom="column">
                  <wp:posOffset>3543935</wp:posOffset>
                </wp:positionH>
                <wp:positionV relativeFrom="paragraph">
                  <wp:posOffset>983142</wp:posOffset>
                </wp:positionV>
                <wp:extent cx="110640" cy="72305"/>
                <wp:effectExtent l="0" t="0" r="3810" b="4445"/>
                <wp:wrapNone/>
                <wp:docPr id="18491" name="Freeform 18491"/>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F1014F" id="Freeform 18491" o:spid="_x0000_s1026" style="position:absolute;margin-left:279.05pt;margin-top:77.4pt;width:8.7pt;height:5.7pt;z-index:252236288;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2218880" behindDoc="0" locked="0" layoutInCell="1" allowOverlap="1" wp14:anchorId="05086C0B" wp14:editId="2F2588E3">
                <wp:simplePos x="0" y="0"/>
                <wp:positionH relativeFrom="column">
                  <wp:posOffset>3394710</wp:posOffset>
                </wp:positionH>
                <wp:positionV relativeFrom="paragraph">
                  <wp:posOffset>984412</wp:posOffset>
                </wp:positionV>
                <wp:extent cx="110640" cy="72305"/>
                <wp:effectExtent l="0" t="0" r="3810" b="4445"/>
                <wp:wrapNone/>
                <wp:docPr id="18490" name="Freeform 18490"/>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B24DF1" id="Freeform 18490" o:spid="_x0000_s1026" style="position:absolute;margin-left:267.3pt;margin-top:77.5pt;width:8.7pt;height:5.7pt;z-index:252218880;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2074496" behindDoc="0" locked="0" layoutInCell="1" allowOverlap="1" wp14:anchorId="4E012A5B" wp14:editId="1DC2C040">
                <wp:simplePos x="0" y="0"/>
                <wp:positionH relativeFrom="column">
                  <wp:posOffset>3986692</wp:posOffset>
                </wp:positionH>
                <wp:positionV relativeFrom="paragraph">
                  <wp:posOffset>928370</wp:posOffset>
                </wp:positionV>
                <wp:extent cx="110640" cy="72305"/>
                <wp:effectExtent l="0" t="0" r="3810" b="4445"/>
                <wp:wrapNone/>
                <wp:docPr id="18484" name="Freeform 18484"/>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0BA3B2" id="Freeform 18484" o:spid="_x0000_s1026" style="position:absolute;margin-left:313.9pt;margin-top:73.1pt;width:8.7pt;height:5.7pt;z-index:252074496;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1779584" behindDoc="0" locked="0" layoutInCell="1" allowOverlap="1" wp14:anchorId="53560CE6" wp14:editId="2739AF7E">
                <wp:simplePos x="0" y="0"/>
                <wp:positionH relativeFrom="column">
                  <wp:posOffset>3990753</wp:posOffset>
                </wp:positionH>
                <wp:positionV relativeFrom="paragraph">
                  <wp:posOffset>921695</wp:posOffset>
                </wp:positionV>
                <wp:extent cx="110640" cy="72305"/>
                <wp:effectExtent l="0" t="0" r="3810" b="4445"/>
                <wp:wrapNone/>
                <wp:docPr id="18477" name="Freeform 18477"/>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1CA92C" id="Freeform 18477" o:spid="_x0000_s1026" style="position:absolute;margin-left:314.25pt;margin-top:72.55pt;width:8.7pt;height:5.7pt;z-index:251779584;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1535872" behindDoc="0" locked="0" layoutInCell="1" allowOverlap="1" wp14:anchorId="6B0E49BD" wp14:editId="1E2FD71E">
                <wp:simplePos x="0" y="0"/>
                <wp:positionH relativeFrom="column">
                  <wp:posOffset>4233072</wp:posOffset>
                </wp:positionH>
                <wp:positionV relativeFrom="paragraph">
                  <wp:posOffset>921385</wp:posOffset>
                </wp:positionV>
                <wp:extent cx="110640" cy="72305"/>
                <wp:effectExtent l="0" t="0" r="3810" b="4445"/>
                <wp:wrapNone/>
                <wp:docPr id="18472" name="Freeform 18472"/>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8C0DEF" id="Freeform 18472" o:spid="_x0000_s1026" style="position:absolute;margin-left:333.3pt;margin-top:72.55pt;width:8.7pt;height:5.7pt;z-index:251535872;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1461120" behindDoc="0" locked="0" layoutInCell="1" allowOverlap="1" wp14:anchorId="2C5C4C54" wp14:editId="6BE8EF5B">
                <wp:simplePos x="0" y="0"/>
                <wp:positionH relativeFrom="column">
                  <wp:posOffset>4107180</wp:posOffset>
                </wp:positionH>
                <wp:positionV relativeFrom="paragraph">
                  <wp:posOffset>951082</wp:posOffset>
                </wp:positionV>
                <wp:extent cx="110640" cy="72305"/>
                <wp:effectExtent l="0" t="0" r="3810" b="4445"/>
                <wp:wrapNone/>
                <wp:docPr id="18470" name="Freeform 18470"/>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C11064" id="Freeform 18470" o:spid="_x0000_s1026" style="position:absolute;margin-left:323.4pt;margin-top:74.9pt;width:8.7pt;height:5.7pt;z-index:251461120;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1E1586">
        <w:rPr>
          <w:noProof/>
          <w:lang w:eastAsia="zh-CN"/>
        </w:rPr>
        <mc:AlternateContent>
          <mc:Choice Requires="wps">
            <w:drawing>
              <wp:anchor distT="0" distB="0" distL="114300" distR="114300" simplePos="0" relativeHeight="251426304" behindDoc="0" locked="0" layoutInCell="1" allowOverlap="1" wp14:anchorId="623362C7" wp14:editId="68615BB6">
                <wp:simplePos x="0" y="0"/>
                <wp:positionH relativeFrom="column">
                  <wp:posOffset>3958590</wp:posOffset>
                </wp:positionH>
                <wp:positionV relativeFrom="paragraph">
                  <wp:posOffset>974252</wp:posOffset>
                </wp:positionV>
                <wp:extent cx="110640" cy="72305"/>
                <wp:effectExtent l="0" t="0" r="3810" b="4445"/>
                <wp:wrapNone/>
                <wp:docPr id="18469" name="Freeform 18469"/>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D4521" id="Freeform 18469" o:spid="_x0000_s1026" style="position:absolute;margin-left:311.7pt;margin-top:76.7pt;width:8.7pt;height:5.7pt;z-index:251426304;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EA401E">
        <w:rPr>
          <w:noProof/>
          <w:lang w:eastAsia="zh-CN"/>
        </w:rPr>
        <mc:AlternateContent>
          <mc:Choice Requires="wps">
            <w:drawing>
              <wp:anchor distT="0" distB="0" distL="114300" distR="114300" simplePos="0" relativeHeight="251184640" behindDoc="0" locked="0" layoutInCell="1" allowOverlap="1" wp14:anchorId="7A0832C6" wp14:editId="2790D815">
                <wp:simplePos x="0" y="0"/>
                <wp:positionH relativeFrom="column">
                  <wp:posOffset>3225165</wp:posOffset>
                </wp:positionH>
                <wp:positionV relativeFrom="paragraph">
                  <wp:posOffset>981872</wp:posOffset>
                </wp:positionV>
                <wp:extent cx="110490" cy="71755"/>
                <wp:effectExtent l="0" t="0" r="3810" b="4445"/>
                <wp:wrapNone/>
                <wp:docPr id="156" name="Freeform 156"/>
                <wp:cNvGraphicFramePr/>
                <a:graphic xmlns:a="http://schemas.openxmlformats.org/drawingml/2006/main">
                  <a:graphicData uri="http://schemas.microsoft.com/office/word/2010/wordprocessingShape">
                    <wps:wsp>
                      <wps:cNvSpPr/>
                      <wps:spPr>
                        <a:xfrm>
                          <a:off x="0" y="0"/>
                          <a:ext cx="110490" cy="7175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68A65C" id="Freeform 156" o:spid="_x0000_s1026" style="position:absolute;margin-left:253.95pt;margin-top:77.3pt;width:8.7pt;height:5.65pt;z-index:251184640;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" path="m47620,1051c29807,6989,4285,35426,118,60428,-1940,72775,23226,72303,35744,72303v20184,,39585,-7917,59377,-11875c99079,48553,118618,29451,106996,24802,84640,15859,65433,-4887,47620,1051xe" fillcolor="white [3212]" stroked="f" strokeweight="2pt">
                <v:path arrowok="t" o:connecttype="custom" o:connectlocs="47555,1043;118,59968;35696,71753;94992,59968;106851,24613;47555,1043" o:connectangles="0,0,0,0,0,0"/>
              </v:shape>
            </w:pict>
          </mc:Fallback>
        </mc:AlternateContent>
      </w:r>
      <w:r w:rsidR="00EA401E">
        <w:rPr>
          <w:noProof/>
          <w:lang w:eastAsia="zh-CN"/>
        </w:rPr>
        <mc:AlternateContent>
          <mc:Choice Requires="wps">
            <w:drawing>
              <wp:anchor distT="0" distB="0" distL="114300" distR="114300" simplePos="0" relativeHeight="250761728" behindDoc="0" locked="0" layoutInCell="1" allowOverlap="1" wp14:anchorId="7ABE64BC" wp14:editId="752B6898">
                <wp:simplePos x="0" y="0"/>
                <wp:positionH relativeFrom="column">
                  <wp:posOffset>3568995</wp:posOffset>
                </wp:positionH>
                <wp:positionV relativeFrom="paragraph">
                  <wp:posOffset>925239</wp:posOffset>
                </wp:positionV>
                <wp:extent cx="110640" cy="72305"/>
                <wp:effectExtent l="0" t="0" r="3810" b="4445"/>
                <wp:wrapNone/>
                <wp:docPr id="141" name="Freeform 141"/>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FA1DF6" id="Freeform 141" o:spid="_x0000_s1026" style="position:absolute;margin-left:281pt;margin-top:72.85pt;width:8.7pt;height:5.7pt;z-index:250761728;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EA401E">
        <w:rPr>
          <w:noProof/>
          <w:lang w:eastAsia="zh-CN"/>
        </w:rPr>
        <mc:AlternateContent>
          <mc:Choice Requires="wps">
            <w:drawing>
              <wp:anchor distT="0" distB="0" distL="114300" distR="114300" simplePos="0" relativeHeight="250726912" behindDoc="0" locked="0" layoutInCell="1" allowOverlap="1" wp14:anchorId="1D58896E" wp14:editId="689CFE53">
                <wp:simplePos x="0" y="0"/>
                <wp:positionH relativeFrom="column">
                  <wp:posOffset>457200</wp:posOffset>
                </wp:positionH>
                <wp:positionV relativeFrom="paragraph">
                  <wp:posOffset>3751</wp:posOffset>
                </wp:positionV>
                <wp:extent cx="110640" cy="72305"/>
                <wp:effectExtent l="0" t="0" r="3810" b="4445"/>
                <wp:wrapNone/>
                <wp:docPr id="139" name="Freeform 139"/>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1CFED0" id="Freeform 139" o:spid="_x0000_s1026" style="position:absolute;margin-left:36pt;margin-top:.3pt;width:8.7pt;height:5.7pt;z-index:250726912;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EA401E">
        <w:rPr>
          <w:noProof/>
          <w:lang w:eastAsia="zh-CN"/>
        </w:rPr>
        <mc:AlternateContent>
          <mc:Choice Requires="wps">
            <w:drawing>
              <wp:anchor distT="0" distB="0" distL="114300" distR="114300" simplePos="0" relativeHeight="250798592" behindDoc="0" locked="0" layoutInCell="1" allowOverlap="1" wp14:anchorId="69D5AD49" wp14:editId="4565C261">
                <wp:simplePos x="0" y="0"/>
                <wp:positionH relativeFrom="column">
                  <wp:posOffset>609600</wp:posOffset>
                </wp:positionH>
                <wp:positionV relativeFrom="paragraph">
                  <wp:posOffset>156151</wp:posOffset>
                </wp:positionV>
                <wp:extent cx="110640" cy="72305"/>
                <wp:effectExtent l="0" t="0" r="3810" b="4445"/>
                <wp:wrapNone/>
                <wp:docPr id="142" name="Freeform 142"/>
                <wp:cNvGraphicFramePr/>
                <a:graphic xmlns:a="http://schemas.openxmlformats.org/drawingml/2006/main">
                  <a:graphicData uri="http://schemas.microsoft.com/office/word/2010/wordprocessingShape">
                    <wps:wsp>
                      <wps:cNvSpPr/>
                      <wps:spPr>
                        <a:xfrm>
                          <a:off x="0" y="0"/>
                          <a:ext cx="110640" cy="72305"/>
                        </a:xfrm>
                        <a:custGeom>
                          <a:avLst/>
                          <a:gdLst>
                            <a:gd name="connsiteX0" fmla="*/ 47620 w 110640"/>
                            <a:gd name="connsiteY0" fmla="*/ 1051 h 72305"/>
                            <a:gd name="connsiteX1" fmla="*/ 118 w 110640"/>
                            <a:gd name="connsiteY1" fmla="*/ 60428 h 72305"/>
                            <a:gd name="connsiteX2" fmla="*/ 35744 w 110640"/>
                            <a:gd name="connsiteY2" fmla="*/ 72303 h 72305"/>
                            <a:gd name="connsiteX3" fmla="*/ 95121 w 110640"/>
                            <a:gd name="connsiteY3" fmla="*/ 60428 h 72305"/>
                            <a:gd name="connsiteX4" fmla="*/ 106996 w 110640"/>
                            <a:gd name="connsiteY4" fmla="*/ 24802 h 72305"/>
                            <a:gd name="connsiteX5" fmla="*/ 47620 w 110640"/>
                            <a:gd name="connsiteY5" fmla="*/ 1051 h 7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640" h="72305">
                              <a:moveTo>
                                <a:pt x="47620" y="1051"/>
                              </a:moveTo>
                              <a:cubicBezTo>
                                <a:pt x="29807" y="6989"/>
                                <a:pt x="4285" y="35426"/>
                                <a:pt x="118" y="60428"/>
                              </a:cubicBezTo>
                              <a:cubicBezTo>
                                <a:pt x="-1940" y="72775"/>
                                <a:pt x="23226" y="72303"/>
                                <a:pt x="35744" y="72303"/>
                              </a:cubicBezTo>
                              <a:cubicBezTo>
                                <a:pt x="55928" y="72303"/>
                                <a:pt x="75329" y="64386"/>
                                <a:pt x="95121" y="60428"/>
                              </a:cubicBezTo>
                              <a:cubicBezTo>
                                <a:pt x="99079" y="48553"/>
                                <a:pt x="118618" y="29451"/>
                                <a:pt x="106996" y="24802"/>
                              </a:cubicBezTo>
                              <a:cubicBezTo>
                                <a:pt x="84640" y="15859"/>
                                <a:pt x="65433" y="-4887"/>
                                <a:pt x="47620" y="105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D2CEB3" id="Freeform 142" o:spid="_x0000_s1026" style="position:absolute;margin-left:48pt;margin-top:12.3pt;width:8.7pt;height:5.7pt;z-index:250798592;visibility:visible;mso-wrap-style:square;mso-wrap-distance-left:9pt;mso-wrap-distance-top:0;mso-wrap-distance-right:9pt;mso-wrap-distance-bottom:0;mso-position-horizontal:absolute;mso-position-horizontal-relative:text;mso-position-vertical:absolute;mso-position-vertical-relative:text;v-text-anchor:middle" coordsize="110640,7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" path="m47620,1051c29807,6989,4285,35426,118,60428,-1940,72775,23226,72303,35744,72303v20184,,39585,-7917,59377,-11875c99079,48553,118618,29451,106996,24802,84640,15859,65433,-4887,47620,1051xe" fillcolor="white [3212]" stroked="f" strokeweight="2pt">
                <v:path arrowok="t" o:connecttype="custom" o:connectlocs="47620,1051;118,60428;35744,72303;95121,60428;106996,24802;47620,1051" o:connectangles="0,0,0,0,0,0"/>
              </v:shape>
            </w:pict>
          </mc:Fallback>
        </mc:AlternateContent>
      </w:r>
      <w:r w:rsidR="00A729DD">
        <w:rPr>
          <w:rFonts w:ascii="Arial" w:hAnsi="Arial" w:cs="Arial"/>
          <w:noProof/>
          <w:lang w:eastAsia="zh-CN"/>
        </w:rPr>
        <w:drawing>
          <wp:inline distT="0" distB="0" distL="0" distR="0" wp14:anchorId="6BDEDC8D" wp14:editId="5FBFFAD7">
            <wp:extent cx="3459480" cy="3070860"/>
            <wp:effectExtent l="0" t="0" r="762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59480" cy="3070860"/>
                    </a:xfrm>
                    <a:prstGeom prst="rect">
                      <a:avLst/>
                    </a:prstGeom>
                    <a:noFill/>
                  </pic:spPr>
                </pic:pic>
              </a:graphicData>
            </a:graphic>
          </wp:inline>
        </w:drawing>
      </w:r>
    </w:p>
    <w:p w:rsidR="009D7D8C" w:rsidRDefault="0068517D" w:rsidP="00900F2C">
      <w:pPr>
        <w:spacing w:line="360" w:lineRule="auto"/>
        <w:rPr>
          <w:rFonts w:ascii="Arial" w:hAnsi="Arial" w:cs="Arial"/>
        </w:rPr>
      </w:pPr>
      <w:r>
        <w:rPr>
          <w:noProof/>
          <w:lang w:eastAsia="zh-CN"/>
        </w:rPr>
        <mc:AlternateContent>
          <mc:Choice Requires="wps">
            <w:drawing>
              <wp:anchor distT="0" distB="0" distL="114300" distR="114300" simplePos="0" relativeHeight="250241536" behindDoc="0" locked="0" layoutInCell="1" allowOverlap="1" wp14:anchorId="6307006A" wp14:editId="1EA7DB72">
                <wp:simplePos x="0" y="0"/>
                <wp:positionH relativeFrom="column">
                  <wp:posOffset>276860</wp:posOffset>
                </wp:positionH>
                <wp:positionV relativeFrom="paragraph">
                  <wp:posOffset>158115</wp:posOffset>
                </wp:positionV>
                <wp:extent cx="4714875" cy="635"/>
                <wp:effectExtent l="0" t="0" r="9525" b="0"/>
                <wp:wrapNone/>
                <wp:docPr id="18518" name="Text Box 18518"/>
                <wp:cNvGraphicFramePr/>
                <a:graphic xmlns:a="http://schemas.openxmlformats.org/drawingml/2006/main">
                  <a:graphicData uri="http://schemas.microsoft.com/office/word/2010/wordprocessingShape">
                    <wps:wsp>
                      <wps:cNvSpPr txBox="1"/>
                      <wps:spPr>
                        <a:xfrm>
                          <a:off x="0" y="0"/>
                          <a:ext cx="4714875" cy="635"/>
                        </a:xfrm>
                        <a:prstGeom prst="rect">
                          <a:avLst/>
                        </a:prstGeom>
                        <a:solidFill>
                          <a:prstClr val="white"/>
                        </a:solidFill>
                        <a:ln>
                          <a:noFill/>
                        </a:ln>
                        <a:effectLst/>
                      </wps:spPr>
                      <wps:txbx>
                        <w:txbxContent>
                          <w:p w:rsidR="004166BC" w:rsidRPr="007C0FCF" w:rsidRDefault="004166BC" w:rsidP="003E6719">
                            <w:pPr>
                              <w:pStyle w:val="Caption"/>
                              <w:jc w:val="both"/>
                              <w:rPr>
                                <w:rFonts w:ascii="Arial" w:hAnsi="Arial" w:cs="Arial"/>
                                <w:noProof/>
                                <w:color w:val="C00000"/>
                              </w:rPr>
                            </w:pPr>
                            <w:bookmarkStart w:id="32" w:name="_Toc422736052"/>
                            <w:bookmarkStart w:id="33" w:name="_Toc422736160"/>
                            <w:bookmarkStart w:id="34" w:name="_Toc425419495"/>
                            <w:r w:rsidRPr="007E0FBA">
                              <w:rPr>
                                <w:rFonts w:ascii="Arial" w:hAnsi="Arial" w:cs="Arial"/>
                                <w:b w:val="0"/>
                                <w:color w:val="auto"/>
                              </w:rPr>
                              <w:t xml:space="preserve">Figure </w:t>
                            </w:r>
                            <w:r w:rsidRPr="007E0FBA">
                              <w:rPr>
                                <w:rFonts w:ascii="Arial" w:hAnsi="Arial" w:cs="Arial"/>
                                <w:b w:val="0"/>
                                <w:color w:val="auto"/>
                              </w:rPr>
                              <w:fldChar w:fldCharType="begin"/>
                            </w:r>
                            <w:r w:rsidRPr="007E0FBA">
                              <w:rPr>
                                <w:rFonts w:ascii="Arial" w:hAnsi="Arial" w:cs="Arial"/>
                                <w:b w:val="0"/>
                                <w:color w:val="auto"/>
                              </w:rPr>
                              <w:instrText xml:space="preserve"> SEQ Figure \* ARABIC </w:instrText>
                            </w:r>
                            <w:r w:rsidRPr="007E0FBA">
                              <w:rPr>
                                <w:rFonts w:ascii="Arial" w:hAnsi="Arial" w:cs="Arial"/>
                                <w:b w:val="0"/>
                                <w:color w:val="auto"/>
                              </w:rPr>
                              <w:fldChar w:fldCharType="separate"/>
                            </w:r>
                            <w:r>
                              <w:rPr>
                                <w:rFonts w:ascii="Arial" w:hAnsi="Arial" w:cs="Arial"/>
                                <w:b w:val="0"/>
                                <w:noProof/>
                                <w:color w:val="auto"/>
                              </w:rPr>
                              <w:t>12</w:t>
                            </w:r>
                            <w:r w:rsidRPr="007E0FBA">
                              <w:rPr>
                                <w:rFonts w:ascii="Arial" w:hAnsi="Arial" w:cs="Arial"/>
                                <w:b w:val="0"/>
                                <w:noProof/>
                                <w:color w:val="auto"/>
                              </w:rPr>
                              <w:fldChar w:fldCharType="end"/>
                            </w:r>
                            <w:r w:rsidRPr="007E0FBA">
                              <w:rPr>
                                <w:rFonts w:ascii="Arial" w:hAnsi="Arial" w:cs="Arial"/>
                                <w:b w:val="0"/>
                                <w:color w:val="auto"/>
                              </w:rPr>
                              <w:t>:</w:t>
                            </w:r>
                            <w:r w:rsidRPr="007E0FBA">
                              <w:rPr>
                                <w:color w:val="auto"/>
                              </w:rPr>
                              <w:t xml:space="preserve"> </w:t>
                            </w:r>
                            <w:r w:rsidRPr="00CC51C7">
                              <w:rPr>
                                <w:rFonts w:ascii="Arial" w:hAnsi="Arial" w:cs="Arial"/>
                                <w:b w:val="0"/>
                                <w:color w:val="000000" w:themeColor="text1"/>
                              </w:rPr>
                              <w:t xml:space="preserve">The </w:t>
                            </w:r>
                            <w:r>
                              <w:rPr>
                                <w:rFonts w:ascii="Arial" w:hAnsi="Arial" w:cs="Arial"/>
                                <w:b w:val="0"/>
                                <w:color w:val="000000" w:themeColor="text1"/>
                              </w:rPr>
                              <w:t xml:space="preserve">bone </w:t>
                            </w:r>
                            <w:r w:rsidRPr="00CC51C7">
                              <w:rPr>
                                <w:rFonts w:ascii="Arial" w:hAnsi="Arial" w:cs="Arial"/>
                                <w:b w:val="0"/>
                                <w:color w:val="000000" w:themeColor="text1"/>
                              </w:rPr>
                              <w:t>remodelling process</w:t>
                            </w:r>
                            <w:r>
                              <w:rPr>
                                <w:rFonts w:ascii="Arial" w:hAnsi="Arial" w:cs="Arial"/>
                                <w:b w:val="0"/>
                                <w:color w:val="000000" w:themeColor="text1"/>
                              </w:rPr>
                              <w:t xml:space="preserve"> in osteoporotic</w:t>
                            </w:r>
                            <w:r w:rsidRPr="00CC51C7">
                              <w:rPr>
                                <w:rFonts w:ascii="Arial" w:hAnsi="Arial" w:cs="Arial"/>
                                <w:b w:val="0"/>
                                <w:color w:val="000000" w:themeColor="text1"/>
                              </w:rPr>
                              <w:t xml:space="preserve"> bone physiology;</w:t>
                            </w:r>
                            <w:r>
                              <w:rPr>
                                <w:rFonts w:ascii="Arial" w:hAnsi="Arial" w:cs="Arial"/>
                                <w:b w:val="0"/>
                                <w:color w:val="000000" w:themeColor="text1"/>
                              </w:rPr>
                              <w:t xml:space="preserve"> illustrating a negative balance (bone resorption exceeding bone formation) causing disruption in the microarchitecture and accelerated bone loss</w:t>
                            </w:r>
                            <w:bookmarkEnd w:id="32"/>
                            <w:bookmarkEnd w:id="33"/>
                            <w:r>
                              <w:rPr>
                                <w:rFonts w:ascii="Arial" w:hAnsi="Arial" w:cs="Arial"/>
                                <w:b w:val="0"/>
                                <w:color w:val="000000" w:themeColor="text1"/>
                              </w:rPr>
                              <w:t>.</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07006A" id="Text Box 18518" o:spid="_x0000_s1079" type="#_x0000_t202" style="position:absolute;margin-left:21.8pt;margin-top:12.45pt;width:371.25pt;height:.05pt;z-index:2502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" stroked="f">
                <v:textbox style="mso-fit-shape-to-text:t" inset="0,0,0,0">
                  <w:txbxContent>
                    <w:p w:rsidR="004166BC" w:rsidRPr="007C0FCF" w:rsidRDefault="004166BC" w:rsidP="003E6719">
                      <w:pPr>
                        <w:pStyle w:val="Caption"/>
                        <w:jc w:val="both"/>
                        <w:rPr>
                          <w:rFonts w:ascii="Arial" w:hAnsi="Arial" w:cs="Arial"/>
                          <w:noProof/>
                          <w:color w:val="C00000"/>
                        </w:rPr>
                      </w:pPr>
                      <w:bookmarkStart w:id="44" w:name="_Toc422736052"/>
                      <w:bookmarkStart w:id="45" w:name="_Toc422736160"/>
                      <w:bookmarkStart w:id="46" w:name="_Toc425419495"/>
                      <w:r w:rsidRPr="007E0FBA">
                        <w:rPr>
                          <w:rFonts w:ascii="Arial" w:hAnsi="Arial" w:cs="Arial"/>
                          <w:b w:val="0"/>
                          <w:color w:val="auto"/>
                        </w:rPr>
                        <w:t xml:space="preserve">Figure </w:t>
                      </w:r>
                      <w:r w:rsidRPr="007E0FBA">
                        <w:rPr>
                          <w:rFonts w:ascii="Arial" w:hAnsi="Arial" w:cs="Arial"/>
                          <w:b w:val="0"/>
                          <w:color w:val="auto"/>
                        </w:rPr>
                        <w:fldChar w:fldCharType="begin"/>
                      </w:r>
                      <w:r w:rsidRPr="007E0FBA">
                        <w:rPr>
                          <w:rFonts w:ascii="Arial" w:hAnsi="Arial" w:cs="Arial"/>
                          <w:b w:val="0"/>
                          <w:color w:val="auto"/>
                        </w:rPr>
                        <w:instrText xml:space="preserve"> SEQ Figure \* ARABIC </w:instrText>
                      </w:r>
                      <w:r w:rsidRPr="007E0FBA">
                        <w:rPr>
                          <w:rFonts w:ascii="Arial" w:hAnsi="Arial" w:cs="Arial"/>
                          <w:b w:val="0"/>
                          <w:color w:val="auto"/>
                        </w:rPr>
                        <w:fldChar w:fldCharType="separate"/>
                      </w:r>
                      <w:r>
                        <w:rPr>
                          <w:rFonts w:ascii="Arial" w:hAnsi="Arial" w:cs="Arial"/>
                          <w:b w:val="0"/>
                          <w:noProof/>
                          <w:color w:val="auto"/>
                        </w:rPr>
                        <w:t>12</w:t>
                      </w:r>
                      <w:r w:rsidRPr="007E0FBA">
                        <w:rPr>
                          <w:rFonts w:ascii="Arial" w:hAnsi="Arial" w:cs="Arial"/>
                          <w:b w:val="0"/>
                          <w:noProof/>
                          <w:color w:val="auto"/>
                        </w:rPr>
                        <w:fldChar w:fldCharType="end"/>
                      </w:r>
                      <w:r w:rsidRPr="007E0FBA">
                        <w:rPr>
                          <w:rFonts w:ascii="Arial" w:hAnsi="Arial" w:cs="Arial"/>
                          <w:b w:val="0"/>
                          <w:color w:val="auto"/>
                        </w:rPr>
                        <w:t>:</w:t>
                      </w:r>
                      <w:r w:rsidRPr="007E0FBA">
                        <w:rPr>
                          <w:color w:val="auto"/>
                        </w:rPr>
                        <w:t xml:space="preserve"> </w:t>
                      </w:r>
                      <w:r w:rsidRPr="00CC51C7">
                        <w:rPr>
                          <w:rFonts w:ascii="Arial" w:hAnsi="Arial" w:cs="Arial"/>
                          <w:b w:val="0"/>
                          <w:color w:val="000000" w:themeColor="text1"/>
                        </w:rPr>
                        <w:t xml:space="preserve">The </w:t>
                      </w:r>
                      <w:r>
                        <w:rPr>
                          <w:rFonts w:ascii="Arial" w:hAnsi="Arial" w:cs="Arial"/>
                          <w:b w:val="0"/>
                          <w:color w:val="000000" w:themeColor="text1"/>
                        </w:rPr>
                        <w:t xml:space="preserve">bone </w:t>
                      </w:r>
                      <w:r w:rsidRPr="00CC51C7">
                        <w:rPr>
                          <w:rFonts w:ascii="Arial" w:hAnsi="Arial" w:cs="Arial"/>
                          <w:b w:val="0"/>
                          <w:color w:val="000000" w:themeColor="text1"/>
                        </w:rPr>
                        <w:t>remodelling process</w:t>
                      </w:r>
                      <w:r>
                        <w:rPr>
                          <w:rFonts w:ascii="Arial" w:hAnsi="Arial" w:cs="Arial"/>
                          <w:b w:val="0"/>
                          <w:color w:val="000000" w:themeColor="text1"/>
                        </w:rPr>
                        <w:t xml:space="preserve"> in osteoporotic</w:t>
                      </w:r>
                      <w:r w:rsidRPr="00CC51C7">
                        <w:rPr>
                          <w:rFonts w:ascii="Arial" w:hAnsi="Arial" w:cs="Arial"/>
                          <w:b w:val="0"/>
                          <w:color w:val="000000" w:themeColor="text1"/>
                        </w:rPr>
                        <w:t xml:space="preserve"> bone physiology;</w:t>
                      </w:r>
                      <w:r>
                        <w:rPr>
                          <w:rFonts w:ascii="Arial" w:hAnsi="Arial" w:cs="Arial"/>
                          <w:b w:val="0"/>
                          <w:color w:val="000000" w:themeColor="text1"/>
                        </w:rPr>
                        <w:t xml:space="preserve"> illustrating a negative balance (bone resorption exceeding bone formation) causing disruption in the microarchitecture and accelerated bone loss</w:t>
                      </w:r>
                      <w:bookmarkEnd w:id="44"/>
                      <w:bookmarkEnd w:id="45"/>
                      <w:r>
                        <w:rPr>
                          <w:rFonts w:ascii="Arial" w:hAnsi="Arial" w:cs="Arial"/>
                          <w:b w:val="0"/>
                          <w:color w:val="000000" w:themeColor="text1"/>
                        </w:rPr>
                        <w:t>.</w:t>
                      </w:r>
                      <w:bookmarkEnd w:id="46"/>
                    </w:p>
                  </w:txbxContent>
                </v:textbox>
              </v:shape>
            </w:pict>
          </mc:Fallback>
        </mc:AlternateContent>
      </w:r>
    </w:p>
    <w:p w:rsidR="00832431" w:rsidRDefault="00254E3B" w:rsidP="00900F2C">
      <w:pPr>
        <w:spacing w:line="360" w:lineRule="auto"/>
        <w:rPr>
          <w:rFonts w:ascii="Arial" w:hAnsi="Arial" w:cs="Arial"/>
        </w:rPr>
      </w:pPr>
      <w:r>
        <w:rPr>
          <w:noProof/>
          <w:color w:val="C00000"/>
          <w:lang w:eastAsia="zh-CN"/>
        </w:rPr>
        <mc:AlternateContent>
          <mc:Choice Requires="wps">
            <w:drawing>
              <wp:anchor distT="0" distB="0" distL="114300" distR="114300" simplePos="0" relativeHeight="252829184" behindDoc="0" locked="0" layoutInCell="1" allowOverlap="1" wp14:anchorId="289A5E56" wp14:editId="4521CC61">
                <wp:simplePos x="0" y="0"/>
                <wp:positionH relativeFrom="column">
                  <wp:posOffset>895350</wp:posOffset>
                </wp:positionH>
                <wp:positionV relativeFrom="paragraph">
                  <wp:posOffset>370840</wp:posOffset>
                </wp:positionV>
                <wp:extent cx="3724275" cy="2857500"/>
                <wp:effectExtent l="0" t="0" r="28575" b="19050"/>
                <wp:wrapNone/>
                <wp:docPr id="18520" name="Rectangle 18520"/>
                <wp:cNvGraphicFramePr/>
                <a:graphic xmlns:a="http://schemas.openxmlformats.org/drawingml/2006/main">
                  <a:graphicData uri="http://schemas.microsoft.com/office/word/2010/wordprocessingShape">
                    <wps:wsp>
                      <wps:cNvSpPr/>
                      <wps:spPr>
                        <a:xfrm>
                          <a:off x="0" y="0"/>
                          <a:ext cx="3724275" cy="28575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E684D" id="Rectangle 18520" o:spid="_x0000_s1026" style="position:absolute;margin-left:70.5pt;margin-top:29.2pt;width:293.25pt;height:225pt;z-index:2528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" filled="f" strokecolor="windowText" strokeweight=".5pt"/>
            </w:pict>
          </mc:Fallback>
        </mc:AlternateContent>
      </w:r>
    </w:p>
    <w:p w:rsidR="00A43C4A" w:rsidRDefault="00BF243F" w:rsidP="00347B9D">
      <w:pPr>
        <w:keepNext/>
        <w:spacing w:line="360" w:lineRule="auto"/>
        <w:jc w:val="center"/>
      </w:pPr>
      <w:r>
        <w:rPr>
          <w:rFonts w:ascii="Arial" w:hAnsi="Arial" w:cs="Arial"/>
          <w:noProof/>
          <w:lang w:eastAsia="zh-CN"/>
        </w:rPr>
        <w:drawing>
          <wp:inline distT="0" distB="0" distL="0" distR="0" wp14:anchorId="3CAA757D" wp14:editId="726A047D">
            <wp:extent cx="2908300" cy="2778673"/>
            <wp:effectExtent l="0" t="0" r="6350" b="3175"/>
            <wp:docPr id="18432" name="Picture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11144" cy="2781391"/>
                    </a:xfrm>
                    <a:prstGeom prst="rect">
                      <a:avLst/>
                    </a:prstGeom>
                    <a:noFill/>
                  </pic:spPr>
                </pic:pic>
              </a:graphicData>
            </a:graphic>
          </wp:inline>
        </w:drawing>
      </w:r>
    </w:p>
    <w:p w:rsidR="00BF243F" w:rsidRPr="0068517D" w:rsidRDefault="00A43C4A" w:rsidP="003E6719">
      <w:pPr>
        <w:pStyle w:val="Caption"/>
        <w:jc w:val="both"/>
        <w:rPr>
          <w:rFonts w:ascii="Arial" w:hAnsi="Arial" w:cs="Arial"/>
          <w:noProof/>
          <w:lang w:eastAsia="en-GB"/>
        </w:rPr>
      </w:pPr>
      <w:bookmarkStart w:id="35" w:name="_Toc425419496"/>
      <w:r w:rsidRPr="0068517D">
        <w:rPr>
          <w:rFonts w:ascii="Arial" w:hAnsi="Arial" w:cs="Arial"/>
          <w:b w:val="0"/>
          <w:color w:val="000000" w:themeColor="text1"/>
        </w:rPr>
        <w:t xml:space="preserve">Figure </w:t>
      </w:r>
      <w:r w:rsidR="00A44EEC" w:rsidRPr="0068517D">
        <w:rPr>
          <w:rFonts w:ascii="Arial" w:hAnsi="Arial" w:cs="Arial"/>
          <w:b w:val="0"/>
          <w:color w:val="000000" w:themeColor="text1"/>
        </w:rPr>
        <w:fldChar w:fldCharType="begin"/>
      </w:r>
      <w:r w:rsidR="00A44EEC" w:rsidRPr="0068517D">
        <w:rPr>
          <w:rFonts w:ascii="Arial" w:hAnsi="Arial" w:cs="Arial"/>
          <w:b w:val="0"/>
          <w:color w:val="000000" w:themeColor="text1"/>
        </w:rPr>
        <w:instrText xml:space="preserve"> SEQ Figure \* ARABIC </w:instrText>
      </w:r>
      <w:r w:rsidR="00A44EEC" w:rsidRPr="0068517D">
        <w:rPr>
          <w:rFonts w:ascii="Arial" w:hAnsi="Arial" w:cs="Arial"/>
          <w:b w:val="0"/>
          <w:color w:val="000000" w:themeColor="text1"/>
        </w:rPr>
        <w:fldChar w:fldCharType="separate"/>
      </w:r>
      <w:r w:rsidR="0040369A">
        <w:rPr>
          <w:rFonts w:ascii="Arial" w:hAnsi="Arial" w:cs="Arial"/>
          <w:b w:val="0"/>
          <w:noProof/>
          <w:color w:val="000000" w:themeColor="text1"/>
        </w:rPr>
        <w:t>13</w:t>
      </w:r>
      <w:r w:rsidR="00A44EEC" w:rsidRPr="0068517D">
        <w:rPr>
          <w:rFonts w:ascii="Arial" w:hAnsi="Arial" w:cs="Arial"/>
          <w:b w:val="0"/>
          <w:noProof/>
          <w:color w:val="000000" w:themeColor="text1"/>
        </w:rPr>
        <w:fldChar w:fldCharType="end"/>
      </w:r>
      <w:r w:rsidR="00A44EEC" w:rsidRPr="0068517D">
        <w:rPr>
          <w:rFonts w:ascii="Arial" w:hAnsi="Arial" w:cs="Arial"/>
          <w:b w:val="0"/>
          <w:noProof/>
          <w:color w:val="000000" w:themeColor="text1"/>
        </w:rPr>
        <w:t xml:space="preserve">: </w:t>
      </w:r>
      <w:r w:rsidR="00A44EEC" w:rsidRPr="0068517D">
        <w:rPr>
          <w:rFonts w:ascii="Arial" w:hAnsi="Arial" w:cs="Arial"/>
          <w:b w:val="0"/>
          <w:color w:val="000000" w:themeColor="text1"/>
        </w:rPr>
        <w:t xml:space="preserve">HR-pQCT images of a) normal radius and b) normal tibia showing intact cortex, small pores and thick uniform </w:t>
      </w:r>
      <w:r w:rsidR="00A44EEC" w:rsidRPr="0068517D">
        <w:rPr>
          <w:rFonts w:ascii="Arial" w:hAnsi="Arial" w:cs="Arial"/>
          <w:b w:val="0"/>
          <w:color w:val="auto"/>
        </w:rPr>
        <w:t>trabeculae and c) osteoporotic radius and d) osteoporotic tibia showing a thin cortex, a break down in its structure and thin sparse trab</w:t>
      </w:r>
      <w:r w:rsidR="00AD64B9">
        <w:rPr>
          <w:rFonts w:ascii="Arial" w:hAnsi="Arial" w:cs="Arial"/>
          <w:b w:val="0"/>
          <w:color w:val="auto"/>
        </w:rPr>
        <w:t>ec</w:t>
      </w:r>
      <w:r w:rsidR="00A44EEC" w:rsidRPr="0068517D">
        <w:rPr>
          <w:rFonts w:ascii="Arial" w:hAnsi="Arial" w:cs="Arial"/>
          <w:b w:val="0"/>
          <w:color w:val="auto"/>
        </w:rPr>
        <w:t>ulae.</w:t>
      </w:r>
      <w:bookmarkEnd w:id="35"/>
      <w:r w:rsidR="00F71880" w:rsidRPr="0068517D">
        <w:rPr>
          <w:rFonts w:ascii="Arial" w:hAnsi="Arial" w:cs="Arial"/>
          <w:noProof/>
          <w:lang w:eastAsia="en-GB"/>
        </w:rPr>
        <w:t xml:space="preserve"> </w:t>
      </w:r>
    </w:p>
    <w:p w:rsidR="00BE0D8E" w:rsidRDefault="00BB451F" w:rsidP="003B725E">
      <w:pPr>
        <w:spacing w:line="360" w:lineRule="auto"/>
        <w:jc w:val="both"/>
        <w:rPr>
          <w:rFonts w:ascii="Arial" w:hAnsi="Arial" w:cs="Arial"/>
        </w:rPr>
      </w:pPr>
      <w:r>
        <w:rPr>
          <w:rFonts w:ascii="Arial" w:hAnsi="Arial" w:cs="Arial"/>
        </w:rPr>
        <w:t>Postmenopausal osteoporosis also related to a decrease in calcium absorption, vitamin D deficiency, decreased production of 1</w:t>
      </w:r>
      <w:proofErr w:type="gramStart"/>
      <w:r>
        <w:rPr>
          <w:rFonts w:ascii="Arial" w:hAnsi="Arial" w:cs="Arial"/>
        </w:rPr>
        <w:t>,25</w:t>
      </w:r>
      <w:proofErr w:type="gramEnd"/>
      <w:r>
        <w:rPr>
          <w:rFonts w:ascii="Arial" w:hAnsi="Arial" w:cs="Arial"/>
        </w:rPr>
        <w:t xml:space="preserve">-dihydroxyvitamin D production and impaired kidney function. These factors may cause secondary hyperparathyroidism and contribute to a further increase in bone resorption and bone loss. Bone loss starts the year prior to the menopause and continues rapidly for a further 3 years </w:t>
      </w:r>
      <w:r w:rsidR="00AD64B9">
        <w:rPr>
          <w:rFonts w:ascii="Arial" w:hAnsi="Arial" w:cs="Arial"/>
        </w:rPr>
        <w:fldChar w:fldCharType="begin">
          <w:fldData xml:space="preserve">PEVuZE5vdGU+PENpdGU+PEF1dGhvcj5HcmVlbmRhbGU8L0F1dGhvcj48WWVhcj4yMDEyPC9ZZWFy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YWdlcz4xMTEtODwvcGFnZXM+PHZvbHVtZT4yNzwvdm9sdW1lPjxudW1iZXI+MTwvbnVtYmVyPjxl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PEVuZE5vdGU+PENpdGU+PEF1dGhvcj5HcmVlbmRhbGU8L0F1dGhvcj48WWVhcj4yMDEyPC9ZZWFy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YWdlcz4xMTEtODwvcGFnZXM+PHZvbHVtZT4yNzwvdm9sdW1lPjxudW1iZXI+MTwvbnVtYmVyPjxl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AD64B9">
        <w:rPr>
          <w:rFonts w:ascii="Arial" w:hAnsi="Arial" w:cs="Arial"/>
        </w:rPr>
      </w:r>
      <w:r w:rsidR="00AD64B9">
        <w:rPr>
          <w:rFonts w:ascii="Arial" w:hAnsi="Arial" w:cs="Arial"/>
        </w:rPr>
        <w:fldChar w:fldCharType="separate"/>
      </w:r>
      <w:r w:rsidR="005A347B">
        <w:rPr>
          <w:rFonts w:ascii="Arial" w:hAnsi="Arial" w:cs="Arial"/>
          <w:noProof/>
        </w:rPr>
        <w:t>(</w:t>
      </w:r>
      <w:hyperlink w:anchor="_ENREF_159" w:tooltip="Greendale, 2012 #386" w:history="1">
        <w:r w:rsidR="003B725E">
          <w:rPr>
            <w:rFonts w:ascii="Arial" w:hAnsi="Arial" w:cs="Arial"/>
            <w:noProof/>
          </w:rPr>
          <w:t>159</w:t>
        </w:r>
      </w:hyperlink>
      <w:r w:rsidR="005A347B">
        <w:rPr>
          <w:rFonts w:ascii="Arial" w:hAnsi="Arial" w:cs="Arial"/>
          <w:noProof/>
        </w:rPr>
        <w:t>)</w:t>
      </w:r>
      <w:r w:rsidR="00AD64B9">
        <w:rPr>
          <w:rFonts w:ascii="Arial" w:hAnsi="Arial" w:cs="Arial"/>
        </w:rPr>
        <w:fldChar w:fldCharType="end"/>
      </w:r>
      <w:r w:rsidR="005471C1">
        <w:rPr>
          <w:rFonts w:ascii="Arial" w:hAnsi="Arial" w:cs="Arial"/>
        </w:rPr>
        <w:t>.</w:t>
      </w:r>
      <w:r>
        <w:rPr>
          <w:rFonts w:ascii="Arial" w:hAnsi="Arial" w:cs="Arial"/>
        </w:rPr>
        <w:t xml:space="preserve"> BMD decreases at a </w:t>
      </w:r>
      <w:r>
        <w:rPr>
          <w:rFonts w:ascii="Arial" w:hAnsi="Arial" w:cs="Arial"/>
        </w:rPr>
        <w:lastRenderedPageBreak/>
        <w:t>rate of 10% at the 5 to 6 years around the menopause and if untreated the 15 to</w:t>
      </w:r>
      <w:r w:rsidR="0099265D">
        <w:rPr>
          <w:rFonts w:ascii="Arial" w:hAnsi="Arial" w:cs="Arial"/>
        </w:rPr>
        <w:t xml:space="preserve"> 20% of women in their early 60’s</w:t>
      </w:r>
      <w:r>
        <w:rPr>
          <w:rFonts w:ascii="Arial" w:hAnsi="Arial" w:cs="Arial"/>
        </w:rPr>
        <w:t xml:space="preserve"> will experience a vertebral fracture</w:t>
      </w:r>
      <w:r w:rsidR="00AD64B9">
        <w:rPr>
          <w:rFonts w:ascii="Arial" w:hAnsi="Arial" w:cs="Arial"/>
        </w:rPr>
        <w:t xml:space="preserve"> </w:t>
      </w:r>
      <w:r w:rsidR="00AD64B9">
        <w:rPr>
          <w:rFonts w:ascii="Arial" w:hAnsi="Arial" w:cs="Arial"/>
        </w:rPr>
        <w:fldChar w:fldCharType="begin">
          <w:fldData xml:space="preserve">PEVuZE5vdGU+PENpdGU+PEF1dGhvcj5UZWxsYTwvQXV0aG9yPjxZZWFyPjIwMTQ8L1llYXI+PFJl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=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PEVuZE5vdGU+PENpdGU+PEF1dGhvcj5UZWxsYTwvQXV0aG9yPjxZZWFyPjIwMTQ8L1llYXI+PFJl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=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AD64B9">
        <w:rPr>
          <w:rFonts w:ascii="Arial" w:hAnsi="Arial" w:cs="Arial"/>
        </w:rPr>
      </w:r>
      <w:r w:rsidR="00AD64B9">
        <w:rPr>
          <w:rFonts w:ascii="Arial" w:hAnsi="Arial" w:cs="Arial"/>
        </w:rPr>
        <w:fldChar w:fldCharType="separate"/>
      </w:r>
      <w:r w:rsidR="005A347B">
        <w:rPr>
          <w:rFonts w:ascii="Arial" w:hAnsi="Arial" w:cs="Arial"/>
          <w:noProof/>
        </w:rPr>
        <w:t>(</w:t>
      </w:r>
      <w:hyperlink w:anchor="_ENREF_160" w:tooltip="Tella, 2014 #385" w:history="1">
        <w:r w:rsidR="003B725E">
          <w:rPr>
            <w:rFonts w:ascii="Arial" w:hAnsi="Arial" w:cs="Arial"/>
            <w:noProof/>
          </w:rPr>
          <w:t>160</w:t>
        </w:r>
      </w:hyperlink>
      <w:r w:rsidR="005A347B">
        <w:rPr>
          <w:rFonts w:ascii="Arial" w:hAnsi="Arial" w:cs="Arial"/>
          <w:noProof/>
        </w:rPr>
        <w:t xml:space="preserve">, </w:t>
      </w:r>
      <w:hyperlink w:anchor="_ENREF_161" w:tooltip="Garnero, 1999 #299" w:history="1">
        <w:r w:rsidR="003B725E">
          <w:rPr>
            <w:rFonts w:ascii="Arial" w:hAnsi="Arial" w:cs="Arial"/>
            <w:noProof/>
          </w:rPr>
          <w:t>161</w:t>
        </w:r>
      </w:hyperlink>
      <w:r w:rsidR="005A347B">
        <w:rPr>
          <w:rFonts w:ascii="Arial" w:hAnsi="Arial" w:cs="Arial"/>
          <w:noProof/>
        </w:rPr>
        <w:t>)</w:t>
      </w:r>
      <w:r w:rsidR="00AD64B9">
        <w:rPr>
          <w:rFonts w:ascii="Arial" w:hAnsi="Arial" w:cs="Arial"/>
        </w:rPr>
        <w:fldChar w:fldCharType="end"/>
      </w:r>
      <w:r w:rsidR="00AD64B9">
        <w:rPr>
          <w:rFonts w:ascii="Arial" w:hAnsi="Arial" w:cs="Arial"/>
        </w:rPr>
        <w:t>.</w:t>
      </w:r>
    </w:p>
    <w:p w:rsidR="0001045D" w:rsidRDefault="0001045D" w:rsidP="003E6719">
      <w:pPr>
        <w:pStyle w:val="Heading3"/>
        <w:jc w:val="both"/>
      </w:pPr>
      <w:bookmarkStart w:id="36" w:name="_Toc425418893"/>
      <w:r>
        <w:t>Secondary osteoporosis</w:t>
      </w:r>
      <w:bookmarkEnd w:id="36"/>
    </w:p>
    <w:p w:rsidR="00BD738A" w:rsidRPr="0001045D" w:rsidRDefault="0099265D" w:rsidP="003B725E">
      <w:pPr>
        <w:spacing w:line="360" w:lineRule="auto"/>
        <w:jc w:val="both"/>
      </w:pPr>
      <w:r>
        <w:rPr>
          <w:rFonts w:ascii="Arial" w:hAnsi="Arial" w:cs="Arial"/>
        </w:rPr>
        <w:t>O</w:t>
      </w:r>
      <w:r w:rsidR="0055038B" w:rsidRPr="007B5BC0">
        <w:rPr>
          <w:rFonts w:ascii="Arial" w:hAnsi="Arial" w:cs="Arial"/>
        </w:rPr>
        <w:t>steoporosis can also be caused as a consequence of diseases and this is known as secondary osteoporosis. Generally</w:t>
      </w:r>
      <w:r w:rsidR="00BD738A" w:rsidRPr="007B5BC0">
        <w:rPr>
          <w:rFonts w:ascii="Arial" w:hAnsi="Arial" w:cs="Arial"/>
        </w:rPr>
        <w:t xml:space="preserve">, </w:t>
      </w:r>
      <w:r w:rsidR="0055038B" w:rsidRPr="007B5BC0">
        <w:rPr>
          <w:rFonts w:ascii="Arial" w:hAnsi="Arial" w:cs="Arial"/>
        </w:rPr>
        <w:t>secon</w:t>
      </w:r>
      <w:r w:rsidR="00BD738A" w:rsidRPr="007B5BC0">
        <w:rPr>
          <w:rFonts w:ascii="Arial" w:hAnsi="Arial" w:cs="Arial"/>
        </w:rPr>
        <w:t xml:space="preserve">dary osteoporosis is characterised by low BMD or increased risk of fracture caused by a disease or treatment and not directly related to age or postmenopausal status </w:t>
      </w:r>
      <w:r w:rsidR="000E6601">
        <w:rPr>
          <w:rFonts w:ascii="Arial" w:hAnsi="Arial" w:cs="Arial"/>
        </w:rPr>
        <w:fldChar w:fldCharType="begin"/>
      </w:r>
      <w:r w:rsidR="005A347B">
        <w:rPr>
          <w:rFonts w:ascii="Arial" w:hAnsi="Arial" w:cs="Arial"/>
        </w:rPr>
        <w:instrText xml:space="preserve"> ADDIN EN.CITE &lt;EndNote&gt;&lt;Cite&gt;&lt;Author&gt;Emkey&lt;/Author&gt;&lt;Year&gt;2014&lt;/Year&gt;&lt;RecNum&gt;272&lt;/RecNum&gt;&lt;DisplayText&gt;(162)&lt;/DisplayText&gt;&lt;record&gt;&lt;rec-number&gt;272&lt;/rec-number&gt;&lt;foreign-keys&gt;&lt;key app="EN" db-id="p9a5ttsvyvde9me5aw2x05fp5p55axf0wr90" timestamp="1431083158"&gt;272&lt;/key&gt;&lt;/foreign-keys&gt;&lt;ref-type name="Journal Article"&gt;17&lt;/ref-type&gt;&lt;contributors&gt;&lt;authors&gt;&lt;author&gt;Emkey, G. R.&lt;/author&gt;&lt;author&gt;Epstein, S.&lt;/author&gt;&lt;/authors&gt;&lt;/contributors&gt;&lt;auth-address&gt;Pennsylvania Regional Center for Arthritis &amp;amp; Osteoporosis Research, 1200 Broadcasting Road, Suite 200, Wyomissing, PA 19610, USA. Electronic address: gemkey1@gmail.com.&amp;#xD;Mt Sinai School of Medicine, I Gustave Levy Place New York, New York, NY, USA.&lt;/auth-address&gt;&lt;titles&gt;&lt;title&gt;Secondary osteoporosis: pathophysiology &amp;amp; diagnosis&lt;/title&gt;&lt;secondary-title&gt;Best Pract Res Clin Endocrinol Metab&lt;/secondary-title&gt;&lt;/titles&gt;&lt;periodical&gt;&lt;full-title&gt;Best Pract Res Clin Endocrinol Metab&lt;/full-title&gt;&lt;/periodical&gt;&lt;pages&gt;911-35&lt;/pages&gt;&lt;volume&gt;28&lt;/volume&gt;&lt;number&gt;6&lt;/number&gt;&lt;edition&gt;2014/11/30&lt;/edition&gt;&lt;keywords&gt;&lt;keyword&gt;aromatase inhibitors&lt;/keyword&gt;&lt;keyword&gt;fragility fractures&lt;/keyword&gt;&lt;keyword&gt;glucocorticoids&lt;/keyword&gt;&lt;keyword&gt;hypercalciuria&lt;/keyword&gt;&lt;keyword&gt;hyperparathyroidism&lt;/keyword&gt;&lt;keyword&gt;hyperthyroidism&lt;/keyword&gt;&lt;keyword&gt;multiple myeloma&lt;/keyword&gt;&lt;keyword&gt;osteoporosis&lt;/keyword&gt;&lt;keyword&gt;secondary osteoporosis&lt;/keyword&gt;&lt;keyword&gt;vitamin D deficiency&lt;/keyword&gt;&lt;/keywords&gt;&lt;dates&gt;&lt;year&gt;2014&lt;/year&gt;&lt;pub-dates&gt;&lt;date&gt;Dec&lt;/date&gt;&lt;/pub-dates&gt;&lt;/dates&gt;&lt;isbn&gt;1878-1594 (Electronic)&amp;#xD;1521-690X (Linking)&lt;/isbn&gt;&lt;accession-num&gt;25432361&lt;/accession-num&gt;&lt;urls&gt;&lt;/urls&gt;&lt;electronic-resource-num&gt;10.1016/j.beem.2014.07.002&lt;/electronic-resource-num&gt;&lt;remote-database-provider&gt;NLM&lt;/remote-database-provider&gt;&lt;language&gt;eng&lt;/language&gt;&lt;/record&gt;&lt;/Cite&gt;&lt;/EndNote&gt;</w:instrText>
      </w:r>
      <w:r w:rsidR="000E6601">
        <w:rPr>
          <w:rFonts w:ascii="Arial" w:hAnsi="Arial" w:cs="Arial"/>
        </w:rPr>
        <w:fldChar w:fldCharType="separate"/>
      </w:r>
      <w:r w:rsidR="005A347B">
        <w:rPr>
          <w:rFonts w:ascii="Arial" w:hAnsi="Arial" w:cs="Arial"/>
          <w:noProof/>
        </w:rPr>
        <w:t>(</w:t>
      </w:r>
      <w:hyperlink w:anchor="_ENREF_162" w:tooltip="Emkey, 2014 #272" w:history="1">
        <w:r w:rsidR="003B725E">
          <w:rPr>
            <w:rFonts w:ascii="Arial" w:hAnsi="Arial" w:cs="Arial"/>
            <w:noProof/>
          </w:rPr>
          <w:t>162</w:t>
        </w:r>
      </w:hyperlink>
      <w:r w:rsidR="005A347B">
        <w:rPr>
          <w:rFonts w:ascii="Arial" w:hAnsi="Arial" w:cs="Arial"/>
          <w:noProof/>
        </w:rPr>
        <w:t>)</w:t>
      </w:r>
      <w:r w:rsidR="000E6601">
        <w:rPr>
          <w:rFonts w:ascii="Arial" w:hAnsi="Arial" w:cs="Arial"/>
        </w:rPr>
        <w:fldChar w:fldCharType="end"/>
      </w:r>
      <w:r w:rsidR="000E6601">
        <w:rPr>
          <w:rFonts w:ascii="Arial" w:hAnsi="Arial" w:cs="Arial"/>
        </w:rPr>
        <w:t>.</w:t>
      </w:r>
      <w:r w:rsidR="00BD738A" w:rsidRPr="007B5BC0">
        <w:rPr>
          <w:rFonts w:ascii="Arial" w:hAnsi="Arial" w:cs="Arial"/>
        </w:rPr>
        <w:t xml:space="preserve"> </w:t>
      </w:r>
      <w:r w:rsidR="000B0461" w:rsidRPr="007B5BC0">
        <w:rPr>
          <w:rFonts w:ascii="Arial" w:hAnsi="Arial" w:cs="Arial"/>
        </w:rPr>
        <w:t xml:space="preserve">Some of the most common causes of secondary osteoporosis include: hyperparathyroidism, diabetes, rheumatoid arthritis, inflammatory bowel disease, glucocorticoids, aromatase inhibitors etc. </w:t>
      </w:r>
      <w:r w:rsidR="000E6601">
        <w:rPr>
          <w:rFonts w:ascii="Arial" w:hAnsi="Arial" w:cs="Arial"/>
        </w:rPr>
        <w:fldChar w:fldCharType="begin">
          <w:fldData xml:space="preserve">PEVuZE5vdGU+PENpdGU+PEF1dGhvcj5Tb3JpYW5vPC9BdXRob3I+PFllYXI+MjAxNDwvWWVhcj48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PEVuZE5vdGU+PENpdGU+PEF1dGhvcj5Tb3JpYW5vPC9BdXRob3I+PFllYXI+MjAxNDwvWWVhcj48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E6601">
        <w:rPr>
          <w:rFonts w:ascii="Arial" w:hAnsi="Arial" w:cs="Arial"/>
        </w:rPr>
      </w:r>
      <w:r w:rsidR="000E6601">
        <w:rPr>
          <w:rFonts w:ascii="Arial" w:hAnsi="Arial" w:cs="Arial"/>
        </w:rPr>
        <w:fldChar w:fldCharType="separate"/>
      </w:r>
      <w:r w:rsidR="005A347B">
        <w:rPr>
          <w:rFonts w:ascii="Arial" w:hAnsi="Arial" w:cs="Arial"/>
          <w:noProof/>
        </w:rPr>
        <w:t>(</w:t>
      </w:r>
      <w:hyperlink w:anchor="_ENREF_162" w:tooltip="Emkey, 2014 #272" w:history="1">
        <w:r w:rsidR="003B725E">
          <w:rPr>
            <w:rFonts w:ascii="Arial" w:hAnsi="Arial" w:cs="Arial"/>
            <w:noProof/>
          </w:rPr>
          <w:t>162</w:t>
        </w:r>
      </w:hyperlink>
      <w:r w:rsidR="005A347B">
        <w:rPr>
          <w:rFonts w:ascii="Arial" w:hAnsi="Arial" w:cs="Arial"/>
          <w:noProof/>
        </w:rPr>
        <w:t xml:space="preserve">, </w:t>
      </w:r>
      <w:hyperlink w:anchor="_ENREF_163" w:tooltip="Soriano, 2014 #273" w:history="1">
        <w:r w:rsidR="003B725E">
          <w:rPr>
            <w:rFonts w:ascii="Arial" w:hAnsi="Arial" w:cs="Arial"/>
            <w:noProof/>
          </w:rPr>
          <w:t>163</w:t>
        </w:r>
      </w:hyperlink>
      <w:r w:rsidR="005A347B">
        <w:rPr>
          <w:rFonts w:ascii="Arial" w:hAnsi="Arial" w:cs="Arial"/>
          <w:noProof/>
        </w:rPr>
        <w:t>)</w:t>
      </w:r>
      <w:r w:rsidR="000E6601">
        <w:rPr>
          <w:rFonts w:ascii="Arial" w:hAnsi="Arial" w:cs="Arial"/>
        </w:rPr>
        <w:fldChar w:fldCharType="end"/>
      </w:r>
      <w:r w:rsidR="000B0461" w:rsidRPr="007B5BC0">
        <w:rPr>
          <w:rFonts w:ascii="Arial" w:hAnsi="Arial" w:cs="Arial"/>
        </w:rPr>
        <w:t xml:space="preserve">. </w:t>
      </w:r>
      <w:r w:rsidR="00166A9A" w:rsidRPr="007B5BC0">
        <w:rPr>
          <w:rFonts w:ascii="Arial" w:hAnsi="Arial" w:cs="Arial"/>
        </w:rPr>
        <w:t xml:space="preserve">With the increasing burden on the public health services caused by postmenopausal osteoporosis it is useful for clinicians to </w:t>
      </w:r>
      <w:r w:rsidR="00EE4E28" w:rsidRPr="007B5BC0">
        <w:rPr>
          <w:rFonts w:ascii="Arial" w:hAnsi="Arial" w:cs="Arial"/>
        </w:rPr>
        <w:t>identify and understand how such factors contribute.</w:t>
      </w:r>
      <w:r w:rsidR="000B0461" w:rsidRPr="007B5BC0">
        <w:rPr>
          <w:rFonts w:ascii="Arial" w:hAnsi="Arial" w:cs="Arial"/>
        </w:rPr>
        <w:t xml:space="preserve"> </w:t>
      </w:r>
      <w:r w:rsidR="00AD38D5">
        <w:rPr>
          <w:rFonts w:ascii="Arial" w:hAnsi="Arial" w:cs="Arial"/>
        </w:rPr>
        <w:t>One possible way that may help to identify</w:t>
      </w:r>
      <w:r w:rsidR="00D810D1">
        <w:rPr>
          <w:rFonts w:ascii="Arial" w:hAnsi="Arial" w:cs="Arial"/>
        </w:rPr>
        <w:t xml:space="preserve"> secondary osteoporosis is to compare levels of bone turnover to that of a heathy postmenopausal population. </w:t>
      </w:r>
      <w:r w:rsidR="000B0461" w:rsidRPr="007B5BC0">
        <w:rPr>
          <w:rFonts w:ascii="Arial" w:hAnsi="Arial" w:cs="Arial"/>
        </w:rPr>
        <w:t xml:space="preserve">Once identified treatments </w:t>
      </w:r>
      <w:r w:rsidR="000E6601">
        <w:rPr>
          <w:rFonts w:ascii="Arial" w:hAnsi="Arial" w:cs="Arial"/>
        </w:rPr>
        <w:t>may be</w:t>
      </w:r>
      <w:r w:rsidR="000B0461" w:rsidRPr="007B5BC0">
        <w:rPr>
          <w:rFonts w:ascii="Arial" w:hAnsi="Arial" w:cs="Arial"/>
        </w:rPr>
        <w:t xml:space="preserve"> administered to reduce fracture risk</w:t>
      </w:r>
      <w:r w:rsidR="000B0461">
        <w:t>.</w:t>
      </w:r>
    </w:p>
    <w:p w:rsidR="008F724B" w:rsidRPr="008F724B" w:rsidRDefault="008F724B" w:rsidP="003E6719">
      <w:pPr>
        <w:pStyle w:val="Heading3"/>
        <w:jc w:val="both"/>
      </w:pPr>
      <w:bookmarkStart w:id="37" w:name="_Toc425418894"/>
      <w:r w:rsidRPr="008F724B">
        <w:t>Bone Turnover Markers</w:t>
      </w:r>
      <w:bookmarkEnd w:id="37"/>
    </w:p>
    <w:p w:rsidR="001A56FC" w:rsidRDefault="008F724B" w:rsidP="003B725E">
      <w:pPr>
        <w:spacing w:line="360" w:lineRule="auto"/>
        <w:jc w:val="both"/>
        <w:rPr>
          <w:rFonts w:ascii="Arial" w:hAnsi="Arial" w:cs="Arial"/>
        </w:rPr>
      </w:pPr>
      <w:r w:rsidRPr="008F724B">
        <w:rPr>
          <w:rFonts w:ascii="Arial" w:hAnsi="Arial" w:cs="Arial"/>
        </w:rPr>
        <w:t xml:space="preserve">Assessment of the bone mineral by measuring bone mineral density using dual X-ray absorptiometry </w:t>
      </w:r>
      <w:r w:rsidR="002C658E">
        <w:rPr>
          <w:rFonts w:ascii="Arial" w:hAnsi="Arial" w:cs="Arial"/>
        </w:rPr>
        <w:t xml:space="preserve">(DXA) </w:t>
      </w:r>
      <w:r w:rsidRPr="008F724B">
        <w:rPr>
          <w:rFonts w:ascii="Arial" w:hAnsi="Arial" w:cs="Arial"/>
        </w:rPr>
        <w:t>is the gold standard for the diagnosis of postmenopausal osteoporosis (100, 101). However</w:t>
      </w:r>
      <w:r w:rsidR="00ED1465">
        <w:rPr>
          <w:rFonts w:ascii="Arial" w:hAnsi="Arial" w:cs="Arial"/>
        </w:rPr>
        <w:t>,</w:t>
      </w:r>
      <w:r w:rsidRPr="008F724B">
        <w:rPr>
          <w:rFonts w:ascii="Arial" w:hAnsi="Arial" w:cs="Arial"/>
        </w:rPr>
        <w:t xml:space="preserve"> there </w:t>
      </w:r>
      <w:r w:rsidR="00AD38D5">
        <w:rPr>
          <w:rFonts w:ascii="Arial" w:hAnsi="Arial" w:cs="Arial"/>
        </w:rPr>
        <w:t xml:space="preserve">are </w:t>
      </w:r>
      <w:r w:rsidR="00ED1465">
        <w:rPr>
          <w:rFonts w:ascii="Arial" w:hAnsi="Arial" w:cs="Arial"/>
        </w:rPr>
        <w:t>other factors that contribute</w:t>
      </w:r>
      <w:r w:rsidRPr="008F724B">
        <w:rPr>
          <w:rFonts w:ascii="Arial" w:hAnsi="Arial" w:cs="Arial"/>
        </w:rPr>
        <w:t xml:space="preserve"> to bone fragility and fracture</w:t>
      </w:r>
      <w:r w:rsidR="00ED1465">
        <w:rPr>
          <w:rFonts w:ascii="Arial" w:hAnsi="Arial" w:cs="Arial"/>
        </w:rPr>
        <w:t>, these</w:t>
      </w:r>
      <w:r w:rsidRPr="008F724B">
        <w:rPr>
          <w:rFonts w:ascii="Arial" w:hAnsi="Arial" w:cs="Arial"/>
        </w:rPr>
        <w:t xml:space="preserve"> can be measured to assess the alterations in the morphology and architecture of bone. These alterations are related to the abnormalities of bone turnover </w:t>
      </w:r>
      <w:r w:rsidR="00355CC3">
        <w:rPr>
          <w:rFonts w:ascii="Arial" w:hAnsi="Arial" w:cs="Arial"/>
        </w:rPr>
        <w:t>in postmenopausal osteoporosis.</w:t>
      </w:r>
      <w:r w:rsidRPr="008F724B">
        <w:rPr>
          <w:rFonts w:ascii="Arial" w:hAnsi="Arial" w:cs="Arial"/>
        </w:rPr>
        <w:t xml:space="preserve"> </w:t>
      </w:r>
      <w:r w:rsidR="00A533B9">
        <w:rPr>
          <w:rFonts w:ascii="Arial" w:hAnsi="Arial" w:cs="Arial"/>
        </w:rPr>
        <w:t>B</w:t>
      </w:r>
      <w:r w:rsidRPr="008F724B">
        <w:rPr>
          <w:rFonts w:ascii="Arial" w:hAnsi="Arial" w:cs="Arial"/>
        </w:rPr>
        <w:t xml:space="preserve">one turnover </w:t>
      </w:r>
      <w:r w:rsidR="00A533B9">
        <w:rPr>
          <w:rFonts w:ascii="Arial" w:hAnsi="Arial" w:cs="Arial"/>
        </w:rPr>
        <w:t xml:space="preserve">markers </w:t>
      </w:r>
      <w:r w:rsidRPr="008F724B">
        <w:rPr>
          <w:rFonts w:ascii="Arial" w:hAnsi="Arial" w:cs="Arial"/>
        </w:rPr>
        <w:t>(BTMs) are products derived during the degradation and forma</w:t>
      </w:r>
      <w:r w:rsidR="002C658E">
        <w:rPr>
          <w:rFonts w:ascii="Arial" w:hAnsi="Arial" w:cs="Arial"/>
        </w:rPr>
        <w:t>tion of the bone matrix,</w:t>
      </w:r>
      <w:r w:rsidR="00683A46">
        <w:rPr>
          <w:rFonts w:ascii="Arial" w:hAnsi="Arial" w:cs="Arial"/>
        </w:rPr>
        <w:t xml:space="preserve"> </w:t>
      </w:r>
      <w:r w:rsidR="00683A46">
        <w:rPr>
          <w:rFonts w:ascii="Arial" w:hAnsi="Arial" w:cs="Arial"/>
        </w:rPr>
        <w:fldChar w:fldCharType="begin"/>
      </w:r>
      <w:r w:rsidR="005A347B">
        <w:rPr>
          <w:rFonts w:ascii="Arial" w:hAnsi="Arial" w:cs="Arial"/>
        </w:rPr>
        <w:instrText xml:space="preserve"> ADDIN EN.CITE &lt;EndNote&gt;&lt;Cite&gt;&lt;Author&gt;Guañabens&lt;/Author&gt;&lt;Year&gt;2015&lt;/Year&gt;&lt;RecNum&gt;516&lt;/RecNum&gt;&lt;DisplayText&gt;(164)&lt;/DisplayText&gt;&lt;record&gt;&lt;rec-number&gt;516&lt;/rec-number&gt;&lt;foreign-keys&gt;&lt;key app="EN" db-id="p9a5ttsvyvde9me5aw2x05fp5p55axf0wr90" timestamp="1437050334"&gt;516&lt;/key&gt;&lt;/foreign-keys&gt;&lt;ref-type name="Journal Article"&gt;17&lt;/ref-type&gt;&lt;contributors&gt;&lt;authors&gt;&lt;author&gt;Guañabens, Núria&lt;/author&gt;&lt;author&gt;Peris, Pilar&lt;/author&gt;&lt;author&gt;Monegal, Ana&lt;/author&gt;&lt;/authors&gt;&lt;/contributors&gt;&lt;titles&gt;&lt;title&gt;Bone Turnover Markers: A Clinical Review&lt;/title&gt;&lt;secondary-title&gt;Clinical Reviews in Bone and Mineral Metabolism&lt;/secondary-title&gt;&lt;alt-title&gt;Clinic Rev Bone Miner Metab&lt;/alt-title&gt;&lt;/titles&gt;&lt;periodical&gt;&lt;full-title&gt;Clinical Reviews in Bone and Mineral Metabolism&lt;/full-title&gt;&lt;abbr-1&gt;Clinic Rev Bone Miner Metab&lt;/abbr-1&gt;&lt;/periodical&gt;&lt;alt-periodical&gt;&lt;full-title&gt;Clinical Reviews in Bone and Mineral Metabolism&lt;/full-title&gt;&lt;abbr-1&gt;Clinic Rev Bone Miner Metab&lt;/abbr-1&gt;&lt;/alt-periodical&gt;&lt;pages&gt;83-97&lt;/pages&gt;&lt;volume&gt;13&lt;/volume&gt;&lt;number&gt;2&lt;/number&gt;&lt;keywords&gt;&lt;keyword&gt;Bone turnover markers&lt;/keyword&gt;&lt;keyword&gt;Osteoporosis&lt;/keyword&gt;&lt;keyword&gt;Paget’s disease&lt;/keyword&gt;&lt;/keywords&gt;&lt;dates&gt;&lt;year&gt;2015&lt;/year&gt;&lt;pub-dates&gt;&lt;date&gt;2015/06/01&lt;/date&gt;&lt;/pub-dates&gt;&lt;/dates&gt;&lt;publisher&gt;Springer US&lt;/publisher&gt;&lt;isbn&gt;1534-8644&lt;/isbn&gt;&lt;urls&gt;&lt;related-urls&gt;&lt;url&gt;http://dx.doi.org/10.1007/s12018-015-9185-x&lt;/url&gt;&lt;/related-urls&gt;&lt;/urls&gt;&lt;electronic-resource-num&gt;10.1007/s12018-015-9185-x&lt;/electronic-resource-num&gt;&lt;language&gt;English&lt;/language&gt;&lt;/record&gt;&lt;/Cite&gt;&lt;/EndNote&gt;</w:instrText>
      </w:r>
      <w:r w:rsidR="00683A46">
        <w:rPr>
          <w:rFonts w:ascii="Arial" w:hAnsi="Arial" w:cs="Arial"/>
        </w:rPr>
        <w:fldChar w:fldCharType="separate"/>
      </w:r>
      <w:r w:rsidR="005A347B">
        <w:rPr>
          <w:rFonts w:ascii="Arial" w:hAnsi="Arial" w:cs="Arial"/>
          <w:noProof/>
        </w:rPr>
        <w:t>(</w:t>
      </w:r>
      <w:hyperlink w:anchor="_ENREF_164" w:tooltip="Guañabens, 2015 #516" w:history="1">
        <w:r w:rsidR="003B725E">
          <w:rPr>
            <w:rFonts w:ascii="Arial" w:hAnsi="Arial" w:cs="Arial"/>
            <w:noProof/>
          </w:rPr>
          <w:t>164</w:t>
        </w:r>
      </w:hyperlink>
      <w:r w:rsidR="005A347B">
        <w:rPr>
          <w:rFonts w:ascii="Arial" w:hAnsi="Arial" w:cs="Arial"/>
          <w:noProof/>
        </w:rPr>
        <w:t>)</w:t>
      </w:r>
      <w:r w:rsidR="00683A46">
        <w:rPr>
          <w:rFonts w:ascii="Arial" w:hAnsi="Arial" w:cs="Arial"/>
        </w:rPr>
        <w:fldChar w:fldCharType="end"/>
      </w:r>
      <w:r w:rsidRPr="008F724B">
        <w:rPr>
          <w:rFonts w:ascii="Arial" w:hAnsi="Arial" w:cs="Arial"/>
        </w:rPr>
        <w:t>. BTMs are secreted in to the circulation during bone resorption and formation. They reflect the activity of the bone cells and hence, provide us with an overall quantitative assessment of skeletal turnover</w:t>
      </w:r>
      <w:r w:rsidR="004009E5">
        <w:rPr>
          <w:rFonts w:ascii="Arial" w:hAnsi="Arial" w:cs="Arial"/>
        </w:rPr>
        <w:t xml:space="preserve">, </w:t>
      </w:r>
      <w:r w:rsidR="004009E5">
        <w:rPr>
          <w:rFonts w:ascii="Arial" w:hAnsi="Arial" w:cs="Arial"/>
        </w:rPr>
        <w:fldChar w:fldCharType="begin"/>
      </w:r>
      <w:r w:rsidR="005A347B">
        <w:rPr>
          <w:rFonts w:ascii="Arial" w:hAnsi="Arial" w:cs="Arial"/>
        </w:rPr>
        <w:instrText xml:space="preserve"> ADDIN EN.CITE &lt;EndNote&gt;&lt;Cite&gt;&lt;Author&gt;Garnero&lt;/Author&gt;&lt;Year&gt;2014&lt;/Year&gt;&lt;RecNum&gt;388&lt;/RecNum&gt;&lt;DisplayText&gt;(165)&lt;/DisplayText&gt;&lt;record&gt;&lt;rec-number&gt;388&lt;/rec-number&gt;&lt;foreign-keys&gt;&lt;key app="EN" db-id="p9a5ttsvyvde9me5aw2x05fp5p55axf0wr90" timestamp="1435765111"&gt;388&lt;/key&gt;&lt;/foreign-keys&gt;&lt;ref-type name="Journal Article"&gt;17&lt;/ref-type&gt;&lt;contributors&gt;&lt;authors&gt;&lt;author&gt;Garnero, P.&lt;/author&gt;&lt;/authors&gt;&lt;/contributors&gt;&lt;auth-address&gt;INSERM Research Unit 1033, University of Lyon, France and Cisbio Bioassays, Codolet, France. Electronic address: patrickgarnero@free.fr.&lt;/auth-address&gt;&lt;titles&gt;&lt;title&gt;New developments in biological markers of bone metabolism in osteoporosis&lt;/title&gt;&lt;secondary-title&gt;Bone&lt;/secondary-title&gt;&lt;/titles&gt;&lt;periodical&gt;&lt;full-title&gt;Bone&lt;/full-title&gt;&lt;abbr-1&gt;Bone&lt;/abbr-1&gt;&lt;/periodical&gt;&lt;pages&gt;46-55&lt;/pages&gt;&lt;volume&gt;66&lt;/volume&gt;&lt;edition&gt;2014/06/10&lt;/edition&gt;&lt;keywords&gt;&lt;keyword&gt;Biological Markers/blood/ metabolism&lt;/keyword&gt;&lt;keyword&gt;Bone and Bones/ metabolism&lt;/keyword&gt;&lt;keyword&gt;Humans&lt;/keyword&gt;&lt;keyword&gt;Models, Biological&lt;/keyword&gt;&lt;keyword&gt;Osteoporosis/blood/ metabolism&lt;/keyword&gt;&lt;keyword&gt;Bone markers&lt;/keyword&gt;&lt;keyword&gt;Fgf-23&lt;/keyword&gt;&lt;keyword&gt;Osteoporosis&lt;/keyword&gt;&lt;keyword&gt;Periostin&lt;/keyword&gt;&lt;keyword&gt;Sclerostin&lt;/keyword&gt;&lt;keyword&gt;microRNA&lt;/keyword&gt;&lt;/keywords&gt;&lt;dates&gt;&lt;year&gt;2014&lt;/year&gt;&lt;pub-dates&gt;&lt;date&gt;Sep&lt;/date&gt;&lt;/pub-dates&gt;&lt;/dates&gt;&lt;isbn&gt;1873-2763 (Electronic)&amp;#xD;1873-2763 (Linking)&lt;/isbn&gt;&lt;accession-num&gt;24909537&lt;/accession-num&gt;&lt;urls&gt;&lt;/urls&gt;&lt;electronic-resource-num&gt;10.1016/j.bone.2014.05.016&lt;/electronic-resource-num&gt;&lt;remote-database-provider&gt;NLM&lt;/remote-database-provider&gt;&lt;language&gt;eng&lt;/language&gt;&lt;/record&gt;&lt;/Cite&gt;&lt;/EndNote&gt;</w:instrText>
      </w:r>
      <w:r w:rsidR="004009E5">
        <w:rPr>
          <w:rFonts w:ascii="Arial" w:hAnsi="Arial" w:cs="Arial"/>
        </w:rPr>
        <w:fldChar w:fldCharType="separate"/>
      </w:r>
      <w:r w:rsidR="005A347B">
        <w:rPr>
          <w:rFonts w:ascii="Arial" w:hAnsi="Arial" w:cs="Arial"/>
          <w:noProof/>
        </w:rPr>
        <w:t>(</w:t>
      </w:r>
      <w:hyperlink w:anchor="_ENREF_165" w:tooltip="Garnero, 2014 #388" w:history="1">
        <w:r w:rsidR="003B725E">
          <w:rPr>
            <w:rFonts w:ascii="Arial" w:hAnsi="Arial" w:cs="Arial"/>
            <w:noProof/>
          </w:rPr>
          <w:t>165</w:t>
        </w:r>
      </w:hyperlink>
      <w:r w:rsidR="005A347B">
        <w:rPr>
          <w:rFonts w:ascii="Arial" w:hAnsi="Arial" w:cs="Arial"/>
          <w:noProof/>
        </w:rPr>
        <w:t>)</w:t>
      </w:r>
      <w:r w:rsidR="004009E5">
        <w:rPr>
          <w:rFonts w:ascii="Arial" w:hAnsi="Arial" w:cs="Arial"/>
        </w:rPr>
        <w:fldChar w:fldCharType="end"/>
      </w:r>
      <w:r w:rsidRPr="008F724B">
        <w:rPr>
          <w:rFonts w:ascii="Arial" w:hAnsi="Arial" w:cs="Arial"/>
        </w:rPr>
        <w:t xml:space="preserve">. They </w:t>
      </w:r>
      <w:r w:rsidR="00ED1465">
        <w:rPr>
          <w:rFonts w:ascii="Arial" w:hAnsi="Arial" w:cs="Arial"/>
        </w:rPr>
        <w:t>may help in the</w:t>
      </w:r>
      <w:r w:rsidRPr="008F724B">
        <w:rPr>
          <w:rFonts w:ascii="Arial" w:hAnsi="Arial" w:cs="Arial"/>
        </w:rPr>
        <w:t xml:space="preserve"> investigation and management of the pathophysiological processes of metabolic bone disease such as postmenopausal osteoporosis (102), where high levels of BTMs are associated with increased osteoblast and osteoclast activity and increased bone loss and fracture risk (103). In addition, their rapid pharmacodynamics responses to treatments also make them a valuable tool in monitoring such diseases in a clinical setting. </w:t>
      </w:r>
    </w:p>
    <w:p w:rsidR="00CB6E5D" w:rsidRDefault="00CB6E5D" w:rsidP="003E6719">
      <w:pPr>
        <w:pStyle w:val="Heading4"/>
        <w:jc w:val="both"/>
      </w:pPr>
      <w:r>
        <w:t>Type I collagen</w:t>
      </w:r>
    </w:p>
    <w:p w:rsidR="00B960D5" w:rsidRDefault="00B72D6F" w:rsidP="003B725E">
      <w:pPr>
        <w:spacing w:line="360" w:lineRule="auto"/>
        <w:jc w:val="both"/>
        <w:rPr>
          <w:rFonts w:ascii="Arial" w:hAnsi="Arial" w:cs="Arial"/>
        </w:rPr>
      </w:pPr>
      <w:r>
        <w:rPr>
          <w:rFonts w:ascii="Arial" w:hAnsi="Arial" w:cs="Arial"/>
        </w:rPr>
        <w:t>Type I c</w:t>
      </w:r>
      <w:r w:rsidR="003E7DD7" w:rsidRPr="00DB37C0">
        <w:rPr>
          <w:rFonts w:ascii="Arial" w:hAnsi="Arial" w:cs="Arial"/>
        </w:rPr>
        <w:t xml:space="preserve">ollagen is </w:t>
      </w:r>
      <w:r w:rsidR="00FB414A">
        <w:rPr>
          <w:rFonts w:ascii="Arial" w:hAnsi="Arial" w:cs="Arial"/>
        </w:rPr>
        <w:t>makes up</w:t>
      </w:r>
      <w:r w:rsidR="00736745">
        <w:rPr>
          <w:rFonts w:ascii="Arial" w:hAnsi="Arial" w:cs="Arial"/>
        </w:rPr>
        <w:t xml:space="preserve"> 95</w:t>
      </w:r>
      <w:r w:rsidR="00D54145">
        <w:rPr>
          <w:rFonts w:ascii="Arial" w:hAnsi="Arial" w:cs="Arial"/>
        </w:rPr>
        <w:t xml:space="preserve">% </w:t>
      </w:r>
      <w:r w:rsidR="001F6BE2">
        <w:rPr>
          <w:rFonts w:ascii="Arial" w:hAnsi="Arial" w:cs="Arial"/>
        </w:rPr>
        <w:t>of the</w:t>
      </w:r>
      <w:r w:rsidR="00736745">
        <w:rPr>
          <w:rFonts w:ascii="Arial" w:hAnsi="Arial" w:cs="Arial"/>
        </w:rPr>
        <w:t xml:space="preserve"> total collagen content and 85% of the total proteins in the bone matrix, </w:t>
      </w:r>
      <w:r w:rsidR="00736745">
        <w:rPr>
          <w:rFonts w:ascii="Arial" w:hAnsi="Arial" w:cs="Arial"/>
        </w:rPr>
        <w:fldChar w:fldCharType="begin"/>
      </w:r>
      <w:r w:rsidR="005A347B">
        <w:rPr>
          <w:rFonts w:ascii="Arial" w:hAnsi="Arial" w:cs="Arial"/>
        </w:rPr>
        <w:instrText xml:space="preserve"> ADDIN EN.CITE &lt;EndNote&gt;&lt;Cite&gt;&lt;Author&gt;Garnero&lt;/Author&gt;&lt;Year&gt;2015&lt;/Year&gt;&lt;RecNum&gt;263&lt;/RecNum&gt;&lt;DisplayText&gt;(166)&lt;/DisplayText&gt;&lt;record&gt;&lt;rec-number&gt;263&lt;/rec-number&gt;&lt;foreign-keys&gt;&lt;key app="EN" db-id="p9a5ttsvyvde9me5aw2x05fp5p55axf0wr90" timestamp="1429785057"&gt;263&lt;/key&gt;&lt;/foreign-keys&gt;&lt;ref-type name="Journal Article"&gt;17&lt;/ref-type&gt;&lt;contributors&gt;&lt;authors&gt;&lt;author&gt;Garnero, P.&lt;/author&gt;&lt;/authors&gt;&lt;/contributors&gt;&lt;auth-address&gt;INSERM UMR 1033, Lyon, France, patrickgarnero@free.fr.&lt;/auth-address&gt;&lt;titles&gt;&lt;title&gt;The Role of Collagen Organization on the Properties of Bone&lt;/title&gt;&lt;secondary-title&gt;Calcif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international&lt;/abbr-1&gt;&lt;/alt-periodical&gt;&lt;edition&gt;2015/04/22&lt;/edition&gt;&lt;dates&gt;&lt;year&gt;2015&lt;/year&gt;&lt;pub-dates&gt;&lt;date&gt;Apr 17&lt;/date&gt;&lt;/pub-dates&gt;&lt;/dates&gt;&lt;isbn&gt;0171-967x&lt;/isbn&gt;&lt;accession-num&gt;25894071&lt;/accession-num&gt;&lt;urls&gt;&lt;/urls&gt;&lt;electronic-resource-num&gt;10.1007/s00223-015-9996-2&lt;/electronic-resource-num&gt;&lt;remote-database-provider&gt;NLM&lt;/remote-database-provider&gt;&lt;language&gt;Eng&lt;/language&gt;&lt;/record&gt;&lt;/Cite&gt;&lt;/EndNote&gt;</w:instrText>
      </w:r>
      <w:r w:rsidR="00736745">
        <w:rPr>
          <w:rFonts w:ascii="Arial" w:hAnsi="Arial" w:cs="Arial"/>
        </w:rPr>
        <w:fldChar w:fldCharType="separate"/>
      </w:r>
      <w:r w:rsidR="005A347B">
        <w:rPr>
          <w:rFonts w:ascii="Arial" w:hAnsi="Arial" w:cs="Arial"/>
          <w:noProof/>
        </w:rPr>
        <w:t>(</w:t>
      </w:r>
      <w:hyperlink w:anchor="_ENREF_166" w:tooltip="Garnero, 2015 #263" w:history="1">
        <w:r w:rsidR="003B725E">
          <w:rPr>
            <w:rFonts w:ascii="Arial" w:hAnsi="Arial" w:cs="Arial"/>
            <w:noProof/>
          </w:rPr>
          <w:t>166</w:t>
        </w:r>
      </w:hyperlink>
      <w:r w:rsidR="005A347B">
        <w:rPr>
          <w:rFonts w:ascii="Arial" w:hAnsi="Arial" w:cs="Arial"/>
          <w:noProof/>
        </w:rPr>
        <w:t>)</w:t>
      </w:r>
      <w:r w:rsidR="00736745">
        <w:rPr>
          <w:rFonts w:ascii="Arial" w:hAnsi="Arial" w:cs="Arial"/>
        </w:rPr>
        <w:fldChar w:fldCharType="end"/>
      </w:r>
      <w:r w:rsidR="00736745">
        <w:rPr>
          <w:rFonts w:ascii="Arial" w:hAnsi="Arial" w:cs="Arial"/>
        </w:rPr>
        <w:t xml:space="preserve">. </w:t>
      </w:r>
      <w:r w:rsidR="00E40D27">
        <w:rPr>
          <w:rFonts w:ascii="Arial" w:hAnsi="Arial" w:cs="Arial"/>
        </w:rPr>
        <w:t xml:space="preserve">It </w:t>
      </w:r>
      <w:r w:rsidR="009F16B2">
        <w:rPr>
          <w:rFonts w:ascii="Arial" w:hAnsi="Arial" w:cs="Arial"/>
        </w:rPr>
        <w:t xml:space="preserve">belongs to the fibrillar class of collagens and it is the most abundant and widespread in </w:t>
      </w:r>
      <w:r w:rsidR="00373F5A">
        <w:rPr>
          <w:rFonts w:ascii="Arial" w:hAnsi="Arial" w:cs="Arial"/>
        </w:rPr>
        <w:t>tissues such as the skin, tendons, ligament sclera, cornea and blood vessel</w:t>
      </w:r>
      <w:r w:rsidR="009F16B2">
        <w:rPr>
          <w:rFonts w:ascii="Arial" w:hAnsi="Arial" w:cs="Arial"/>
        </w:rPr>
        <w:t xml:space="preserve">. It </w:t>
      </w:r>
      <w:r w:rsidR="004F591D">
        <w:rPr>
          <w:rFonts w:ascii="Arial" w:hAnsi="Arial" w:cs="Arial"/>
        </w:rPr>
        <w:t>contain</w:t>
      </w:r>
      <w:r w:rsidR="009F16B2">
        <w:rPr>
          <w:rFonts w:ascii="Arial" w:hAnsi="Arial" w:cs="Arial"/>
        </w:rPr>
        <w:t>s</w:t>
      </w:r>
      <w:r w:rsidR="004F591D">
        <w:rPr>
          <w:rFonts w:ascii="Arial" w:hAnsi="Arial" w:cs="Arial"/>
        </w:rPr>
        <w:t xml:space="preserve"> peptide repeats of Gly-Xaa-Yaa</w:t>
      </w:r>
      <w:r w:rsidR="00B960D5">
        <w:rPr>
          <w:rFonts w:ascii="Arial" w:hAnsi="Arial" w:cs="Arial"/>
        </w:rPr>
        <w:t>-n</w:t>
      </w:r>
      <w:r w:rsidR="004F591D">
        <w:rPr>
          <w:rFonts w:ascii="Arial" w:hAnsi="Arial" w:cs="Arial"/>
        </w:rPr>
        <w:t xml:space="preserve"> </w:t>
      </w:r>
      <w:r w:rsidR="00EB2815">
        <w:rPr>
          <w:rFonts w:ascii="Arial" w:hAnsi="Arial" w:cs="Arial"/>
        </w:rPr>
        <w:t xml:space="preserve">where X and Y are usually a proline and a hydroxyproline, respectively </w:t>
      </w:r>
      <w:r w:rsidR="00EB2815">
        <w:rPr>
          <w:rFonts w:ascii="Arial" w:hAnsi="Arial" w:cs="Arial"/>
        </w:rPr>
        <w:fldChar w:fldCharType="begin"/>
      </w:r>
      <w:r w:rsidR="005A347B">
        <w:rPr>
          <w:rFonts w:ascii="Arial" w:hAnsi="Arial" w:cs="Arial"/>
        </w:rPr>
        <w:instrText xml:space="preserve"> ADDIN EN.CITE &lt;EndNote&gt;&lt;Cite&gt;&lt;Author&gt;van der Rest&lt;/Author&gt;&lt;Year&gt;1991&lt;/Year&gt;&lt;RecNum&gt;108&lt;/RecNum&gt;&lt;DisplayText&gt;(167)&lt;/DisplayText&gt;&lt;record&gt;&lt;rec-number&gt;108&lt;/rec-number&gt;&lt;foreign-keys&gt;&lt;key app="EN" db-id="p9a5ttsvyvde9me5aw2x05fp5p55axf0wr90" timestamp="1417715005"&gt;108&lt;/key&gt;&lt;/foreign-keys&gt;&lt;ref-type name="Journal Article"&gt;17&lt;/ref-type&gt;&lt;contributors&gt;&lt;authors&gt;&lt;author&gt;van der Rest, M.&lt;/author&gt;&lt;author&gt;Garrone, R.&lt;/author&gt;&lt;/authors&gt;&lt;/contributors&gt;&lt;auth-address&gt;Institute of Biology and Chemistry of Proteins (CNRS-UPR 412), Villeurbanne, France.&lt;/auth-address&gt;&lt;titles&gt;&lt;title&gt;Collagen family of proteins&lt;/title&gt;&lt;secondary-title&gt;FASEB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Biology&lt;/abbr-1&gt;&lt;/alt-periodical&gt;&lt;pages&gt;2814-23&lt;/pages&gt;&lt;volume&gt;5&lt;/volume&gt;&lt;number&gt;13&lt;/number&gt;&lt;edition&gt;1991/10/01&lt;/edition&gt;&lt;keywords&gt;&lt;keyword&gt;Amino Acid Sequence&lt;/keyword&gt;&lt;keyword&gt;Animals&lt;/keyword&gt;&lt;keyword&gt;Collagen/ chemistry/genetics&lt;/keyword&gt;&lt;keyword&gt;Molecular Sequence Data&lt;/keyword&gt;&lt;keyword&gt;Sequence Homology, Nucleic Acid&lt;/keyword&gt;&lt;/keywords&gt;&lt;dates&gt;&lt;year&gt;1991&lt;/year&gt;&lt;pub-dates&gt;&lt;date&gt;Oct&lt;/date&gt;&lt;/pub-dates&gt;&lt;/dates&gt;&lt;isbn&gt;0892-6638 (Print)&amp;#xD;0892-6638 (Linking)&lt;/isbn&gt;&lt;accession-num&gt;1916105&lt;/accession-num&gt;&lt;urls&gt;&lt;/urls&gt;&lt;remote-database-provider&gt;NLM&lt;/remote-database-provider&gt;&lt;language&gt;eng&lt;/language&gt;&lt;/record&gt;&lt;/Cite&gt;&lt;/EndNote&gt;</w:instrText>
      </w:r>
      <w:r w:rsidR="00EB2815">
        <w:rPr>
          <w:rFonts w:ascii="Arial" w:hAnsi="Arial" w:cs="Arial"/>
        </w:rPr>
        <w:fldChar w:fldCharType="separate"/>
      </w:r>
      <w:r w:rsidR="005A347B">
        <w:rPr>
          <w:rFonts w:ascii="Arial" w:hAnsi="Arial" w:cs="Arial"/>
          <w:noProof/>
        </w:rPr>
        <w:t>(</w:t>
      </w:r>
      <w:hyperlink w:anchor="_ENREF_167" w:tooltip="van der Rest, 1991 #108" w:history="1">
        <w:r w:rsidR="003B725E">
          <w:rPr>
            <w:rFonts w:ascii="Arial" w:hAnsi="Arial" w:cs="Arial"/>
            <w:noProof/>
          </w:rPr>
          <w:t>167</w:t>
        </w:r>
      </w:hyperlink>
      <w:r w:rsidR="005A347B">
        <w:rPr>
          <w:rFonts w:ascii="Arial" w:hAnsi="Arial" w:cs="Arial"/>
          <w:noProof/>
        </w:rPr>
        <w:t>)</w:t>
      </w:r>
      <w:r w:rsidR="00EB2815">
        <w:rPr>
          <w:rFonts w:ascii="Arial" w:hAnsi="Arial" w:cs="Arial"/>
        </w:rPr>
        <w:fldChar w:fldCharType="end"/>
      </w:r>
      <w:r w:rsidR="00EB2815">
        <w:rPr>
          <w:rFonts w:ascii="Arial" w:hAnsi="Arial" w:cs="Arial"/>
        </w:rPr>
        <w:t xml:space="preserve">. </w:t>
      </w:r>
      <w:r w:rsidR="009B0FDC">
        <w:rPr>
          <w:rFonts w:ascii="Arial" w:hAnsi="Arial" w:cs="Arial"/>
        </w:rPr>
        <w:t>Glycine</w:t>
      </w:r>
      <w:r w:rsidR="00EB2815">
        <w:rPr>
          <w:rFonts w:ascii="Arial" w:hAnsi="Arial" w:cs="Arial"/>
        </w:rPr>
        <w:t xml:space="preserve"> is the smallest amino acid and </w:t>
      </w:r>
      <w:r w:rsidR="00FB414A">
        <w:rPr>
          <w:rFonts w:ascii="Arial" w:hAnsi="Arial" w:cs="Arial"/>
        </w:rPr>
        <w:t>is</w:t>
      </w:r>
      <w:r w:rsidR="00EB2815">
        <w:rPr>
          <w:rFonts w:ascii="Arial" w:hAnsi="Arial" w:cs="Arial"/>
        </w:rPr>
        <w:t xml:space="preserve"> present at every third position in order to fit in the centre of the triple helix. At either ends of these peptides are short terminal globular </w:t>
      </w:r>
      <w:r w:rsidR="00B960D5">
        <w:rPr>
          <w:rFonts w:ascii="Arial" w:hAnsi="Arial" w:cs="Arial"/>
        </w:rPr>
        <w:t>domains</w:t>
      </w:r>
      <w:r w:rsidR="00EB2815">
        <w:rPr>
          <w:rFonts w:ascii="Arial" w:hAnsi="Arial" w:cs="Arial"/>
        </w:rPr>
        <w:t xml:space="preserve">, which do not </w:t>
      </w:r>
      <w:r w:rsidR="00EB2815">
        <w:rPr>
          <w:rFonts w:ascii="Arial" w:hAnsi="Arial" w:cs="Arial"/>
        </w:rPr>
        <w:lastRenderedPageBreak/>
        <w:t>contain Gly-Xaa-Yaa-n</w:t>
      </w:r>
      <w:r w:rsidR="00AB023D">
        <w:rPr>
          <w:rFonts w:ascii="Arial" w:hAnsi="Arial" w:cs="Arial"/>
        </w:rPr>
        <w:t>, the</w:t>
      </w:r>
      <w:r w:rsidR="009B0FDC">
        <w:rPr>
          <w:rFonts w:ascii="Arial" w:hAnsi="Arial" w:cs="Arial"/>
        </w:rPr>
        <w:t xml:space="preserve"> N- and C-propeptides</w:t>
      </w:r>
      <w:r w:rsidR="00EB2815">
        <w:rPr>
          <w:rFonts w:ascii="Arial" w:hAnsi="Arial" w:cs="Arial"/>
        </w:rPr>
        <w:t>.</w:t>
      </w:r>
      <w:r w:rsidR="003E7DD7" w:rsidRPr="00DB37C0">
        <w:rPr>
          <w:rFonts w:ascii="Arial" w:hAnsi="Arial" w:cs="Arial"/>
        </w:rPr>
        <w:t xml:space="preserve"> </w:t>
      </w:r>
      <w:r w:rsidR="00E40D27">
        <w:rPr>
          <w:rFonts w:ascii="Arial" w:hAnsi="Arial" w:cs="Arial"/>
        </w:rPr>
        <w:t xml:space="preserve">The C-propeptide keeps the procollagens soluble and the N-propeptide influences the fibril shape. </w:t>
      </w:r>
      <w:r w:rsidR="009F16B2">
        <w:rPr>
          <w:rFonts w:ascii="Arial" w:hAnsi="Arial" w:cs="Arial"/>
        </w:rPr>
        <w:t xml:space="preserve">Type I collagen </w:t>
      </w:r>
      <w:r w:rsidR="009B0FDC">
        <w:rPr>
          <w:rFonts w:ascii="Arial" w:hAnsi="Arial" w:cs="Arial"/>
        </w:rPr>
        <w:t>is synthesised and secreted in to the extracellular matrix in the form of soluble procollagens</w:t>
      </w:r>
      <w:r w:rsidR="002C658E">
        <w:rPr>
          <w:rFonts w:ascii="Arial" w:hAnsi="Arial" w:cs="Arial"/>
        </w:rPr>
        <w:t>, (Figure 14</w:t>
      </w:r>
      <w:r w:rsidR="00E854C2">
        <w:rPr>
          <w:rFonts w:ascii="Arial" w:hAnsi="Arial" w:cs="Arial"/>
        </w:rPr>
        <w:t>)</w:t>
      </w:r>
      <w:r w:rsidR="009B0FDC">
        <w:rPr>
          <w:rFonts w:ascii="Arial" w:hAnsi="Arial" w:cs="Arial"/>
        </w:rPr>
        <w:t>.</w:t>
      </w:r>
      <w:r w:rsidR="005417B4">
        <w:rPr>
          <w:rFonts w:ascii="Arial" w:hAnsi="Arial" w:cs="Arial"/>
        </w:rPr>
        <w:t xml:space="preserve"> This process involves two enzymes, galactosyltransferase and galactosylhydroxylysyl-glucosyltransferase and</w:t>
      </w:r>
      <w:r w:rsidR="009B0FDC">
        <w:rPr>
          <w:rFonts w:ascii="Arial" w:hAnsi="Arial" w:cs="Arial"/>
        </w:rPr>
        <w:t xml:space="preserve"> trimerisation</w:t>
      </w:r>
      <w:r w:rsidR="005417B4">
        <w:rPr>
          <w:rFonts w:ascii="Arial" w:hAnsi="Arial" w:cs="Arial"/>
        </w:rPr>
        <w:t xml:space="preserve"> </w:t>
      </w:r>
      <w:r w:rsidR="005417B4">
        <w:rPr>
          <w:rFonts w:ascii="Arial" w:hAnsi="Arial" w:cs="Arial"/>
        </w:rPr>
        <w:fldChar w:fldCharType="begin">
          <w:fldData xml:space="preserve">PEVuZE5vdGU+PENpdGU+PEF1dGhvcj5IYXJ3b29kPC9BdXRob3I+PFllYXI+MTk3NTwvWWVhcj48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PEVuZE5vdGU+PENpdGU+PEF1dGhvcj5IYXJ3b29kPC9BdXRob3I+PFllYXI+MTk3NTwvWWVhcj48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5417B4">
        <w:rPr>
          <w:rFonts w:ascii="Arial" w:hAnsi="Arial" w:cs="Arial"/>
        </w:rPr>
      </w:r>
      <w:r w:rsidR="005417B4">
        <w:rPr>
          <w:rFonts w:ascii="Arial" w:hAnsi="Arial" w:cs="Arial"/>
        </w:rPr>
        <w:fldChar w:fldCharType="separate"/>
      </w:r>
      <w:r w:rsidR="005A347B">
        <w:rPr>
          <w:rFonts w:ascii="Arial" w:hAnsi="Arial" w:cs="Arial"/>
          <w:noProof/>
        </w:rPr>
        <w:t>(</w:t>
      </w:r>
      <w:hyperlink w:anchor="_ENREF_168" w:tooltip="Harwood, 1975 #264" w:history="1">
        <w:r w:rsidR="003B725E">
          <w:rPr>
            <w:rFonts w:ascii="Arial" w:hAnsi="Arial" w:cs="Arial"/>
            <w:noProof/>
          </w:rPr>
          <w:t>168</w:t>
        </w:r>
      </w:hyperlink>
      <w:r w:rsidR="005A347B">
        <w:rPr>
          <w:rFonts w:ascii="Arial" w:hAnsi="Arial" w:cs="Arial"/>
          <w:noProof/>
        </w:rPr>
        <w:t>)</w:t>
      </w:r>
      <w:r w:rsidR="005417B4">
        <w:rPr>
          <w:rFonts w:ascii="Arial" w:hAnsi="Arial" w:cs="Arial"/>
        </w:rPr>
        <w:fldChar w:fldCharType="end"/>
      </w:r>
      <w:r w:rsidR="009B0FDC">
        <w:rPr>
          <w:rFonts w:ascii="Arial" w:hAnsi="Arial" w:cs="Arial"/>
        </w:rPr>
        <w:t xml:space="preserve">, </w:t>
      </w:r>
      <w:r w:rsidR="00E854C2">
        <w:rPr>
          <w:rFonts w:ascii="Arial" w:hAnsi="Arial" w:cs="Arial"/>
        </w:rPr>
        <w:t>forming</w:t>
      </w:r>
      <w:r w:rsidR="00C60890">
        <w:rPr>
          <w:rFonts w:ascii="Arial" w:hAnsi="Arial" w:cs="Arial"/>
        </w:rPr>
        <w:t xml:space="preserve"> a defined, </w:t>
      </w:r>
      <w:r w:rsidR="009B0FDC">
        <w:rPr>
          <w:rFonts w:ascii="Arial" w:hAnsi="Arial" w:cs="Arial"/>
        </w:rPr>
        <w:t xml:space="preserve">aligned </w:t>
      </w:r>
      <w:r w:rsidR="00C60890">
        <w:rPr>
          <w:rFonts w:ascii="Arial" w:hAnsi="Arial" w:cs="Arial"/>
        </w:rPr>
        <w:t xml:space="preserve">and thermally stable </w:t>
      </w:r>
      <w:r w:rsidR="009B0FDC">
        <w:rPr>
          <w:rFonts w:ascii="Arial" w:hAnsi="Arial" w:cs="Arial"/>
        </w:rPr>
        <w:t>right-handed triple helix</w:t>
      </w:r>
      <w:r w:rsidR="005417B4">
        <w:rPr>
          <w:rFonts w:ascii="Arial" w:hAnsi="Arial" w:cs="Arial"/>
        </w:rPr>
        <w:t>. Each of the three chains of the helix is made up approximately of 1000 amino acids. Two of the chains are identical</w:t>
      </w:r>
      <w:r w:rsidR="00DE208B">
        <w:rPr>
          <w:rFonts w:ascii="Arial" w:hAnsi="Arial" w:cs="Arial"/>
        </w:rPr>
        <w:t xml:space="preserve"> to each other </w:t>
      </w:r>
      <w:r w:rsidR="00AB023D">
        <w:rPr>
          <w:rFonts w:ascii="Arial" w:hAnsi="Arial" w:cs="Arial"/>
        </w:rPr>
        <w:t>α1 (</w:t>
      </w:r>
      <w:r>
        <w:rPr>
          <w:rFonts w:ascii="Arial" w:hAnsi="Arial" w:cs="Arial"/>
        </w:rPr>
        <w:t xml:space="preserve">2) and </w:t>
      </w:r>
      <w:r w:rsidR="00373F5A">
        <w:rPr>
          <w:rFonts w:ascii="Arial" w:hAnsi="Arial" w:cs="Arial"/>
        </w:rPr>
        <w:t xml:space="preserve">one different </w:t>
      </w:r>
      <w:r w:rsidR="00AB023D">
        <w:rPr>
          <w:rFonts w:ascii="Arial" w:hAnsi="Arial" w:cs="Arial"/>
        </w:rPr>
        <w:t>α2 (</w:t>
      </w:r>
      <w:r>
        <w:rPr>
          <w:rFonts w:ascii="Arial" w:hAnsi="Arial" w:cs="Arial"/>
        </w:rPr>
        <w:t>1)</w:t>
      </w:r>
      <w:r w:rsidR="00DE208B">
        <w:rPr>
          <w:rFonts w:ascii="Arial" w:hAnsi="Arial" w:cs="Arial"/>
        </w:rPr>
        <w:t>. They are</w:t>
      </w:r>
      <w:r w:rsidR="009B0FDC">
        <w:rPr>
          <w:rFonts w:ascii="Arial" w:hAnsi="Arial" w:cs="Arial"/>
        </w:rPr>
        <w:t xml:space="preserve"> of about 300nm in length and 1.5nm in diameter </w:t>
      </w:r>
      <w:r w:rsidR="009B0FDC">
        <w:rPr>
          <w:rFonts w:ascii="Arial" w:hAnsi="Arial" w:cs="Arial"/>
        </w:rPr>
        <w:fldChar w:fldCharType="begin">
          <w:fldData xml:space="preserve">PEVuZE5vdGU+PENpdGU+PEF1dGhvcj5Ccm9kc2t5PC9BdXRob3I+PFllYXI+MjAwODwvWWVhcj48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=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PEVuZE5vdGU+PENpdGU+PEF1dGhvcj5Ccm9kc2t5PC9BdXRob3I+PFllYXI+MjAwODwvWWVhcj48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=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9B0FDC">
        <w:rPr>
          <w:rFonts w:ascii="Arial" w:hAnsi="Arial" w:cs="Arial"/>
        </w:rPr>
      </w:r>
      <w:r w:rsidR="009B0FDC">
        <w:rPr>
          <w:rFonts w:ascii="Arial" w:hAnsi="Arial" w:cs="Arial"/>
        </w:rPr>
        <w:fldChar w:fldCharType="separate"/>
      </w:r>
      <w:r w:rsidR="005A347B">
        <w:rPr>
          <w:rFonts w:ascii="Arial" w:hAnsi="Arial" w:cs="Arial"/>
          <w:noProof/>
        </w:rPr>
        <w:t>(</w:t>
      </w:r>
      <w:hyperlink w:anchor="_ENREF_169" w:tooltip="Brodsky, 2008 #109" w:history="1">
        <w:r w:rsidR="003B725E">
          <w:rPr>
            <w:rFonts w:ascii="Arial" w:hAnsi="Arial" w:cs="Arial"/>
            <w:noProof/>
          </w:rPr>
          <w:t>169</w:t>
        </w:r>
      </w:hyperlink>
      <w:r w:rsidR="005A347B">
        <w:rPr>
          <w:rFonts w:ascii="Arial" w:hAnsi="Arial" w:cs="Arial"/>
          <w:noProof/>
        </w:rPr>
        <w:t xml:space="preserve">, </w:t>
      </w:r>
      <w:hyperlink w:anchor="_ENREF_170" w:tooltip="Boudko, 2012 #110" w:history="1">
        <w:r w:rsidR="003B725E">
          <w:rPr>
            <w:rFonts w:ascii="Arial" w:hAnsi="Arial" w:cs="Arial"/>
            <w:noProof/>
          </w:rPr>
          <w:t>170</w:t>
        </w:r>
      </w:hyperlink>
      <w:r w:rsidR="005A347B">
        <w:rPr>
          <w:rFonts w:ascii="Arial" w:hAnsi="Arial" w:cs="Arial"/>
          <w:noProof/>
        </w:rPr>
        <w:t>)</w:t>
      </w:r>
      <w:r w:rsidR="009B0FDC">
        <w:rPr>
          <w:rFonts w:ascii="Arial" w:hAnsi="Arial" w:cs="Arial"/>
        </w:rPr>
        <w:fldChar w:fldCharType="end"/>
      </w:r>
      <w:r w:rsidR="009B0FDC">
        <w:rPr>
          <w:rFonts w:ascii="Arial" w:hAnsi="Arial" w:cs="Arial"/>
        </w:rPr>
        <w:t xml:space="preserve">. </w:t>
      </w:r>
      <w:r>
        <w:rPr>
          <w:rFonts w:ascii="Arial" w:hAnsi="Arial" w:cs="Arial"/>
        </w:rPr>
        <w:t>The α1 and the</w:t>
      </w:r>
      <w:r w:rsidR="000262F5">
        <w:rPr>
          <w:rFonts w:ascii="Arial" w:hAnsi="Arial" w:cs="Arial"/>
        </w:rPr>
        <w:t xml:space="preserve"> α2 chains are coded for by the </w:t>
      </w:r>
      <w:r>
        <w:rPr>
          <w:rFonts w:ascii="Arial" w:hAnsi="Arial" w:cs="Arial"/>
        </w:rPr>
        <w:t>genes located on 17q21.23 and 7q21.3-</w:t>
      </w:r>
      <w:r w:rsidR="000262F5">
        <w:rPr>
          <w:rFonts w:ascii="Arial" w:hAnsi="Arial" w:cs="Arial"/>
        </w:rPr>
        <w:t>22 respectively. Human mutations in these proteins are associat</w:t>
      </w:r>
      <w:r w:rsidR="005471C1">
        <w:rPr>
          <w:rFonts w:ascii="Arial" w:hAnsi="Arial" w:cs="Arial"/>
        </w:rPr>
        <w:t>ed with osteogenesis imperfect</w:t>
      </w:r>
      <w:r w:rsidR="001D6578">
        <w:rPr>
          <w:rFonts w:ascii="Arial" w:hAnsi="Arial" w:cs="Arial"/>
        </w:rPr>
        <w:t>a</w:t>
      </w:r>
      <w:r w:rsidR="005471C1">
        <w:rPr>
          <w:rFonts w:ascii="Arial" w:hAnsi="Arial" w:cs="Arial"/>
        </w:rPr>
        <w:t xml:space="preserve"> </w:t>
      </w:r>
      <w:r w:rsidR="000E2016">
        <w:rPr>
          <w:rFonts w:ascii="Arial" w:hAnsi="Arial" w:cs="Arial"/>
        </w:rPr>
        <w:fldChar w:fldCharType="begin">
          <w:fldData xml:space="preserve">PEVuZE5vdGU+PENpdGU+PEF1dGhvcj5HYXJuZXJvPC9BdXRob3I+PFllYXI+MjAwOTwvWWVhcj48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==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PEVuZE5vdGU+PENpdGU+PEF1dGhvcj5HYXJuZXJvPC9BdXRob3I+PFllYXI+MjAwOTwvWWVhcj48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==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E2016">
        <w:rPr>
          <w:rFonts w:ascii="Arial" w:hAnsi="Arial" w:cs="Arial"/>
        </w:rPr>
      </w:r>
      <w:r w:rsidR="000E2016">
        <w:rPr>
          <w:rFonts w:ascii="Arial" w:hAnsi="Arial" w:cs="Arial"/>
        </w:rPr>
        <w:fldChar w:fldCharType="separate"/>
      </w:r>
      <w:r w:rsidR="005A347B">
        <w:rPr>
          <w:rFonts w:ascii="Arial" w:hAnsi="Arial" w:cs="Arial"/>
          <w:noProof/>
        </w:rPr>
        <w:t>(</w:t>
      </w:r>
      <w:hyperlink w:anchor="_ENREF_171" w:tooltip="Garnero, 2009 #111" w:history="1">
        <w:r w:rsidR="003B725E">
          <w:rPr>
            <w:rFonts w:ascii="Arial" w:hAnsi="Arial" w:cs="Arial"/>
            <w:noProof/>
          </w:rPr>
          <w:t>171</w:t>
        </w:r>
      </w:hyperlink>
      <w:r w:rsidR="005A347B">
        <w:rPr>
          <w:rFonts w:ascii="Arial" w:hAnsi="Arial" w:cs="Arial"/>
          <w:noProof/>
        </w:rPr>
        <w:t>)</w:t>
      </w:r>
      <w:r w:rsidR="000E2016">
        <w:rPr>
          <w:rFonts w:ascii="Arial" w:hAnsi="Arial" w:cs="Arial"/>
        </w:rPr>
        <w:fldChar w:fldCharType="end"/>
      </w:r>
      <w:r w:rsidR="000262F5">
        <w:rPr>
          <w:rFonts w:ascii="Arial" w:hAnsi="Arial" w:cs="Arial"/>
        </w:rPr>
        <w:t>.  The p</w:t>
      </w:r>
      <w:r w:rsidR="00A533B9">
        <w:rPr>
          <w:rFonts w:ascii="Arial" w:hAnsi="Arial" w:cs="Arial"/>
        </w:rPr>
        <w:t>rocollagen</w:t>
      </w:r>
      <w:r w:rsidR="009951AF">
        <w:rPr>
          <w:rFonts w:ascii="Arial" w:hAnsi="Arial" w:cs="Arial"/>
        </w:rPr>
        <w:t xml:space="preserve"> chains are held together by disulphide bonds </w:t>
      </w:r>
      <w:r w:rsidR="00C60890">
        <w:rPr>
          <w:rFonts w:ascii="Arial" w:hAnsi="Arial" w:cs="Arial"/>
        </w:rPr>
        <w:t xml:space="preserve">at the C-propeptide, </w:t>
      </w:r>
      <w:r w:rsidR="009951AF">
        <w:rPr>
          <w:rFonts w:ascii="Arial" w:hAnsi="Arial" w:cs="Arial"/>
        </w:rPr>
        <w:t xml:space="preserve">formed by protein disulphide isomerase </w:t>
      </w:r>
      <w:r w:rsidR="00C60890">
        <w:rPr>
          <w:rFonts w:ascii="Arial" w:hAnsi="Arial" w:cs="Arial"/>
        </w:rPr>
        <w:fldChar w:fldCharType="begin"/>
      </w:r>
      <w:r w:rsidR="005A347B">
        <w:rPr>
          <w:rFonts w:ascii="Arial" w:hAnsi="Arial" w:cs="Arial"/>
        </w:rPr>
        <w:instrText xml:space="preserve"> ADDIN EN.CITE &lt;EndNote&gt;&lt;Cite&gt;&lt;Author&gt;Bulleid&lt;/Author&gt;&lt;Year&gt;1997&lt;/Year&gt;&lt;RecNum&gt;112&lt;/RecNum&gt;&lt;DisplayText&gt;(172)&lt;/DisplayText&gt;&lt;record&gt;&lt;rec-number&gt;112&lt;/rec-number&gt;&lt;foreign-keys&gt;&lt;key app="EN" db-id="p9a5ttsvyvde9me5aw2x05fp5p55axf0wr90" timestamp="1417715006"&gt;112&lt;/key&gt;&lt;/foreign-keys&gt;&lt;ref-type name="Journal Article"&gt;17&lt;/ref-type&gt;&lt;contributors&gt;&lt;authors&gt;&lt;author&gt;Bulleid, N. J.&lt;/author&gt;&lt;author&gt;Dalley, J. A.&lt;/author&gt;&lt;author&gt;Lees, J. F.&lt;/author&gt;&lt;/authors&gt;&lt;/contributors&gt;&lt;auth-address&gt;School of Biological Sciences, The University of Manchester, 2.205 Stopford Building, Manchester M13 9PT, UK.&lt;/auth-address&gt;&lt;titles&gt;&lt;title&gt;The C-propeptide domain of procollagen can be replaced with a transmembrane domain without affecting trimer formation or collagen triple helix folding during biosynthesis&lt;/title&gt;&lt;secondary-title&gt;EMBO J&lt;/secondary-title&gt;&lt;alt-title&gt;The EMBO journal&lt;/alt-title&gt;&lt;/titles&gt;&lt;periodical&gt;&lt;full-title&gt;EMBO J&lt;/full-title&gt;&lt;abbr-1&gt;The EMBO journal&lt;/abbr-1&gt;&lt;/periodical&gt;&lt;alt-periodical&gt;&lt;full-title&gt;EMBO J&lt;/full-title&gt;&lt;abbr-1&gt;The EMBO journal&lt;/abbr-1&gt;&lt;/alt-periodical&gt;&lt;pages&gt;6694-701&lt;/pages&gt;&lt;volume&gt;16&lt;/volume&gt;&lt;number&gt;22&lt;/number&gt;&lt;edition&gt;1998/01/10&lt;/edition&gt;&lt;keywords&gt;&lt;keyword&gt;Amino Acid Sequence&lt;/keyword&gt;&lt;keyword&gt;Molecular Sequence Data&lt;/keyword&gt;&lt;keyword&gt;Peptide Fragments/genetics/metabolism&lt;/keyword&gt;&lt;keyword&gt;Procollagen/genetics/ metabolism&lt;/keyword&gt;&lt;keyword&gt;Protein Conformation&lt;/keyword&gt;&lt;keyword&gt;Protein Folding&lt;/keyword&gt;&lt;keyword&gt;Protein Structure, Secondary&lt;/keyword&gt;&lt;keyword&gt;Recombinant Proteins/metabolism&lt;/keyword&gt;&lt;/keywords&gt;&lt;dates&gt;&lt;year&gt;1997&lt;/year&gt;&lt;pub-dates&gt;&lt;date&gt;Nov 17&lt;/date&gt;&lt;/pub-dates&gt;&lt;/dates&gt;&lt;isbn&gt;0261-4189 (Print)&amp;#xD;0261-4189 (Linking)&lt;/isbn&gt;&lt;accession-num&gt;9362484&lt;/accession-num&gt;&lt;urls&gt;&lt;/urls&gt;&lt;custom2&gt;PMC1170274&lt;/custom2&gt;&lt;electronic-resource-num&gt;10.1093/emboj/16.22.6694&lt;/electronic-resource-num&gt;&lt;remote-database-provider&gt;NLM&lt;/remote-database-provider&gt;&lt;language&gt;eng&lt;/language&gt;&lt;/record&gt;&lt;/Cite&gt;&lt;/EndNote&gt;</w:instrText>
      </w:r>
      <w:r w:rsidR="00C60890">
        <w:rPr>
          <w:rFonts w:ascii="Arial" w:hAnsi="Arial" w:cs="Arial"/>
        </w:rPr>
        <w:fldChar w:fldCharType="separate"/>
      </w:r>
      <w:r w:rsidR="005A347B">
        <w:rPr>
          <w:rFonts w:ascii="Arial" w:hAnsi="Arial" w:cs="Arial"/>
          <w:noProof/>
        </w:rPr>
        <w:t>(</w:t>
      </w:r>
      <w:hyperlink w:anchor="_ENREF_172" w:tooltip="Bulleid, 1997 #112" w:history="1">
        <w:r w:rsidR="003B725E">
          <w:rPr>
            <w:rFonts w:ascii="Arial" w:hAnsi="Arial" w:cs="Arial"/>
            <w:noProof/>
          </w:rPr>
          <w:t>172</w:t>
        </w:r>
      </w:hyperlink>
      <w:r w:rsidR="005A347B">
        <w:rPr>
          <w:rFonts w:ascii="Arial" w:hAnsi="Arial" w:cs="Arial"/>
          <w:noProof/>
        </w:rPr>
        <w:t>)</w:t>
      </w:r>
      <w:r w:rsidR="00C60890">
        <w:rPr>
          <w:rFonts w:ascii="Arial" w:hAnsi="Arial" w:cs="Arial"/>
        </w:rPr>
        <w:fldChar w:fldCharType="end"/>
      </w:r>
      <w:r w:rsidR="00C60890">
        <w:rPr>
          <w:rFonts w:ascii="Arial" w:hAnsi="Arial" w:cs="Arial"/>
        </w:rPr>
        <w:t xml:space="preserve">. </w:t>
      </w:r>
      <w:r w:rsidR="009B0FDC">
        <w:rPr>
          <w:rFonts w:ascii="Arial" w:hAnsi="Arial" w:cs="Arial"/>
        </w:rPr>
        <w:t xml:space="preserve">Proteolytic </w:t>
      </w:r>
      <w:r w:rsidR="005834B4">
        <w:rPr>
          <w:rFonts w:ascii="Arial" w:hAnsi="Arial" w:cs="Arial"/>
        </w:rPr>
        <w:t xml:space="preserve">cleavage </w:t>
      </w:r>
      <w:r w:rsidR="00C60890">
        <w:rPr>
          <w:rFonts w:ascii="Arial" w:hAnsi="Arial" w:cs="Arial"/>
        </w:rPr>
        <w:t xml:space="preserve">by procollagens N and C proteinases </w:t>
      </w:r>
      <w:r w:rsidR="005834B4">
        <w:rPr>
          <w:rFonts w:ascii="Arial" w:hAnsi="Arial" w:cs="Arial"/>
        </w:rPr>
        <w:t xml:space="preserve">of the N- and C- terminal propeptides results in a shorter triple helix, </w:t>
      </w:r>
      <w:r w:rsidR="008F44E9">
        <w:rPr>
          <w:rFonts w:ascii="Arial" w:hAnsi="Arial" w:cs="Arial"/>
        </w:rPr>
        <w:t xml:space="preserve">the </w:t>
      </w:r>
      <w:r w:rsidR="005834B4">
        <w:rPr>
          <w:rFonts w:ascii="Arial" w:hAnsi="Arial" w:cs="Arial"/>
        </w:rPr>
        <w:t>telopeptides</w:t>
      </w:r>
      <w:r w:rsidR="008F44E9">
        <w:rPr>
          <w:rFonts w:ascii="Arial" w:hAnsi="Arial" w:cs="Arial"/>
        </w:rPr>
        <w:t>,</w:t>
      </w:r>
      <w:r w:rsidR="005834B4">
        <w:rPr>
          <w:rFonts w:ascii="Arial" w:hAnsi="Arial" w:cs="Arial"/>
        </w:rPr>
        <w:t xml:space="preserve"> that can align into fibrils </w:t>
      </w:r>
      <w:r w:rsidR="005834B4">
        <w:rPr>
          <w:rFonts w:ascii="Arial" w:hAnsi="Arial" w:cs="Arial"/>
        </w:rPr>
        <w:fldChar w:fldCharType="begin"/>
      </w:r>
      <w:r w:rsidR="005A347B">
        <w:rPr>
          <w:rFonts w:ascii="Arial" w:hAnsi="Arial" w:cs="Arial"/>
        </w:rPr>
        <w:instrText xml:space="preserve"> ADDIN EN.CITE &lt;EndNote&gt;&lt;Cite&gt;&lt;Author&gt;Kuznetsova&lt;/Author&gt;&lt;Year&gt;1999&lt;/Year&gt;&lt;RecNum&gt;113&lt;/RecNum&gt;&lt;DisplayText&gt;(173)&lt;/DisplayText&gt;&lt;record&gt;&lt;rec-number&gt;113&lt;/rec-number&gt;&lt;foreign-keys&gt;&lt;key app="EN" db-id="p9a5ttsvyvde9me5aw2x05fp5p55axf0wr90" timestamp="1417715006"&gt;113&lt;/key&gt;&lt;/foreign-keys&gt;&lt;ref-type name="Journal Article"&gt;17&lt;/ref-type&gt;&lt;contributors&gt;&lt;authors&gt;&lt;author&gt;Kuznetsova, N.&lt;/author&gt;&lt;author&gt;Leikin, S.&lt;/author&gt;&lt;/authors&gt;&lt;/contributors&gt;&lt;auth-address&gt;Laboratory of Physical and Structural Biology, NICHD, National Institutes of Health, Bethesda, Maryland 20892, USA.&lt;/auth-address&gt;&lt;titles&gt;&lt;title&gt;Does the triple helical domain of type I collagen encode molecular recognition and fiber assembly while telopeptides serve as catalytic domains? Effect of proteolytic cleavage on fibrillogenesis and on collagen-collagen interaction in fibers&lt;/title&gt;&lt;secondary-title&gt;J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36083-8&lt;/pages&gt;&lt;volume&gt;274&lt;/volume&gt;&lt;number&gt;51&lt;/number&gt;&lt;edition&gt;1999/12/14&lt;/edition&gt;&lt;keywords&gt;&lt;keyword&gt;Animals&lt;/keyword&gt;&lt;keyword&gt;Catalysis&lt;/keyword&gt;&lt;keyword&gt;Collagen/ chemistry/metabolism/ultrastructure&lt;/keyword&gt;&lt;keyword&gt;Kinetics&lt;/keyword&gt;&lt;keyword&gt;Protein Binding&lt;/keyword&gt;&lt;keyword&gt;Rats&lt;/keyword&gt;&lt;keyword&gt;Thermodynamics&lt;/keyword&gt;&lt;keyword&gt;X-Ray Diffraction&lt;/keyword&gt;&lt;/keywords&gt;&lt;dates&gt;&lt;year&gt;1999&lt;/year&gt;&lt;pub-dates&gt;&lt;date&gt;Dec 17&lt;/date&gt;&lt;/pub-dates&gt;&lt;/dates&gt;&lt;isbn&gt;0021-9258 (Print)&amp;#xD;0021-9258 (Linking)&lt;/isbn&gt;&lt;accession-num&gt;10593890&lt;/accession-num&gt;&lt;urls&gt;&lt;/urls&gt;&lt;remote-database-provider&gt;NLM&lt;/remote-database-provider&gt;&lt;language&gt;eng&lt;/language&gt;&lt;/record&gt;&lt;/Cite&gt;&lt;/EndNote&gt;</w:instrText>
      </w:r>
      <w:r w:rsidR="005834B4">
        <w:rPr>
          <w:rFonts w:ascii="Arial" w:hAnsi="Arial" w:cs="Arial"/>
        </w:rPr>
        <w:fldChar w:fldCharType="separate"/>
      </w:r>
      <w:r w:rsidR="005A347B">
        <w:rPr>
          <w:rFonts w:ascii="Arial" w:hAnsi="Arial" w:cs="Arial"/>
          <w:noProof/>
        </w:rPr>
        <w:t>(</w:t>
      </w:r>
      <w:hyperlink w:anchor="_ENREF_173" w:tooltip="Kuznetsova, 1999 #113" w:history="1">
        <w:r w:rsidR="003B725E">
          <w:rPr>
            <w:rFonts w:ascii="Arial" w:hAnsi="Arial" w:cs="Arial"/>
            <w:noProof/>
          </w:rPr>
          <w:t>173</w:t>
        </w:r>
      </w:hyperlink>
      <w:r w:rsidR="005A347B">
        <w:rPr>
          <w:rFonts w:ascii="Arial" w:hAnsi="Arial" w:cs="Arial"/>
          <w:noProof/>
        </w:rPr>
        <w:t>)</w:t>
      </w:r>
      <w:r w:rsidR="005834B4">
        <w:rPr>
          <w:rFonts w:ascii="Arial" w:hAnsi="Arial" w:cs="Arial"/>
        </w:rPr>
        <w:fldChar w:fldCharType="end"/>
      </w:r>
      <w:r w:rsidR="00047350">
        <w:rPr>
          <w:rFonts w:ascii="Arial" w:hAnsi="Arial" w:cs="Arial"/>
        </w:rPr>
        <w:t xml:space="preserve"> in the extracellular matrix</w:t>
      </w:r>
      <w:r w:rsidR="005834B4">
        <w:rPr>
          <w:rFonts w:ascii="Arial" w:hAnsi="Arial" w:cs="Arial"/>
        </w:rPr>
        <w:t>.</w:t>
      </w:r>
      <w:r w:rsidR="009B0FDC">
        <w:rPr>
          <w:rFonts w:ascii="Arial" w:hAnsi="Arial" w:cs="Arial"/>
        </w:rPr>
        <w:t xml:space="preserve"> </w:t>
      </w:r>
      <w:r w:rsidR="000553FC">
        <w:rPr>
          <w:rFonts w:ascii="Arial" w:hAnsi="Arial" w:cs="Arial"/>
        </w:rPr>
        <w:t>These processes involve several p</w:t>
      </w:r>
      <w:r w:rsidR="00E40D27">
        <w:rPr>
          <w:rFonts w:ascii="Arial" w:hAnsi="Arial" w:cs="Arial"/>
        </w:rPr>
        <w:t>osttranslational modifications</w:t>
      </w:r>
      <w:r w:rsidR="000553FC">
        <w:rPr>
          <w:rFonts w:ascii="Arial" w:hAnsi="Arial" w:cs="Arial"/>
        </w:rPr>
        <w:t xml:space="preserve"> to stabilise the helix including: i) hydroxylation of lysyl and prolyl residue, ii) glycosylation of the hydroxlysine and iii) formation of inter- and intramolecular covalent crosslinks</w:t>
      </w:r>
      <w:r w:rsidR="00E40D27">
        <w:rPr>
          <w:rFonts w:ascii="Arial" w:hAnsi="Arial" w:cs="Arial"/>
        </w:rPr>
        <w:t xml:space="preserve">. </w:t>
      </w:r>
      <w:r w:rsidR="003C4BDD">
        <w:rPr>
          <w:rFonts w:ascii="Arial" w:hAnsi="Arial" w:cs="Arial"/>
        </w:rPr>
        <w:t xml:space="preserve">It is </w:t>
      </w:r>
      <w:r w:rsidR="005834B4">
        <w:rPr>
          <w:rFonts w:ascii="Arial" w:hAnsi="Arial" w:cs="Arial"/>
        </w:rPr>
        <w:t xml:space="preserve">this structure that is </w:t>
      </w:r>
      <w:r w:rsidR="003C4BDD">
        <w:rPr>
          <w:rFonts w:ascii="Arial" w:hAnsi="Arial" w:cs="Arial"/>
        </w:rPr>
        <w:t xml:space="preserve">responsible for the biomechanical </w:t>
      </w:r>
      <w:r w:rsidR="00EB2815">
        <w:rPr>
          <w:rFonts w:ascii="Arial" w:hAnsi="Arial" w:cs="Arial"/>
        </w:rPr>
        <w:t>properties of bone and</w:t>
      </w:r>
      <w:r w:rsidR="00DB37C0">
        <w:rPr>
          <w:rFonts w:ascii="Arial" w:hAnsi="Arial" w:cs="Arial"/>
        </w:rPr>
        <w:t xml:space="preserve"> has specific roles in </w:t>
      </w:r>
      <w:r w:rsidR="00144809">
        <w:rPr>
          <w:rFonts w:ascii="Arial" w:hAnsi="Arial" w:cs="Arial"/>
        </w:rPr>
        <w:t xml:space="preserve">the pathology of osteoporosis. </w:t>
      </w:r>
      <w:r w:rsidR="000262F5">
        <w:rPr>
          <w:rFonts w:ascii="Arial" w:hAnsi="Arial" w:cs="Arial"/>
        </w:rPr>
        <w:t>C</w:t>
      </w:r>
      <w:r w:rsidR="00E40D27">
        <w:rPr>
          <w:rFonts w:ascii="Arial" w:hAnsi="Arial" w:cs="Arial"/>
        </w:rPr>
        <w:t>ollagen types</w:t>
      </w:r>
      <w:r w:rsidR="000262F5">
        <w:rPr>
          <w:rFonts w:ascii="Arial" w:hAnsi="Arial" w:cs="Arial"/>
        </w:rPr>
        <w:t xml:space="preserve"> III and V</w:t>
      </w:r>
      <w:r w:rsidR="00E40D27">
        <w:rPr>
          <w:rFonts w:ascii="Arial" w:hAnsi="Arial" w:cs="Arial"/>
        </w:rPr>
        <w:t xml:space="preserve"> are </w:t>
      </w:r>
      <w:r w:rsidR="00FB414A">
        <w:rPr>
          <w:rFonts w:ascii="Arial" w:hAnsi="Arial" w:cs="Arial"/>
        </w:rPr>
        <w:t>also</w:t>
      </w:r>
      <w:r w:rsidR="00E40D27">
        <w:rPr>
          <w:rFonts w:ascii="Arial" w:hAnsi="Arial" w:cs="Arial"/>
        </w:rPr>
        <w:t xml:space="preserve"> </w:t>
      </w:r>
      <w:r w:rsidR="00FB414A">
        <w:rPr>
          <w:rFonts w:ascii="Arial" w:hAnsi="Arial" w:cs="Arial"/>
        </w:rPr>
        <w:t>present</w:t>
      </w:r>
      <w:r w:rsidR="00DE208B">
        <w:rPr>
          <w:rFonts w:ascii="Arial" w:hAnsi="Arial" w:cs="Arial"/>
        </w:rPr>
        <w:t xml:space="preserve"> in</w:t>
      </w:r>
      <w:r w:rsidR="00E40D27">
        <w:rPr>
          <w:rFonts w:ascii="Arial" w:hAnsi="Arial" w:cs="Arial"/>
        </w:rPr>
        <w:t xml:space="preserve"> low levels in bo</w:t>
      </w:r>
      <w:r w:rsidR="00C878DA">
        <w:rPr>
          <w:rFonts w:ascii="Arial" w:hAnsi="Arial" w:cs="Arial"/>
        </w:rPr>
        <w:t>ne,</w:t>
      </w:r>
      <w:r w:rsidR="000553FC">
        <w:rPr>
          <w:rFonts w:ascii="Arial" w:hAnsi="Arial" w:cs="Arial"/>
        </w:rPr>
        <w:t xml:space="preserve"> </w:t>
      </w:r>
      <w:r w:rsidR="00C878DA">
        <w:rPr>
          <w:rFonts w:ascii="Arial" w:hAnsi="Arial" w:cs="Arial"/>
        </w:rPr>
        <w:t>these</w:t>
      </w:r>
      <w:r w:rsidR="000553FC">
        <w:rPr>
          <w:rFonts w:ascii="Arial" w:hAnsi="Arial" w:cs="Arial"/>
        </w:rPr>
        <w:t xml:space="preserve"> have a role in </w:t>
      </w:r>
      <w:r w:rsidR="00E40D27">
        <w:rPr>
          <w:rFonts w:ascii="Arial" w:hAnsi="Arial" w:cs="Arial"/>
        </w:rPr>
        <w:t xml:space="preserve">fibril diameter </w:t>
      </w:r>
      <w:r w:rsidR="000553FC">
        <w:rPr>
          <w:rFonts w:ascii="Arial" w:hAnsi="Arial" w:cs="Arial"/>
        </w:rPr>
        <w:t xml:space="preserve">regulation </w:t>
      </w:r>
      <w:r w:rsidR="00E40D27">
        <w:rPr>
          <w:rFonts w:ascii="Arial" w:hAnsi="Arial" w:cs="Arial"/>
        </w:rPr>
        <w:fldChar w:fldCharType="begin"/>
      </w:r>
      <w:r w:rsidR="005A347B">
        <w:rPr>
          <w:rFonts w:ascii="Arial" w:hAnsi="Arial" w:cs="Arial"/>
        </w:rPr>
        <w:instrText xml:space="preserve"> ADDIN EN.CITE &lt;EndNote&gt;&lt;Cite&gt;&lt;Author&gt;Niyibizi&lt;/Author&gt;&lt;Year&gt;1989&lt;/Year&gt;&lt;RecNum&gt;114&lt;/RecNum&gt;&lt;DisplayText&gt;(174)&lt;/DisplayText&gt;&lt;record&gt;&lt;rec-number&gt;114&lt;/rec-number&gt;&lt;foreign-keys&gt;&lt;key app="EN" db-id="p9a5ttsvyvde9me5aw2x05fp5p55axf0wr90" timestamp="1417715006"&gt;114&lt;/key&gt;&lt;/foreign-keys&gt;&lt;ref-type name="Journal Article"&gt;17&lt;/ref-type&gt;&lt;contributors&gt;&lt;authors&gt;&lt;author&gt;Niyibizi, C.&lt;/author&gt;&lt;author&gt;Eyre, D. R.&lt;/author&gt;&lt;/authors&gt;&lt;/contributors&gt;&lt;auth-address&gt;Department of Orthopaedics, University of Washington, Seattle.&lt;/auth-address&gt;&lt;titles&gt;&lt;title&gt;Bone type V collagen: chain composition and location of a trypsin cleavage site&lt;/title&gt;&lt;secondary-title&gt;Connect Tissue Res&lt;/secondary-title&gt;&lt;alt-title&gt;Connective tissue research&lt;/alt-title&gt;&lt;/titles&gt;&lt;periodical&gt;&lt;full-title&gt;Connect Tissue Res&lt;/full-title&gt;&lt;abbr-1&gt;Connective tissue research&lt;/abbr-1&gt;&lt;/periodical&gt;&lt;alt-periodical&gt;&lt;full-title&gt;Connect Tissue Res&lt;/full-title&gt;&lt;abbr-1&gt;Connective tissue research&lt;/abbr-1&gt;&lt;/alt-periodical&gt;&lt;pages&gt;247-50&lt;/pages&gt;&lt;volume&gt;20&lt;/volume&gt;&lt;number&gt;1-4&lt;/number&gt;&lt;edition&gt;1989/01/01&lt;/edition&gt;&lt;keywords&gt;&lt;keyword&gt;Amino Acid Sequence&lt;/keyword&gt;&lt;keyword&gt;Animals&lt;/keyword&gt;&lt;keyword&gt;Bone and Bones/ analysis&lt;/keyword&gt;&lt;keyword&gt;Cattle&lt;/keyword&gt;&lt;keyword&gt;Chromatography, High Pressure Liquid&lt;/keyword&gt;&lt;keyword&gt;Collagen/ analysis&lt;/keyword&gt;&lt;keyword&gt;Electrophoresis, Polyacrylamide Gel&lt;/keyword&gt;&lt;keyword&gt;Trypsin/analysis/pharmacology&lt;/keyword&gt;&lt;/keywords&gt;&lt;dates&gt;&lt;year&gt;1989&lt;/year&gt;&lt;/dates&gt;&lt;isbn&gt;0300-8207 (Print)&amp;#xD;0300-8207 (Linking)&lt;/isbn&gt;&lt;accession-num&gt;2612158&lt;/accession-num&gt;&lt;urls&gt;&lt;/urls&gt;&lt;remote-database-provider&gt;NLM&lt;/remote-database-provider&gt;&lt;language&gt;eng&lt;/language&gt;&lt;/record&gt;&lt;/Cite&gt;&lt;/EndNote&gt;</w:instrText>
      </w:r>
      <w:r w:rsidR="00E40D27">
        <w:rPr>
          <w:rFonts w:ascii="Arial" w:hAnsi="Arial" w:cs="Arial"/>
        </w:rPr>
        <w:fldChar w:fldCharType="separate"/>
      </w:r>
      <w:r w:rsidR="005A347B">
        <w:rPr>
          <w:rFonts w:ascii="Arial" w:hAnsi="Arial" w:cs="Arial"/>
          <w:noProof/>
        </w:rPr>
        <w:t>(</w:t>
      </w:r>
      <w:hyperlink w:anchor="_ENREF_174" w:tooltip="Niyibizi, 1989 #114" w:history="1">
        <w:r w:rsidR="003B725E">
          <w:rPr>
            <w:rFonts w:ascii="Arial" w:hAnsi="Arial" w:cs="Arial"/>
            <w:noProof/>
          </w:rPr>
          <w:t>174</w:t>
        </w:r>
      </w:hyperlink>
      <w:r w:rsidR="005A347B">
        <w:rPr>
          <w:rFonts w:ascii="Arial" w:hAnsi="Arial" w:cs="Arial"/>
          <w:noProof/>
        </w:rPr>
        <w:t>)</w:t>
      </w:r>
      <w:r w:rsidR="00E40D27">
        <w:rPr>
          <w:rFonts w:ascii="Arial" w:hAnsi="Arial" w:cs="Arial"/>
        </w:rPr>
        <w:fldChar w:fldCharType="end"/>
      </w:r>
      <w:r w:rsidR="00E40D27">
        <w:rPr>
          <w:rFonts w:ascii="Arial" w:hAnsi="Arial" w:cs="Arial"/>
        </w:rPr>
        <w:t>.</w:t>
      </w:r>
    </w:p>
    <w:p w:rsidR="00C7565E" w:rsidRDefault="00C7565E" w:rsidP="003E6719">
      <w:pPr>
        <w:spacing w:line="360" w:lineRule="auto"/>
        <w:jc w:val="both"/>
        <w:rPr>
          <w:rFonts w:ascii="Arial" w:hAnsi="Arial" w:cs="Arial"/>
        </w:rPr>
      </w:pPr>
    </w:p>
    <w:p w:rsidR="00C7565E" w:rsidRDefault="00C7565E" w:rsidP="003E6719">
      <w:pPr>
        <w:spacing w:line="360" w:lineRule="auto"/>
        <w:jc w:val="both"/>
        <w:rPr>
          <w:rFonts w:ascii="Arial" w:hAnsi="Arial" w:cs="Arial"/>
        </w:rPr>
      </w:pPr>
    </w:p>
    <w:p w:rsidR="00C7565E" w:rsidRDefault="00C7565E" w:rsidP="003E6719">
      <w:pPr>
        <w:spacing w:line="360" w:lineRule="auto"/>
        <w:jc w:val="both"/>
        <w:rPr>
          <w:rFonts w:ascii="Arial" w:hAnsi="Arial" w:cs="Arial"/>
        </w:rPr>
      </w:pPr>
    </w:p>
    <w:p w:rsidR="00C7565E" w:rsidRDefault="00C7565E" w:rsidP="003E6719">
      <w:pPr>
        <w:spacing w:line="360" w:lineRule="auto"/>
        <w:jc w:val="both"/>
        <w:rPr>
          <w:rFonts w:ascii="Arial" w:hAnsi="Arial" w:cs="Arial"/>
        </w:rPr>
      </w:pPr>
    </w:p>
    <w:p w:rsidR="008F273C" w:rsidRDefault="008F273C" w:rsidP="003E6719">
      <w:pPr>
        <w:spacing w:line="360" w:lineRule="auto"/>
        <w:jc w:val="both"/>
        <w:rPr>
          <w:rFonts w:ascii="Arial" w:hAnsi="Arial" w:cs="Arial"/>
        </w:rPr>
      </w:pPr>
    </w:p>
    <w:p w:rsidR="008F273C" w:rsidRDefault="008F273C" w:rsidP="003E6719">
      <w:pPr>
        <w:spacing w:line="360" w:lineRule="auto"/>
        <w:jc w:val="both"/>
        <w:rPr>
          <w:rFonts w:ascii="Arial" w:hAnsi="Arial" w:cs="Arial"/>
        </w:rPr>
      </w:pPr>
    </w:p>
    <w:p w:rsidR="008F273C" w:rsidRDefault="008F273C" w:rsidP="003E6719">
      <w:pPr>
        <w:spacing w:line="360" w:lineRule="auto"/>
        <w:jc w:val="both"/>
        <w:rPr>
          <w:rFonts w:ascii="Arial" w:hAnsi="Arial" w:cs="Arial"/>
        </w:rPr>
      </w:pPr>
    </w:p>
    <w:p w:rsidR="008F273C" w:rsidRDefault="008F273C" w:rsidP="00900F2C">
      <w:pPr>
        <w:spacing w:line="360" w:lineRule="auto"/>
        <w:rPr>
          <w:rFonts w:ascii="Arial" w:hAnsi="Arial" w:cs="Arial"/>
        </w:rPr>
      </w:pPr>
    </w:p>
    <w:p w:rsidR="008F273C" w:rsidRDefault="008F273C" w:rsidP="00900F2C">
      <w:pPr>
        <w:spacing w:line="360" w:lineRule="auto"/>
        <w:rPr>
          <w:rFonts w:ascii="Arial" w:hAnsi="Arial" w:cs="Arial"/>
        </w:rPr>
      </w:pPr>
    </w:p>
    <w:p w:rsidR="00C7565E" w:rsidRDefault="00C7565E" w:rsidP="00900F2C">
      <w:pPr>
        <w:spacing w:line="360" w:lineRule="auto"/>
        <w:rPr>
          <w:rFonts w:ascii="Arial" w:hAnsi="Arial" w:cs="Arial"/>
        </w:rPr>
      </w:pPr>
    </w:p>
    <w:p w:rsidR="001A257F" w:rsidRDefault="001A257F" w:rsidP="00900F2C">
      <w:pPr>
        <w:spacing w:line="360" w:lineRule="auto"/>
        <w:rPr>
          <w:rFonts w:ascii="Arial" w:hAnsi="Arial" w:cs="Arial"/>
        </w:rPr>
      </w:pPr>
    </w:p>
    <w:p w:rsidR="00462E04" w:rsidRDefault="009A6D18" w:rsidP="00900F2C">
      <w:pPr>
        <w:spacing w:line="360" w:lineRule="auto"/>
        <w:rPr>
          <w:rFonts w:ascii="Arial" w:hAnsi="Arial" w:cs="Arial"/>
        </w:rPr>
      </w:pPr>
      <w:r>
        <w:rPr>
          <w:rFonts w:ascii="Arial" w:hAnsi="Arial" w:cs="Arial"/>
          <w:noProof/>
          <w:lang w:eastAsia="zh-CN"/>
        </w:rPr>
        <w:lastRenderedPageBreak/>
        <mc:AlternateContent>
          <mc:Choice Requires="wps">
            <w:drawing>
              <wp:anchor distT="0" distB="0" distL="114300" distR="114300" simplePos="0" relativeHeight="250540544" behindDoc="0" locked="0" layoutInCell="1" allowOverlap="1" wp14:anchorId="683B2592" wp14:editId="401D3D1D">
                <wp:simplePos x="0" y="0"/>
                <wp:positionH relativeFrom="column">
                  <wp:posOffset>-57607</wp:posOffset>
                </wp:positionH>
                <wp:positionV relativeFrom="paragraph">
                  <wp:posOffset>-394081</wp:posOffset>
                </wp:positionV>
                <wp:extent cx="5353050" cy="4125773"/>
                <wp:effectExtent l="0" t="0" r="19050" b="27305"/>
                <wp:wrapNone/>
                <wp:docPr id="414" name="Rectangle 414"/>
                <wp:cNvGraphicFramePr/>
                <a:graphic xmlns:a="http://schemas.openxmlformats.org/drawingml/2006/main">
                  <a:graphicData uri="http://schemas.microsoft.com/office/word/2010/wordprocessingShape">
                    <wps:wsp>
                      <wps:cNvSpPr/>
                      <wps:spPr>
                        <a:xfrm>
                          <a:off x="0" y="0"/>
                          <a:ext cx="5353050" cy="412577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C8897" id="Rectangle 414" o:spid="_x0000_s1026" style="position:absolute;margin-left:-4.55pt;margin-top:-31.05pt;width:421.5pt;height:324.85pt;z-index:2505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" filled="f" strokecolor="black [3213]" strokeweight=".5pt"/>
            </w:pict>
          </mc:Fallback>
        </mc:AlternateContent>
      </w:r>
      <w:r w:rsidR="00F55E10">
        <w:rPr>
          <w:rFonts w:ascii="Arial" w:hAnsi="Arial" w:cs="Arial"/>
          <w:noProof/>
          <w:lang w:eastAsia="zh-CN"/>
        </w:rPr>
        <mc:AlternateContent>
          <mc:Choice Requires="wps">
            <w:drawing>
              <wp:anchor distT="0" distB="0" distL="114300" distR="114300" simplePos="0" relativeHeight="252091904" behindDoc="0" locked="0" layoutInCell="1" allowOverlap="1" wp14:anchorId="3CBE4AAA" wp14:editId="6B434062">
                <wp:simplePos x="0" y="0"/>
                <wp:positionH relativeFrom="column">
                  <wp:posOffset>2825750</wp:posOffset>
                </wp:positionH>
                <wp:positionV relativeFrom="paragraph">
                  <wp:posOffset>348615</wp:posOffset>
                </wp:positionV>
                <wp:extent cx="0" cy="723900"/>
                <wp:effectExtent l="95250" t="0" r="57150" b="57150"/>
                <wp:wrapNone/>
                <wp:docPr id="406" name="Straight Arrow Connector 406"/>
                <wp:cNvGraphicFramePr/>
                <a:graphic xmlns:a="http://schemas.openxmlformats.org/drawingml/2006/main">
                  <a:graphicData uri="http://schemas.microsoft.com/office/word/2010/wordprocessingShape">
                    <wps:wsp>
                      <wps:cNvCnPr/>
                      <wps:spPr>
                        <a:xfrm>
                          <a:off x="0" y="0"/>
                          <a:ext cx="0" cy="723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C449CAD" id="Straight Arrow Connector 406" o:spid="_x0000_s1026" type="#_x0000_t32" style="position:absolute;margin-left:222.5pt;margin-top:27.45pt;width:0;height:57pt;z-index:25209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" strokecolor="black [3213]">
                <v:stroke endarrow="open"/>
              </v:shape>
            </w:pict>
          </mc:Fallback>
        </mc:AlternateContent>
      </w:r>
      <w:r w:rsidR="00F55E10">
        <w:rPr>
          <w:rFonts w:ascii="Arial" w:hAnsi="Arial" w:cs="Arial"/>
          <w:noProof/>
          <w:lang w:eastAsia="zh-CN"/>
        </w:rPr>
        <mc:AlternateContent>
          <mc:Choice Requires="wps">
            <w:drawing>
              <wp:anchor distT="0" distB="0" distL="114300" distR="114300" simplePos="0" relativeHeight="252004864" behindDoc="0" locked="0" layoutInCell="1" allowOverlap="1" wp14:anchorId="0E09EDA2" wp14:editId="2DEE2769">
                <wp:simplePos x="0" y="0"/>
                <wp:positionH relativeFrom="column">
                  <wp:posOffset>1803400</wp:posOffset>
                </wp:positionH>
                <wp:positionV relativeFrom="paragraph">
                  <wp:posOffset>69215</wp:posOffset>
                </wp:positionV>
                <wp:extent cx="1911350" cy="438150"/>
                <wp:effectExtent l="0" t="0" r="12700" b="19050"/>
                <wp:wrapNone/>
                <wp:docPr id="404" name="Freeform 404"/>
                <wp:cNvGraphicFramePr/>
                <a:graphic xmlns:a="http://schemas.openxmlformats.org/drawingml/2006/main">
                  <a:graphicData uri="http://schemas.microsoft.com/office/word/2010/wordprocessingShape">
                    <wps:wsp>
                      <wps:cNvSpPr/>
                      <wps:spPr>
                        <a:xfrm>
                          <a:off x="0" y="0"/>
                          <a:ext cx="1911350" cy="438150"/>
                        </a:xfrm>
                        <a:custGeom>
                          <a:avLst/>
                          <a:gdLst>
                            <a:gd name="connsiteX0" fmla="*/ 0 w 1487269"/>
                            <a:gd name="connsiteY0" fmla="*/ 38415 h 279719"/>
                            <a:gd name="connsiteX1" fmla="*/ 749300 w 1487269"/>
                            <a:gd name="connsiteY1" fmla="*/ 279715 h 279719"/>
                            <a:gd name="connsiteX2" fmla="*/ 1390650 w 1487269"/>
                            <a:gd name="connsiteY2" fmla="*/ 44765 h 279719"/>
                            <a:gd name="connsiteX3" fmla="*/ 1473200 w 1487269"/>
                            <a:gd name="connsiteY3" fmla="*/ 315 h 279719"/>
                          </a:gdLst>
                          <a:ahLst/>
                          <a:cxnLst>
                            <a:cxn ang="0">
                              <a:pos x="connsiteX0" y="connsiteY0"/>
                            </a:cxn>
                            <a:cxn ang="0">
                              <a:pos x="connsiteX1" y="connsiteY1"/>
                            </a:cxn>
                            <a:cxn ang="0">
                              <a:pos x="connsiteX2" y="connsiteY2"/>
                            </a:cxn>
                            <a:cxn ang="0">
                              <a:pos x="connsiteX3" y="connsiteY3"/>
                            </a:cxn>
                          </a:cxnLst>
                          <a:rect l="l" t="t" r="r" b="b"/>
                          <a:pathLst>
                            <a:path w="1487269" h="279719">
                              <a:moveTo>
                                <a:pt x="0" y="38415"/>
                              </a:moveTo>
                              <a:cubicBezTo>
                                <a:pt x="258762" y="158536"/>
                                <a:pt x="517525" y="278657"/>
                                <a:pt x="749300" y="279715"/>
                              </a:cubicBezTo>
                              <a:cubicBezTo>
                                <a:pt x="981075" y="280773"/>
                                <a:pt x="1270000" y="91332"/>
                                <a:pt x="1390650" y="44765"/>
                              </a:cubicBezTo>
                              <a:cubicBezTo>
                                <a:pt x="1511300" y="-1802"/>
                                <a:pt x="1492250" y="-744"/>
                                <a:pt x="1473200" y="315"/>
                              </a:cubicBezTo>
                            </a:path>
                          </a:pathLst>
                        </a:custGeom>
                        <a:noFill/>
                        <a:ln w="9525">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678B9" id="Freeform 404" o:spid="_x0000_s1026" style="position:absolute;margin-left:142pt;margin-top:5.45pt;width:150.5pt;height:34.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7269,27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" path="m,38415c258762,158536,517525,278657,749300,279715,981075,280773,1270000,91332,1390650,44765,1511300,-1802,1492250,-744,1473200,315e" filled="f" strokecolor="#a5a5a5 [2092]">
                <v:path arrowok="t" o:connecttype="custom" o:connectlocs="0,60173;962956,438144;1787181,70120;1893269,493" o:connectangles="0,0,0,0"/>
              </v:shape>
            </w:pict>
          </mc:Fallback>
        </mc:AlternateContent>
      </w:r>
      <w:r w:rsidR="00F55E10" w:rsidRPr="0091055D">
        <w:rPr>
          <w:rFonts w:ascii="Arial" w:hAnsi="Arial" w:cs="Arial"/>
          <w:noProof/>
          <w:lang w:eastAsia="zh-CN"/>
        </w:rPr>
        <mc:AlternateContent>
          <mc:Choice Requires="wps">
            <w:drawing>
              <wp:anchor distT="0" distB="0" distL="114300" distR="114300" simplePos="0" relativeHeight="250651136" behindDoc="0" locked="0" layoutInCell="1" allowOverlap="1" wp14:anchorId="246AAC88" wp14:editId="2B699887">
                <wp:simplePos x="0" y="0"/>
                <wp:positionH relativeFrom="column">
                  <wp:posOffset>2152650</wp:posOffset>
                </wp:positionH>
                <wp:positionV relativeFrom="paragraph">
                  <wp:posOffset>-635</wp:posOffset>
                </wp:positionV>
                <wp:extent cx="1758950" cy="349250"/>
                <wp:effectExtent l="0" t="0" r="0" b="0"/>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49250"/>
                        </a:xfrm>
                        <a:prstGeom prst="rect">
                          <a:avLst/>
                        </a:prstGeom>
                        <a:solidFill>
                          <a:srgbClr val="FFFFFF"/>
                        </a:solidFill>
                        <a:ln w="9525">
                          <a:noFill/>
                          <a:miter lim="800000"/>
                          <a:headEnd/>
                          <a:tailEnd/>
                        </a:ln>
                      </wps:spPr>
                      <wps:txbx>
                        <w:txbxContent>
                          <w:p w:rsidR="004166BC" w:rsidRPr="0091055D" w:rsidRDefault="004166BC" w:rsidP="00F55E10">
                            <w:pPr>
                              <w:rPr>
                                <w:sz w:val="16"/>
                                <w:szCs w:val="16"/>
                              </w:rPr>
                            </w:pPr>
                            <w:r>
                              <w:rPr>
                                <w:sz w:val="16"/>
                                <w:szCs w:val="16"/>
                              </w:rPr>
                              <w:t>Triple helix formation in the endoplasmic reticulum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AAC88" id="_x0000_s1080" type="#_x0000_t202" style="position:absolute;margin-left:169.5pt;margin-top:-.05pt;width:138.5pt;height:27.5pt;z-index:2506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" stroked="f">
                <v:textbox>
                  <w:txbxContent>
                    <w:p w:rsidR="004166BC" w:rsidRPr="0091055D" w:rsidRDefault="004166BC" w:rsidP="00F55E10">
                      <w:pPr>
                        <w:rPr>
                          <w:sz w:val="16"/>
                          <w:szCs w:val="16"/>
                        </w:rPr>
                      </w:pPr>
                      <w:r>
                        <w:rPr>
                          <w:sz w:val="16"/>
                          <w:szCs w:val="16"/>
                        </w:rPr>
                        <w:t>Triple helix formation in the endoplasmic reticulum</w:t>
                      </w:r>
                    </w:p>
                  </w:txbxContent>
                </v:textbox>
              </v:shape>
            </w:pict>
          </mc:Fallback>
        </mc:AlternateContent>
      </w:r>
    </w:p>
    <w:p w:rsidR="00462E04" w:rsidRDefault="00F55E10" w:rsidP="00900F2C">
      <w:pPr>
        <w:spacing w:line="360" w:lineRule="auto"/>
        <w:rPr>
          <w:rFonts w:ascii="Arial" w:hAnsi="Arial" w:cs="Arial"/>
        </w:rPr>
      </w:pPr>
      <w:r w:rsidRPr="0091055D">
        <w:rPr>
          <w:rFonts w:ascii="Arial" w:hAnsi="Arial" w:cs="Arial"/>
          <w:noProof/>
          <w:lang w:eastAsia="zh-CN"/>
        </w:rPr>
        <mc:AlternateContent>
          <mc:Choice Requires="wps">
            <w:drawing>
              <wp:anchor distT="0" distB="0" distL="114300" distR="114300" simplePos="0" relativeHeight="250388992" behindDoc="0" locked="0" layoutInCell="1" allowOverlap="1" wp14:anchorId="0D0D3296" wp14:editId="4E5A592B">
                <wp:simplePos x="0" y="0"/>
                <wp:positionH relativeFrom="column">
                  <wp:posOffset>2241550</wp:posOffset>
                </wp:positionH>
                <wp:positionV relativeFrom="paragraph">
                  <wp:posOffset>349250</wp:posOffset>
                </wp:positionV>
                <wp:extent cx="1162050" cy="273050"/>
                <wp:effectExtent l="0" t="0" r="0" b="0"/>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3050"/>
                        </a:xfrm>
                        <a:prstGeom prst="rect">
                          <a:avLst/>
                        </a:prstGeom>
                        <a:solidFill>
                          <a:srgbClr val="FFFFFF"/>
                        </a:solidFill>
                        <a:ln w="9525">
                          <a:noFill/>
                          <a:miter lim="800000"/>
                          <a:headEnd/>
                          <a:tailEnd/>
                        </a:ln>
                      </wps:spPr>
                      <wps:txbx>
                        <w:txbxContent>
                          <w:p w:rsidR="004166BC" w:rsidRPr="0091055D" w:rsidRDefault="004166BC" w:rsidP="00F55E10">
                            <w:pPr>
                              <w:rPr>
                                <w:sz w:val="16"/>
                                <w:szCs w:val="16"/>
                              </w:rPr>
                            </w:pPr>
                            <w:r>
                              <w:rPr>
                                <w:sz w:val="16"/>
                                <w:szCs w:val="16"/>
                              </w:rPr>
                              <w:t>Extracellular Matrix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D3296" id="_x0000_s1081" type="#_x0000_t202" style="position:absolute;margin-left:176.5pt;margin-top:27.5pt;width:91.5pt;height:21.5pt;z-index:2503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" stroked="f">
                <v:textbox>
                  <w:txbxContent>
                    <w:p w:rsidR="004166BC" w:rsidRPr="0091055D" w:rsidRDefault="004166BC" w:rsidP="00F55E10">
                      <w:pPr>
                        <w:rPr>
                          <w:sz w:val="16"/>
                          <w:szCs w:val="16"/>
                        </w:rPr>
                      </w:pPr>
                      <w:r>
                        <w:rPr>
                          <w:sz w:val="16"/>
                          <w:szCs w:val="16"/>
                        </w:rPr>
                        <w:t>Extracellular Matrix</w:t>
                      </w:r>
                    </w:p>
                  </w:txbxContent>
                </v:textbox>
              </v:shape>
            </w:pict>
          </mc:Fallback>
        </mc:AlternateContent>
      </w:r>
      <w:r w:rsidRPr="0091055D">
        <w:rPr>
          <w:rFonts w:ascii="Arial" w:hAnsi="Arial" w:cs="Arial"/>
          <w:noProof/>
          <w:lang w:eastAsia="zh-CN"/>
        </w:rPr>
        <mc:AlternateContent>
          <mc:Choice Requires="wps">
            <w:drawing>
              <wp:anchor distT="0" distB="0" distL="114300" distR="114300" simplePos="0" relativeHeight="250744320" behindDoc="0" locked="0" layoutInCell="1" allowOverlap="1" wp14:anchorId="7B1B94B1" wp14:editId="6C2454D7">
                <wp:simplePos x="0" y="0"/>
                <wp:positionH relativeFrom="column">
                  <wp:posOffset>241300</wp:posOffset>
                </wp:positionH>
                <wp:positionV relativeFrom="paragraph">
                  <wp:posOffset>196850</wp:posOffset>
                </wp:positionV>
                <wp:extent cx="1162050" cy="273050"/>
                <wp:effectExtent l="0" t="0" r="0" b="0"/>
                <wp:wrapNone/>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3050"/>
                        </a:xfrm>
                        <a:prstGeom prst="rect">
                          <a:avLst/>
                        </a:prstGeom>
                        <a:solidFill>
                          <a:srgbClr val="FFFFFF"/>
                        </a:solidFill>
                        <a:ln w="9525">
                          <a:noFill/>
                          <a:miter lim="800000"/>
                          <a:headEnd/>
                          <a:tailEnd/>
                        </a:ln>
                      </wps:spPr>
                      <wps:txbx>
                        <w:txbxContent>
                          <w:p w:rsidR="004166BC" w:rsidRPr="0091055D" w:rsidRDefault="004166BC" w:rsidP="00462E04">
                            <w:pPr>
                              <w:rPr>
                                <w:sz w:val="16"/>
                                <w:szCs w:val="16"/>
                              </w:rPr>
                            </w:pPr>
                            <w:r>
                              <w:rPr>
                                <w:sz w:val="16"/>
                                <w:szCs w:val="16"/>
                              </w:rPr>
                              <w:t>Plasma membrane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B94B1" id="_x0000_s1082" type="#_x0000_t202" style="position:absolute;margin-left:19pt;margin-top:15.5pt;width:91.5pt;height:21.5pt;z-index:2507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" stroked="f">
                <v:textbox>
                  <w:txbxContent>
                    <w:p w:rsidR="004166BC" w:rsidRPr="0091055D" w:rsidRDefault="004166BC" w:rsidP="00462E04">
                      <w:pPr>
                        <w:rPr>
                          <w:sz w:val="16"/>
                          <w:szCs w:val="16"/>
                        </w:rPr>
                      </w:pPr>
                      <w:r>
                        <w:rPr>
                          <w:sz w:val="16"/>
                          <w:szCs w:val="16"/>
                        </w:rPr>
                        <w:t>Plasma membrane</w:t>
                      </w:r>
                    </w:p>
                  </w:txbxContent>
                </v:textbox>
              </v:shape>
            </w:pict>
          </mc:Fallback>
        </mc:AlternateContent>
      </w:r>
      <w:r>
        <w:rPr>
          <w:rFonts w:ascii="Arial" w:hAnsi="Arial" w:cs="Arial"/>
          <w:noProof/>
          <w:lang w:eastAsia="zh-CN"/>
        </w:rPr>
        <mc:AlternateContent>
          <mc:Choice Requires="wps">
            <w:drawing>
              <wp:anchor distT="0" distB="0" distL="114300" distR="114300" simplePos="0" relativeHeight="251931136" behindDoc="0" locked="0" layoutInCell="1" allowOverlap="1" wp14:anchorId="48D7B6C3" wp14:editId="168B3E05">
                <wp:simplePos x="0" y="0"/>
                <wp:positionH relativeFrom="column">
                  <wp:posOffset>1206500</wp:posOffset>
                </wp:positionH>
                <wp:positionV relativeFrom="paragraph">
                  <wp:posOffset>304800</wp:posOffset>
                </wp:positionV>
                <wp:extent cx="3009900" cy="0"/>
                <wp:effectExtent l="0" t="0" r="19050" b="19050"/>
                <wp:wrapNone/>
                <wp:docPr id="400" name="Straight Connector 400"/>
                <wp:cNvGraphicFramePr/>
                <a:graphic xmlns:a="http://schemas.openxmlformats.org/drawingml/2006/main">
                  <a:graphicData uri="http://schemas.microsoft.com/office/word/2010/wordprocessingShape">
                    <wps:wsp>
                      <wps:cNvCnPr/>
                      <wps:spPr>
                        <a:xfrm>
                          <a:off x="0" y="0"/>
                          <a:ext cx="30099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C5D67F" id="Straight Connector 400" o:spid="_x0000_s1026" style="position:absolute;z-index:25193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24pt" to="33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" strokecolor="#7f7f7f [1612]"/>
            </w:pict>
          </mc:Fallback>
        </mc:AlternateContent>
      </w:r>
    </w:p>
    <w:p w:rsidR="00462E04" w:rsidRDefault="00462E04" w:rsidP="00900F2C">
      <w:pPr>
        <w:spacing w:line="360" w:lineRule="auto"/>
        <w:rPr>
          <w:rFonts w:ascii="Arial" w:hAnsi="Arial" w:cs="Arial"/>
        </w:rPr>
      </w:pPr>
    </w:p>
    <w:p w:rsidR="00380C19" w:rsidRDefault="005471C1" w:rsidP="009D3BB6">
      <w:pPr>
        <w:spacing w:line="360" w:lineRule="auto"/>
        <w:jc w:val="center"/>
        <w:rPr>
          <w:rFonts w:ascii="Arial" w:hAnsi="Arial" w:cs="Arial"/>
        </w:rPr>
      </w:pPr>
      <w:r w:rsidRPr="0091055D">
        <w:rPr>
          <w:rFonts w:ascii="Arial" w:hAnsi="Arial" w:cs="Arial"/>
          <w:noProof/>
          <w:lang w:eastAsia="zh-CN"/>
        </w:rPr>
        <mc:AlternateContent>
          <mc:Choice Requires="wps">
            <w:drawing>
              <wp:anchor distT="0" distB="0" distL="114300" distR="114300" simplePos="0" relativeHeight="251036160" behindDoc="0" locked="0" layoutInCell="1" allowOverlap="1" wp14:anchorId="76D6FDDC" wp14:editId="30D5DC08">
                <wp:simplePos x="0" y="0"/>
                <wp:positionH relativeFrom="column">
                  <wp:posOffset>3970020</wp:posOffset>
                </wp:positionH>
                <wp:positionV relativeFrom="paragraph">
                  <wp:posOffset>1051560</wp:posOffset>
                </wp:positionV>
                <wp:extent cx="1190625" cy="273050"/>
                <wp:effectExtent l="0" t="0" r="9525" b="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73050"/>
                        </a:xfrm>
                        <a:prstGeom prst="rect">
                          <a:avLst/>
                        </a:prstGeom>
                        <a:solidFill>
                          <a:srgbClr val="FFFFFF"/>
                        </a:solidFill>
                        <a:ln w="9525">
                          <a:noFill/>
                          <a:miter lim="800000"/>
                          <a:headEnd/>
                          <a:tailEnd/>
                        </a:ln>
                      </wps:spPr>
                      <wps:txbx>
                        <w:txbxContent>
                          <w:p w:rsidR="004166BC" w:rsidRPr="0091055D" w:rsidRDefault="004166BC" w:rsidP="0091055D">
                            <w:pPr>
                              <w:rPr>
                                <w:sz w:val="16"/>
                                <w:szCs w:val="16"/>
                              </w:rPr>
                            </w:pPr>
                            <w:proofErr w:type="gramStart"/>
                            <w:r>
                              <w:rPr>
                                <w:sz w:val="16"/>
                                <w:szCs w:val="16"/>
                              </w:rPr>
                              <w:t>α1</w:t>
                            </w:r>
                            <w:proofErr w:type="gramEnd"/>
                            <w:r>
                              <w:rPr>
                                <w:sz w:val="16"/>
                                <w:szCs w:val="16"/>
                              </w:rPr>
                              <w:t xml:space="preserve"> chain and α2 chains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6FDDC" id="_x0000_s1083" type="#_x0000_t202" style="position:absolute;left:0;text-align:left;margin-left:312.6pt;margin-top:82.8pt;width:93.75pt;height:21.5pt;z-index:2510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" stroked="f">
                <v:textbox>
                  <w:txbxContent>
                    <w:p w:rsidR="004166BC" w:rsidRPr="0091055D" w:rsidRDefault="004166BC" w:rsidP="0091055D">
                      <w:pPr>
                        <w:rPr>
                          <w:sz w:val="16"/>
                          <w:szCs w:val="16"/>
                        </w:rPr>
                      </w:pPr>
                      <w:r>
                        <w:rPr>
                          <w:sz w:val="16"/>
                          <w:szCs w:val="16"/>
                        </w:rPr>
                        <w:t>α1 chain and α2 chains</w:t>
                      </w:r>
                    </w:p>
                  </w:txbxContent>
                </v:textbox>
              </v:shape>
            </w:pict>
          </mc:Fallback>
        </mc:AlternateContent>
      </w:r>
      <w:r w:rsidR="009A6D18" w:rsidRPr="0091055D">
        <w:rPr>
          <w:rFonts w:ascii="Arial" w:hAnsi="Arial" w:cs="Arial"/>
          <w:noProof/>
          <w:lang w:eastAsia="zh-CN"/>
        </w:rPr>
        <mc:AlternateContent>
          <mc:Choice Requires="wps">
            <w:drawing>
              <wp:anchor distT="0" distB="0" distL="114300" distR="114300" simplePos="0" relativeHeight="250946048" behindDoc="0" locked="0" layoutInCell="1" allowOverlap="1" wp14:anchorId="1766E32B" wp14:editId="6125AE4D">
                <wp:simplePos x="0" y="0"/>
                <wp:positionH relativeFrom="column">
                  <wp:posOffset>259080</wp:posOffset>
                </wp:positionH>
                <wp:positionV relativeFrom="paragraph">
                  <wp:posOffset>260350</wp:posOffset>
                </wp:positionV>
                <wp:extent cx="774700" cy="273050"/>
                <wp:effectExtent l="0" t="0" r="635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273050"/>
                        </a:xfrm>
                        <a:prstGeom prst="rect">
                          <a:avLst/>
                        </a:prstGeom>
                        <a:solidFill>
                          <a:srgbClr val="FFFFFF"/>
                        </a:solidFill>
                        <a:ln w="9525">
                          <a:noFill/>
                          <a:miter lim="800000"/>
                          <a:headEnd/>
                          <a:tailEnd/>
                        </a:ln>
                      </wps:spPr>
                      <wps:txbx>
                        <w:txbxContent>
                          <w:p w:rsidR="004166BC" w:rsidRPr="0091055D" w:rsidRDefault="004166BC">
                            <w:pPr>
                              <w:rPr>
                                <w:sz w:val="16"/>
                                <w:szCs w:val="16"/>
                              </w:rPr>
                            </w:pPr>
                            <w:r w:rsidRPr="0091055D">
                              <w:rPr>
                                <w:sz w:val="16"/>
                                <w:szCs w:val="16"/>
                              </w:rPr>
                              <w:t>Procollagen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6E32B" id="_x0000_s1084" type="#_x0000_t202" style="position:absolute;left:0;text-align:left;margin-left:20.4pt;margin-top:20.5pt;width:61pt;height:21.5pt;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" stroked="f">
                <v:textbox>
                  <w:txbxContent>
                    <w:p w:rsidR="004166BC" w:rsidRPr="0091055D" w:rsidRDefault="004166BC">
                      <w:pPr>
                        <w:rPr>
                          <w:sz w:val="16"/>
                          <w:szCs w:val="16"/>
                        </w:rPr>
                      </w:pPr>
                      <w:r w:rsidRPr="0091055D">
                        <w:rPr>
                          <w:sz w:val="16"/>
                          <w:szCs w:val="16"/>
                        </w:rPr>
                        <w:t>Procollagen</w:t>
                      </w:r>
                    </w:p>
                  </w:txbxContent>
                </v:textbox>
              </v:shape>
            </w:pict>
          </mc:Fallback>
        </mc:AlternateContent>
      </w:r>
      <w:r w:rsidR="00F55E10">
        <w:rPr>
          <w:rFonts w:ascii="Arial" w:hAnsi="Arial" w:cs="Arial"/>
          <w:noProof/>
          <w:lang w:eastAsia="zh-CN"/>
        </w:rPr>
        <mc:AlternateContent>
          <mc:Choice Requires="wps">
            <w:drawing>
              <wp:anchor distT="0" distB="0" distL="114300" distR="114300" simplePos="0" relativeHeight="252184064" behindDoc="0" locked="0" layoutInCell="1" allowOverlap="1" wp14:anchorId="7D9CBD53" wp14:editId="011814F0">
                <wp:simplePos x="0" y="0"/>
                <wp:positionH relativeFrom="column">
                  <wp:posOffset>2813050</wp:posOffset>
                </wp:positionH>
                <wp:positionV relativeFrom="paragraph">
                  <wp:posOffset>718185</wp:posOffset>
                </wp:positionV>
                <wp:extent cx="6350" cy="285750"/>
                <wp:effectExtent l="76200" t="0" r="69850" b="57150"/>
                <wp:wrapNone/>
                <wp:docPr id="408" name="Straight Arrow Connector 408"/>
                <wp:cNvGraphicFramePr/>
                <a:graphic xmlns:a="http://schemas.openxmlformats.org/drawingml/2006/main">
                  <a:graphicData uri="http://schemas.microsoft.com/office/word/2010/wordprocessingShape">
                    <wps:wsp>
                      <wps:cNvCnPr/>
                      <wps:spPr>
                        <a:xfrm>
                          <a:off x="0" y="0"/>
                          <a:ext cx="6350" cy="285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4902C" id="Straight Arrow Connector 408" o:spid="_x0000_s1026" type="#_x0000_t32" style="position:absolute;margin-left:221.5pt;margin-top:56.55pt;width:.5pt;height:22.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" strokecolor="black [3213]">
                <v:stroke endarrow="open"/>
              </v:shape>
            </w:pict>
          </mc:Fallback>
        </mc:AlternateContent>
      </w:r>
      <w:r w:rsidR="00D2182A" w:rsidRPr="00D2182A">
        <w:rPr>
          <w:noProof/>
          <w:lang w:eastAsia="zh-CN"/>
        </w:rPr>
        <w:drawing>
          <wp:inline distT="0" distB="0" distL="0" distR="0" wp14:anchorId="13E7F15D" wp14:editId="44233CC6">
            <wp:extent cx="3435350" cy="845257"/>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437727" cy="845842"/>
                    </a:xfrm>
                    <a:prstGeom prst="rect">
                      <a:avLst/>
                    </a:prstGeom>
                  </pic:spPr>
                </pic:pic>
              </a:graphicData>
            </a:graphic>
          </wp:inline>
        </w:drawing>
      </w:r>
    </w:p>
    <w:p w:rsidR="00D2182A" w:rsidRDefault="00FE36C6" w:rsidP="009D3BB6">
      <w:pPr>
        <w:spacing w:line="360" w:lineRule="auto"/>
        <w:jc w:val="center"/>
        <w:rPr>
          <w:rFonts w:ascii="Arial" w:hAnsi="Arial" w:cs="Arial"/>
        </w:rPr>
      </w:pPr>
      <w:r w:rsidRPr="0091055D">
        <w:rPr>
          <w:rFonts w:ascii="Arial" w:hAnsi="Arial" w:cs="Arial"/>
          <w:noProof/>
          <w:lang w:eastAsia="zh-CN"/>
        </w:rPr>
        <mc:AlternateContent>
          <mc:Choice Requires="wps">
            <w:drawing>
              <wp:anchor distT="0" distB="0" distL="114300" distR="114300" simplePos="0" relativeHeight="252540416" behindDoc="0" locked="0" layoutInCell="1" allowOverlap="1" wp14:anchorId="16DF61EB" wp14:editId="12BC3869">
                <wp:simplePos x="0" y="0"/>
                <wp:positionH relativeFrom="column">
                  <wp:posOffset>1697025</wp:posOffset>
                </wp:positionH>
                <wp:positionV relativeFrom="paragraph">
                  <wp:posOffset>447040</wp:posOffset>
                </wp:positionV>
                <wp:extent cx="1282700" cy="196850"/>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6850"/>
                        </a:xfrm>
                        <a:prstGeom prst="rect">
                          <a:avLst/>
                        </a:prstGeom>
                        <a:solidFill>
                          <a:srgbClr val="FFFFFF"/>
                        </a:solidFill>
                        <a:ln w="9525">
                          <a:noFill/>
                          <a:miter lim="800000"/>
                          <a:headEnd/>
                          <a:tailEnd/>
                        </a:ln>
                      </wps:spPr>
                      <wps:txbx>
                        <w:txbxContent>
                          <w:p w:rsidR="004166BC" w:rsidRPr="00462E04" w:rsidRDefault="004166BC" w:rsidP="00FE36C6">
                            <w:pPr>
                              <w:rPr>
                                <w:sz w:val="12"/>
                                <w:szCs w:val="12"/>
                              </w:rPr>
                            </w:pPr>
                            <w:r>
                              <w:rPr>
                                <w:sz w:val="12"/>
                                <w:szCs w:val="12"/>
                              </w:rPr>
                              <w:t xml:space="preserve">NTX epitope: </w:t>
                            </w:r>
                            <w:r w:rsidRPr="001F47C2">
                              <w:rPr>
                                <w:sz w:val="12"/>
                                <w:szCs w:val="12"/>
                              </w:rPr>
                              <w:t>JYDGKGVG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F61EB" id="_x0000_s1085" type="#_x0000_t202" style="position:absolute;left:0;text-align:left;margin-left:133.6pt;margin-top:35.2pt;width:101pt;height:15.5pt;z-index:25254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" stroked="f">
                <v:textbox>
                  <w:txbxContent>
                    <w:p w:rsidR="004166BC" w:rsidRPr="00462E04" w:rsidRDefault="004166BC" w:rsidP="00FE36C6">
                      <w:pPr>
                        <w:rPr>
                          <w:sz w:val="12"/>
                          <w:szCs w:val="12"/>
                        </w:rPr>
                      </w:pPr>
                      <w:r>
                        <w:rPr>
                          <w:sz w:val="12"/>
                          <w:szCs w:val="12"/>
                        </w:rPr>
                        <w:t xml:space="preserve">NTX epitope: </w:t>
                      </w:r>
                      <w:r w:rsidRPr="001F47C2">
                        <w:rPr>
                          <w:sz w:val="12"/>
                          <w:szCs w:val="12"/>
                        </w:rPr>
                        <w:t>JYDGKGVG</w:t>
                      </w:r>
                    </w:p>
                  </w:txbxContent>
                </v:textbox>
              </v:shape>
            </w:pict>
          </mc:Fallback>
        </mc:AlternateContent>
      </w:r>
      <w:r w:rsidR="00F55E10">
        <w:rPr>
          <w:rFonts w:ascii="Arial" w:hAnsi="Arial" w:cs="Arial"/>
          <w:noProof/>
          <w:lang w:eastAsia="zh-CN"/>
        </w:rPr>
        <mc:AlternateContent>
          <mc:Choice Requires="wps">
            <w:drawing>
              <wp:anchor distT="0" distB="0" distL="114300" distR="114300" simplePos="0" relativeHeight="253532672" behindDoc="0" locked="0" layoutInCell="1" allowOverlap="1" wp14:anchorId="59CCC4EC" wp14:editId="1FAB7517">
                <wp:simplePos x="0" y="0"/>
                <wp:positionH relativeFrom="column">
                  <wp:posOffset>2819400</wp:posOffset>
                </wp:positionH>
                <wp:positionV relativeFrom="paragraph">
                  <wp:posOffset>313055</wp:posOffset>
                </wp:positionV>
                <wp:extent cx="6350" cy="285750"/>
                <wp:effectExtent l="76200" t="0" r="69850" b="57150"/>
                <wp:wrapNone/>
                <wp:docPr id="409" name="Straight Arrow Connector 409"/>
                <wp:cNvGraphicFramePr/>
                <a:graphic xmlns:a="http://schemas.openxmlformats.org/drawingml/2006/main">
                  <a:graphicData uri="http://schemas.microsoft.com/office/word/2010/wordprocessingShape">
                    <wps:wsp>
                      <wps:cNvCnPr/>
                      <wps:spPr>
                        <a:xfrm>
                          <a:off x="0" y="0"/>
                          <a:ext cx="6350" cy="285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1D8C3" id="Straight Arrow Connector 409" o:spid="_x0000_s1026" type="#_x0000_t32" style="position:absolute;margin-left:222pt;margin-top:24.65pt;width:.5pt;height:22.5pt;z-index:2535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" strokecolor="black [3213]">
                <v:stroke endarrow="open"/>
              </v:shape>
            </w:pict>
          </mc:Fallback>
        </mc:AlternateContent>
      </w:r>
      <w:r w:rsidR="00462E04" w:rsidRPr="0091055D">
        <w:rPr>
          <w:rFonts w:ascii="Arial" w:hAnsi="Arial" w:cs="Arial"/>
          <w:noProof/>
          <w:lang w:eastAsia="zh-CN"/>
        </w:rPr>
        <mc:AlternateContent>
          <mc:Choice Requires="wps">
            <w:drawing>
              <wp:anchor distT="0" distB="0" distL="114300" distR="114300" simplePos="0" relativeHeight="250833408" behindDoc="0" locked="0" layoutInCell="1" allowOverlap="1" wp14:anchorId="0FB7C7A7" wp14:editId="18731269">
                <wp:simplePos x="0" y="0"/>
                <wp:positionH relativeFrom="column">
                  <wp:posOffset>3327400</wp:posOffset>
                </wp:positionH>
                <wp:positionV relativeFrom="paragraph">
                  <wp:posOffset>439420</wp:posOffset>
                </wp:positionV>
                <wp:extent cx="1282700" cy="196850"/>
                <wp:effectExtent l="0" t="0" r="0" b="0"/>
                <wp:wrapNone/>
                <wp:docPr id="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6850"/>
                        </a:xfrm>
                        <a:prstGeom prst="rect">
                          <a:avLst/>
                        </a:prstGeom>
                        <a:solidFill>
                          <a:srgbClr val="FFFFFF"/>
                        </a:solidFill>
                        <a:ln w="9525">
                          <a:noFill/>
                          <a:miter lim="800000"/>
                          <a:headEnd/>
                          <a:tailEnd/>
                        </a:ln>
                      </wps:spPr>
                      <wps:txbx>
                        <w:txbxContent>
                          <w:p w:rsidR="004166BC" w:rsidRPr="00462E04" w:rsidRDefault="004166BC" w:rsidP="00462E04">
                            <w:pPr>
                              <w:rPr>
                                <w:sz w:val="12"/>
                                <w:szCs w:val="12"/>
                              </w:rPr>
                            </w:pPr>
                            <w:r w:rsidRPr="00462E04">
                              <w:rPr>
                                <w:sz w:val="12"/>
                                <w:szCs w:val="12"/>
                              </w:rPr>
                              <w:t xml:space="preserve">CTX epitope: </w:t>
                            </w:r>
                            <w:r w:rsidRPr="00462E04">
                              <w:rPr>
                                <w:rFonts w:cs="Arial"/>
                                <w:sz w:val="12"/>
                                <w:szCs w:val="12"/>
                                <w:vertAlign w:val="superscript"/>
                              </w:rPr>
                              <w:t>1207</w:t>
                            </w:r>
                            <w:r w:rsidRPr="00462E04">
                              <w:rPr>
                                <w:rFonts w:cs="Arial"/>
                                <w:sz w:val="12"/>
                                <w:szCs w:val="12"/>
                              </w:rPr>
                              <w:t>EKAHDGGR</w:t>
                            </w:r>
                            <w:r w:rsidRPr="00462E04">
                              <w:rPr>
                                <w:rFonts w:cs="Arial"/>
                                <w:sz w:val="12"/>
                                <w:szCs w:val="12"/>
                                <w:vertAlign w:val="superscript"/>
                              </w:rPr>
                              <w:t>1214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7C7A7" id="_x0000_s1086" type="#_x0000_t202" style="position:absolute;left:0;text-align:left;margin-left:262pt;margin-top:34.6pt;width:101pt;height:15.5pt;z-index:2508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" stroked="f">
                <v:textbox>
                  <w:txbxContent>
                    <w:p w:rsidR="004166BC" w:rsidRPr="00462E04" w:rsidRDefault="004166BC" w:rsidP="00462E04">
                      <w:pPr>
                        <w:rPr>
                          <w:sz w:val="12"/>
                          <w:szCs w:val="12"/>
                        </w:rPr>
                      </w:pPr>
                      <w:r w:rsidRPr="00462E04">
                        <w:rPr>
                          <w:sz w:val="12"/>
                          <w:szCs w:val="12"/>
                        </w:rPr>
                        <w:t xml:space="preserve">CTX epitope: </w:t>
                      </w:r>
                      <w:r w:rsidRPr="00462E04">
                        <w:rPr>
                          <w:rFonts w:cs="Arial"/>
                          <w:sz w:val="12"/>
                          <w:szCs w:val="12"/>
                          <w:vertAlign w:val="superscript"/>
                        </w:rPr>
                        <w:t>1207</w:t>
                      </w:r>
                      <w:r w:rsidRPr="00462E04">
                        <w:rPr>
                          <w:rFonts w:cs="Arial"/>
                          <w:sz w:val="12"/>
                          <w:szCs w:val="12"/>
                        </w:rPr>
                        <w:t>EKAHDGGR</w:t>
                      </w:r>
                      <w:r w:rsidRPr="00462E04">
                        <w:rPr>
                          <w:rFonts w:cs="Arial"/>
                          <w:sz w:val="12"/>
                          <w:szCs w:val="12"/>
                          <w:vertAlign w:val="superscript"/>
                        </w:rPr>
                        <w:t>1214</w:t>
                      </w:r>
                    </w:p>
                  </w:txbxContent>
                </v:textbox>
              </v:shape>
            </w:pict>
          </mc:Fallback>
        </mc:AlternateContent>
      </w:r>
      <w:r w:rsidR="00462E04">
        <w:rPr>
          <w:rFonts w:ascii="Arial" w:hAnsi="Arial" w:cs="Arial"/>
          <w:noProof/>
          <w:lang w:eastAsia="zh-CN"/>
        </w:rPr>
        <mc:AlternateContent>
          <mc:Choice Requires="wpg">
            <w:drawing>
              <wp:anchor distT="0" distB="0" distL="114300" distR="114300" simplePos="0" relativeHeight="251167232" behindDoc="0" locked="0" layoutInCell="1" allowOverlap="1" wp14:anchorId="1195F73A" wp14:editId="413A1E92">
                <wp:simplePos x="0" y="0"/>
                <wp:positionH relativeFrom="column">
                  <wp:posOffset>3752850</wp:posOffset>
                </wp:positionH>
                <wp:positionV relativeFrom="paragraph">
                  <wp:posOffset>229870</wp:posOffset>
                </wp:positionV>
                <wp:extent cx="190500" cy="260350"/>
                <wp:effectExtent l="0" t="0" r="38100" b="25400"/>
                <wp:wrapNone/>
                <wp:docPr id="385" name="Group 385"/>
                <wp:cNvGraphicFramePr/>
                <a:graphic xmlns:a="http://schemas.openxmlformats.org/drawingml/2006/main">
                  <a:graphicData uri="http://schemas.microsoft.com/office/word/2010/wordprocessingGroup">
                    <wpg:wgp>
                      <wpg:cNvGrpSpPr/>
                      <wpg:grpSpPr>
                        <a:xfrm>
                          <a:off x="0" y="0"/>
                          <a:ext cx="190500" cy="260350"/>
                          <a:chOff x="0" y="0"/>
                          <a:chExt cx="190500" cy="679450"/>
                        </a:xfrm>
                      </wpg:grpSpPr>
                      <wps:wsp>
                        <wps:cNvPr id="383" name="Straight Connector 383"/>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84" name="Straight Connector 384"/>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742101A" id="Group 385" o:spid="_x0000_s1026" style="position:absolute;margin-left:295.5pt;margin-top:18.1pt;width:15pt;height:20.5pt;z-index:251167232;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">
                <v:line id="Straight Connector 383"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" strokecolor="#bfbfbf [2412]">
                  <v:stroke dashstyle="3 1"/>
                </v:line>
                <v:line id="Straight Connector 384"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" strokecolor="#bfbfbf [2412]">
                  <v:stroke dashstyle="3 1"/>
                </v:line>
              </v:group>
            </w:pict>
          </mc:Fallback>
        </mc:AlternateContent>
      </w:r>
      <w:r w:rsidR="0091055D">
        <w:rPr>
          <w:rFonts w:ascii="Arial" w:hAnsi="Arial" w:cs="Arial"/>
          <w:noProof/>
          <w:lang w:eastAsia="zh-CN"/>
        </w:rPr>
        <mc:AlternateContent>
          <mc:Choice Requires="wps">
            <w:drawing>
              <wp:anchor distT="0" distB="0" distL="114300" distR="114300" simplePos="0" relativeHeight="251130368" behindDoc="0" locked="0" layoutInCell="1" allowOverlap="1" wp14:anchorId="6DB3B136" wp14:editId="21A24D38">
                <wp:simplePos x="0" y="0"/>
                <wp:positionH relativeFrom="column">
                  <wp:posOffset>3994150</wp:posOffset>
                </wp:positionH>
                <wp:positionV relativeFrom="paragraph">
                  <wp:posOffset>33020</wp:posOffset>
                </wp:positionV>
                <wp:extent cx="45719" cy="184150"/>
                <wp:effectExtent l="0" t="0" r="12065" b="25400"/>
                <wp:wrapNone/>
                <wp:docPr id="382" name="Right Brace 382"/>
                <wp:cNvGraphicFramePr/>
                <a:graphic xmlns:a="http://schemas.openxmlformats.org/drawingml/2006/main">
                  <a:graphicData uri="http://schemas.microsoft.com/office/word/2010/wordprocessingShape">
                    <wps:wsp>
                      <wps:cNvSpPr/>
                      <wps:spPr>
                        <a:xfrm>
                          <a:off x="0" y="0"/>
                          <a:ext cx="45719" cy="18415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3D1997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82" o:spid="_x0000_s1026" type="#_x0000_t88" style="position:absolute;margin-left:314.5pt;margin-top:2.6pt;width:3.6pt;height:14.5pt;z-index:25113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" adj="447" strokecolor="black [3213]"/>
            </w:pict>
          </mc:Fallback>
        </mc:AlternateContent>
      </w:r>
      <w:r w:rsidR="0091055D" w:rsidRPr="0091055D">
        <w:rPr>
          <w:rFonts w:ascii="Arial" w:hAnsi="Arial" w:cs="Arial"/>
          <w:noProof/>
          <w:lang w:eastAsia="zh-CN"/>
        </w:rPr>
        <mc:AlternateContent>
          <mc:Choice Requires="wps">
            <w:drawing>
              <wp:anchor distT="0" distB="0" distL="114300" distR="114300" simplePos="0" relativeHeight="251018752" behindDoc="0" locked="0" layoutInCell="1" allowOverlap="1" wp14:anchorId="6A7926B2" wp14:editId="44CE7433">
                <wp:simplePos x="0" y="0"/>
                <wp:positionH relativeFrom="column">
                  <wp:posOffset>406400</wp:posOffset>
                </wp:positionH>
                <wp:positionV relativeFrom="paragraph">
                  <wp:posOffset>1270</wp:posOffset>
                </wp:positionV>
                <wp:extent cx="933450" cy="273050"/>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3050"/>
                        </a:xfrm>
                        <a:prstGeom prst="rect">
                          <a:avLst/>
                        </a:prstGeom>
                        <a:solidFill>
                          <a:srgbClr val="FFFFFF"/>
                        </a:solidFill>
                        <a:ln w="9525">
                          <a:noFill/>
                          <a:miter lim="800000"/>
                          <a:headEnd/>
                          <a:tailEnd/>
                        </a:ln>
                      </wps:spPr>
                      <wps:txbx>
                        <w:txbxContent>
                          <w:p w:rsidR="004166BC" w:rsidRPr="0091055D" w:rsidRDefault="004166BC" w:rsidP="0091055D">
                            <w:pPr>
                              <w:rPr>
                                <w:sz w:val="16"/>
                                <w:szCs w:val="16"/>
                              </w:rPr>
                            </w:pPr>
                            <w:r>
                              <w:rPr>
                                <w:sz w:val="16"/>
                                <w:szCs w:val="16"/>
                              </w:rPr>
                              <w:t>Type I collagen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926B2" id="_x0000_s1087" type="#_x0000_t202" style="position:absolute;left:0;text-align:left;margin-left:32pt;margin-top:.1pt;width:73.5pt;height:21.5pt;z-index:2510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" stroked="f">
                <v:textbox>
                  <w:txbxContent>
                    <w:p w:rsidR="004166BC" w:rsidRPr="0091055D" w:rsidRDefault="004166BC" w:rsidP="0091055D">
                      <w:pPr>
                        <w:rPr>
                          <w:sz w:val="16"/>
                          <w:szCs w:val="16"/>
                        </w:rPr>
                      </w:pPr>
                      <w:r>
                        <w:rPr>
                          <w:sz w:val="16"/>
                          <w:szCs w:val="16"/>
                        </w:rPr>
                        <w:t>Type I collagen</w:t>
                      </w:r>
                    </w:p>
                  </w:txbxContent>
                </v:textbox>
              </v:shape>
            </w:pict>
          </mc:Fallback>
        </mc:AlternateContent>
      </w:r>
      <w:r w:rsidR="00380C19" w:rsidRPr="00380C19">
        <w:rPr>
          <w:noProof/>
          <w:lang w:eastAsia="zh-CN"/>
        </w:rPr>
        <w:drawing>
          <wp:inline distT="0" distB="0" distL="0" distR="0" wp14:anchorId="3F4C93D5" wp14:editId="77D01AE8">
            <wp:extent cx="2194582" cy="241300"/>
            <wp:effectExtent l="0" t="0" r="0" b="635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V="1">
                      <a:off x="0" y="0"/>
                      <a:ext cx="2199973" cy="241893"/>
                    </a:xfrm>
                    <a:prstGeom prst="rect">
                      <a:avLst/>
                    </a:prstGeom>
                    <a:noFill/>
                    <a:ln>
                      <a:noFill/>
                    </a:ln>
                  </pic:spPr>
                </pic:pic>
              </a:graphicData>
            </a:graphic>
          </wp:inline>
        </w:drawing>
      </w:r>
    </w:p>
    <w:p w:rsidR="00512DFA" w:rsidRDefault="001A257F" w:rsidP="00900F2C">
      <w:pPr>
        <w:spacing w:line="360" w:lineRule="auto"/>
        <w:rPr>
          <w:rFonts w:ascii="Arial" w:hAnsi="Arial" w:cs="Arial"/>
        </w:rPr>
      </w:pPr>
      <w:r>
        <w:rPr>
          <w:rFonts w:ascii="Arial" w:hAnsi="Arial" w:cs="Arial"/>
          <w:noProof/>
          <w:lang w:eastAsia="zh-CN"/>
        </w:rPr>
        <mc:AlternateContent>
          <mc:Choice Requires="wpg">
            <w:drawing>
              <wp:anchor distT="0" distB="0" distL="114300" distR="114300" simplePos="0" relativeHeight="252451328" behindDoc="0" locked="0" layoutInCell="1" allowOverlap="1" wp14:anchorId="05A52FE5" wp14:editId="2D2B102D">
                <wp:simplePos x="0" y="0"/>
                <wp:positionH relativeFrom="column">
                  <wp:posOffset>1803400</wp:posOffset>
                </wp:positionH>
                <wp:positionV relativeFrom="paragraph">
                  <wp:posOffset>290195</wp:posOffset>
                </wp:positionV>
                <wp:extent cx="1016000" cy="520700"/>
                <wp:effectExtent l="0" t="0" r="12700" b="31750"/>
                <wp:wrapNone/>
                <wp:docPr id="416" name="Group 416"/>
                <wp:cNvGraphicFramePr/>
                <a:graphic xmlns:a="http://schemas.openxmlformats.org/drawingml/2006/main">
                  <a:graphicData uri="http://schemas.microsoft.com/office/word/2010/wordprocessingGroup">
                    <wpg:wgp>
                      <wpg:cNvGrpSpPr/>
                      <wpg:grpSpPr>
                        <a:xfrm>
                          <a:off x="0" y="0"/>
                          <a:ext cx="1016000" cy="520700"/>
                          <a:chOff x="0" y="-164715"/>
                          <a:chExt cx="190500" cy="844165"/>
                        </a:xfrm>
                      </wpg:grpSpPr>
                      <wps:wsp>
                        <wps:cNvPr id="417" name="Straight Connector 417"/>
                        <wps:cNvCnPr/>
                        <wps:spPr>
                          <a:xfrm>
                            <a:off x="0" y="-164715"/>
                            <a:ext cx="107950" cy="844165"/>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418" name="Straight Connector 418"/>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C24657" id="Group 416" o:spid="_x0000_s1026" style="position:absolute;margin-left:142pt;margin-top:22.85pt;width:80pt;height:41pt;z-index:252451328;mso-width-relative:margin;mso-height-relative:margin" coordorigin=",-1647" coordsize="1905,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">
                <v:line id="Straight Connector 417" o:spid="_x0000_s1027" style="position:absolute;visibility:visible;mso-wrap-style:square" from="0,-1647"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" strokecolor="#bfbfbf [2412]">
                  <v:stroke dashstyle="3 1"/>
                </v:line>
                <v:line id="Straight Connector 418"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" strokecolor="#bfbfbf [2412]">
                  <v:stroke dashstyle="3 1"/>
                </v:line>
              </v:group>
            </w:pict>
          </mc:Fallback>
        </mc:AlternateContent>
      </w:r>
      <w:r>
        <w:rPr>
          <w:rFonts w:ascii="Arial" w:hAnsi="Arial" w:cs="Arial"/>
          <w:noProof/>
          <w:lang w:eastAsia="zh-CN"/>
        </w:rPr>
        <mc:AlternateContent>
          <mc:Choice Requires="wps">
            <w:drawing>
              <wp:anchor distT="0" distB="0" distL="114300" distR="114300" simplePos="0" relativeHeight="252323328" behindDoc="0" locked="0" layoutInCell="1" allowOverlap="1" wp14:anchorId="681859B9" wp14:editId="09370413">
                <wp:simplePos x="0" y="0"/>
                <wp:positionH relativeFrom="column">
                  <wp:posOffset>2838450</wp:posOffset>
                </wp:positionH>
                <wp:positionV relativeFrom="paragraph">
                  <wp:posOffset>353695</wp:posOffset>
                </wp:positionV>
                <wp:extent cx="0" cy="31750"/>
                <wp:effectExtent l="0" t="0" r="19050" b="25400"/>
                <wp:wrapNone/>
                <wp:docPr id="411" name="Straight Connector 411"/>
                <wp:cNvGraphicFramePr/>
                <a:graphic xmlns:a="http://schemas.openxmlformats.org/drawingml/2006/main">
                  <a:graphicData uri="http://schemas.microsoft.com/office/word/2010/wordprocessingShape">
                    <wps:wsp>
                      <wps:cNvCnPr/>
                      <wps:spPr>
                        <a:xfrm>
                          <a:off x="0" y="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57C484" id="Straight Connector 411" o:spid="_x0000_s1026" style="position:absolute;z-index:252323328;visibility:visible;mso-wrap-style:square;mso-wrap-distance-left:9pt;mso-wrap-distance-top:0;mso-wrap-distance-right:9pt;mso-wrap-distance-bottom:0;mso-position-horizontal:absolute;mso-position-horizontal-relative:text;mso-position-vertical:absolute;mso-position-vertical-relative:text" from="223.5pt,27.85pt" to="223.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" strokecolor="black [3213]"/>
            </w:pict>
          </mc:Fallback>
        </mc:AlternateContent>
      </w:r>
      <w:r>
        <w:rPr>
          <w:rFonts w:ascii="Arial" w:hAnsi="Arial" w:cs="Arial"/>
          <w:noProof/>
          <w:lang w:eastAsia="zh-CN"/>
        </w:rPr>
        <mc:AlternateContent>
          <mc:Choice Requires="wps">
            <w:drawing>
              <wp:anchor distT="0" distB="0" distL="114300" distR="114300" simplePos="0" relativeHeight="252380672" behindDoc="0" locked="0" layoutInCell="1" allowOverlap="1" wp14:anchorId="1EA3F5AA" wp14:editId="13144D68">
                <wp:simplePos x="0" y="0"/>
                <wp:positionH relativeFrom="column">
                  <wp:posOffset>3282950</wp:posOffset>
                </wp:positionH>
                <wp:positionV relativeFrom="paragraph">
                  <wp:posOffset>353695</wp:posOffset>
                </wp:positionV>
                <wp:extent cx="0" cy="31750"/>
                <wp:effectExtent l="0" t="0" r="19050" b="25400"/>
                <wp:wrapNone/>
                <wp:docPr id="412" name="Straight Connector 412"/>
                <wp:cNvGraphicFramePr/>
                <a:graphic xmlns:a="http://schemas.openxmlformats.org/drawingml/2006/main">
                  <a:graphicData uri="http://schemas.microsoft.com/office/word/2010/wordprocessingShape">
                    <wps:wsp>
                      <wps:cNvCnPr/>
                      <wps:spPr>
                        <a:xfrm>
                          <a:off x="0" y="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69DDC0" id="Straight Connector 412" o:spid="_x0000_s1026" style="position:absolute;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5pt,27.85pt" to="258.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" strokecolor="black [3213]"/>
            </w:pict>
          </mc:Fallback>
        </mc:AlternateContent>
      </w:r>
      <w:r w:rsidR="00F55E10">
        <w:rPr>
          <w:rFonts w:ascii="Arial" w:hAnsi="Arial" w:cs="Arial"/>
          <w:noProof/>
          <w:lang w:eastAsia="zh-CN"/>
        </w:rPr>
        <mc:AlternateContent>
          <mc:Choice Requires="wps">
            <w:drawing>
              <wp:anchor distT="0" distB="0" distL="114300" distR="114300" simplePos="0" relativeHeight="252416512" behindDoc="0" locked="0" layoutInCell="1" allowOverlap="1" wp14:anchorId="0CEA4FAC" wp14:editId="13FF3881">
                <wp:simplePos x="0" y="0"/>
                <wp:positionH relativeFrom="column">
                  <wp:posOffset>4260850</wp:posOffset>
                </wp:positionH>
                <wp:positionV relativeFrom="paragraph">
                  <wp:posOffset>258445</wp:posOffset>
                </wp:positionV>
                <wp:extent cx="0" cy="31750"/>
                <wp:effectExtent l="0" t="0" r="19050" b="25400"/>
                <wp:wrapNone/>
                <wp:docPr id="413" name="Straight Connector 413"/>
                <wp:cNvGraphicFramePr/>
                <a:graphic xmlns:a="http://schemas.openxmlformats.org/drawingml/2006/main">
                  <a:graphicData uri="http://schemas.microsoft.com/office/word/2010/wordprocessingShape">
                    <wps:wsp>
                      <wps:cNvCnPr/>
                      <wps:spPr>
                        <a:xfrm>
                          <a:off x="0" y="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B10692" id="Straight Connector 413" o:spid="_x0000_s1026" style="position:absolute;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5pt,20.35pt" to="335.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" strokecolor="black [3213]"/>
            </w:pict>
          </mc:Fallback>
        </mc:AlternateContent>
      </w:r>
      <w:r w:rsidR="00F55E10">
        <w:rPr>
          <w:rFonts w:ascii="Arial" w:hAnsi="Arial" w:cs="Arial"/>
          <w:noProof/>
          <w:lang w:eastAsia="zh-CN"/>
        </w:rPr>
        <mc:AlternateContent>
          <mc:Choice Requires="wps">
            <w:drawing>
              <wp:anchor distT="0" distB="0" distL="114300" distR="114300" simplePos="0" relativeHeight="252271104" behindDoc="0" locked="0" layoutInCell="1" allowOverlap="1" wp14:anchorId="41275720" wp14:editId="1D462B30">
                <wp:simplePos x="0" y="0"/>
                <wp:positionH relativeFrom="column">
                  <wp:posOffset>1803400</wp:posOffset>
                </wp:positionH>
                <wp:positionV relativeFrom="paragraph">
                  <wp:posOffset>258445</wp:posOffset>
                </wp:positionV>
                <wp:extent cx="0" cy="31750"/>
                <wp:effectExtent l="0" t="0" r="19050" b="25400"/>
                <wp:wrapNone/>
                <wp:docPr id="410" name="Straight Connector 410"/>
                <wp:cNvGraphicFramePr/>
                <a:graphic xmlns:a="http://schemas.openxmlformats.org/drawingml/2006/main">
                  <a:graphicData uri="http://schemas.microsoft.com/office/word/2010/wordprocessingShape">
                    <wps:wsp>
                      <wps:cNvCnPr/>
                      <wps:spPr>
                        <a:xfrm>
                          <a:off x="0" y="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797C1E" id="Straight Connector 410" o:spid="_x0000_s1026" style="position:absolute;z-index:252271104;visibility:visible;mso-wrap-style:square;mso-wrap-distance-left:9pt;mso-wrap-distance-top:0;mso-wrap-distance-right:9pt;mso-wrap-distance-bottom:0;mso-position-horizontal:absolute;mso-position-horizontal-relative:text;mso-position-vertical:absolute;mso-position-vertical-relative:text" from="142pt,20.35pt" to="142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" strokecolor="black [3213]"/>
            </w:pict>
          </mc:Fallback>
        </mc:AlternateContent>
      </w:r>
      <w:r w:rsidR="00462E04" w:rsidRPr="0091055D">
        <w:rPr>
          <w:rFonts w:ascii="Arial" w:hAnsi="Arial" w:cs="Arial"/>
          <w:noProof/>
          <w:lang w:eastAsia="zh-CN"/>
        </w:rPr>
        <mc:AlternateContent>
          <mc:Choice Requires="wps">
            <w:drawing>
              <wp:anchor distT="0" distB="0" distL="114300" distR="114300" simplePos="0" relativeHeight="251796992" behindDoc="0" locked="0" layoutInCell="1" allowOverlap="1" wp14:anchorId="27F38BA2" wp14:editId="45408C5C">
                <wp:simplePos x="0" y="0"/>
                <wp:positionH relativeFrom="column">
                  <wp:posOffset>406400</wp:posOffset>
                </wp:positionH>
                <wp:positionV relativeFrom="paragraph">
                  <wp:posOffset>231775</wp:posOffset>
                </wp:positionV>
                <wp:extent cx="933450" cy="273050"/>
                <wp:effectExtent l="0" t="0" r="0" b="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3050"/>
                        </a:xfrm>
                        <a:prstGeom prst="rect">
                          <a:avLst/>
                        </a:prstGeom>
                        <a:solidFill>
                          <a:srgbClr val="FFFFFF"/>
                        </a:solidFill>
                        <a:ln w="9525">
                          <a:noFill/>
                          <a:miter lim="800000"/>
                          <a:headEnd/>
                          <a:tailEnd/>
                        </a:ln>
                      </wps:spPr>
                      <wps:txbx>
                        <w:txbxContent>
                          <w:p w:rsidR="004166BC" w:rsidRPr="0091055D" w:rsidRDefault="004166BC" w:rsidP="00462E04">
                            <w:pPr>
                              <w:rPr>
                                <w:sz w:val="16"/>
                                <w:szCs w:val="16"/>
                              </w:rPr>
                            </w:pPr>
                            <w:r>
                              <w:rPr>
                                <w:sz w:val="16"/>
                                <w:szCs w:val="16"/>
                              </w:rPr>
                              <w:t>Crosslinked Fibrils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38BA2" id="_x0000_s1088" type="#_x0000_t202" style="position:absolute;margin-left:32pt;margin-top:18.25pt;width:73.5pt;height:21.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" stroked="f">
                <v:textbox>
                  <w:txbxContent>
                    <w:p w:rsidR="004166BC" w:rsidRPr="0091055D" w:rsidRDefault="004166BC" w:rsidP="00462E04">
                      <w:pPr>
                        <w:rPr>
                          <w:sz w:val="16"/>
                          <w:szCs w:val="16"/>
                        </w:rPr>
                      </w:pPr>
                      <w:r>
                        <w:rPr>
                          <w:sz w:val="16"/>
                          <w:szCs w:val="16"/>
                        </w:rPr>
                        <w:t>Crosslinked Fibrils</w:t>
                      </w:r>
                    </w:p>
                  </w:txbxContent>
                </v:textbox>
              </v:shape>
            </w:pict>
          </mc:Fallback>
        </mc:AlternateContent>
      </w:r>
      <w:r w:rsidR="00462E04">
        <w:rPr>
          <w:rFonts w:ascii="Arial" w:hAnsi="Arial" w:cs="Arial"/>
          <w:noProof/>
          <w:lang w:eastAsia="zh-CN"/>
        </w:rPr>
        <mc:AlternateContent>
          <mc:Choice Requires="wps">
            <w:drawing>
              <wp:anchor distT="0" distB="0" distL="114300" distR="114300" simplePos="0" relativeHeight="251408896" behindDoc="0" locked="0" layoutInCell="1" allowOverlap="1" wp14:anchorId="58557C56" wp14:editId="628FE40E">
                <wp:simplePos x="0" y="0"/>
                <wp:positionH relativeFrom="column">
                  <wp:posOffset>3130550</wp:posOffset>
                </wp:positionH>
                <wp:positionV relativeFrom="paragraph">
                  <wp:posOffset>288925</wp:posOffset>
                </wp:positionV>
                <wp:extent cx="1377950" cy="63500"/>
                <wp:effectExtent l="0" t="0" r="0" b="0"/>
                <wp:wrapNone/>
                <wp:docPr id="395" name="Rectangle 395"/>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08F54" id="Rectangle 395" o:spid="_x0000_s1026" style="position:absolute;margin-left:246.5pt;margin-top:22.75pt;width:108.5pt;height:5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" fillcolor="#a5a5a5 [2092]" stroked="f" strokeweight="2pt"/>
            </w:pict>
          </mc:Fallback>
        </mc:AlternateContent>
      </w:r>
      <w:r w:rsidR="00462E04">
        <w:rPr>
          <w:rFonts w:ascii="Arial" w:hAnsi="Arial" w:cs="Arial"/>
          <w:noProof/>
          <w:lang w:eastAsia="zh-CN"/>
        </w:rPr>
        <mc:AlternateContent>
          <mc:Choice Requires="wps">
            <w:drawing>
              <wp:anchor distT="0" distB="0" distL="114300" distR="114300" simplePos="0" relativeHeight="251391488" behindDoc="0" locked="0" layoutInCell="1" allowOverlap="1" wp14:anchorId="452CCDBE" wp14:editId="62DDD800">
                <wp:simplePos x="0" y="0"/>
                <wp:positionH relativeFrom="column">
                  <wp:posOffset>2940050</wp:posOffset>
                </wp:positionH>
                <wp:positionV relativeFrom="paragraph">
                  <wp:posOffset>193675</wp:posOffset>
                </wp:positionV>
                <wp:extent cx="1377950" cy="63500"/>
                <wp:effectExtent l="0" t="0" r="0" b="0"/>
                <wp:wrapNone/>
                <wp:docPr id="394" name="Rectangle 394"/>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0C144" id="Rectangle 394" o:spid="_x0000_s1026" style="position:absolute;margin-left:231.5pt;margin-top:15.25pt;width:108.5pt;height:5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" fillcolor="#a5a5a5 [2092]" stroked="f" strokeweight="2pt"/>
            </w:pict>
          </mc:Fallback>
        </mc:AlternateContent>
      </w:r>
      <w:r w:rsidR="00462E04">
        <w:rPr>
          <w:rFonts w:ascii="Arial" w:hAnsi="Arial" w:cs="Arial"/>
          <w:noProof/>
          <w:lang w:eastAsia="zh-CN"/>
        </w:rPr>
        <mc:AlternateContent>
          <mc:Choice Requires="wps">
            <w:drawing>
              <wp:anchor distT="0" distB="0" distL="114300" distR="114300" simplePos="0" relativeHeight="251318784" behindDoc="0" locked="0" layoutInCell="1" allowOverlap="1" wp14:anchorId="73B45A01" wp14:editId="68EDC8AE">
                <wp:simplePos x="0" y="0"/>
                <wp:positionH relativeFrom="column">
                  <wp:posOffset>1689100</wp:posOffset>
                </wp:positionH>
                <wp:positionV relativeFrom="paragraph">
                  <wp:posOffset>288925</wp:posOffset>
                </wp:positionV>
                <wp:extent cx="1377950" cy="63500"/>
                <wp:effectExtent l="0" t="0" r="0" b="0"/>
                <wp:wrapNone/>
                <wp:docPr id="392" name="Rectangle 392"/>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3D9E8" id="Rectangle 392" o:spid="_x0000_s1026" style="position:absolute;margin-left:133pt;margin-top:22.75pt;width:108.5pt;height: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" fillcolor="#a5a5a5 [2092]" stroked="f" strokeweight="2pt"/>
            </w:pict>
          </mc:Fallback>
        </mc:AlternateContent>
      </w:r>
      <w:r w:rsidR="00462E04">
        <w:rPr>
          <w:rFonts w:ascii="Arial" w:hAnsi="Arial" w:cs="Arial"/>
          <w:noProof/>
          <w:lang w:eastAsia="zh-CN"/>
        </w:rPr>
        <mc:AlternateContent>
          <mc:Choice Requires="wps">
            <w:drawing>
              <wp:anchor distT="0" distB="0" distL="114300" distR="114300" simplePos="0" relativeHeight="251220480" behindDoc="0" locked="0" layoutInCell="1" allowOverlap="1" wp14:anchorId="05389FD8" wp14:editId="6858D2C5">
                <wp:simplePos x="0" y="0"/>
                <wp:positionH relativeFrom="column">
                  <wp:posOffset>1498600</wp:posOffset>
                </wp:positionH>
                <wp:positionV relativeFrom="paragraph">
                  <wp:posOffset>193675</wp:posOffset>
                </wp:positionV>
                <wp:extent cx="1377950" cy="63500"/>
                <wp:effectExtent l="0" t="0" r="0" b="0"/>
                <wp:wrapNone/>
                <wp:docPr id="391" name="Rectangle 391"/>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FE201" id="Rectangle 391" o:spid="_x0000_s1026" style="position:absolute;margin-left:118pt;margin-top:15.25pt;width:108.5pt;height:5pt;z-index:2512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" fillcolor="#a5a5a5 [2092]" stroked="f" strokeweight="2pt"/>
            </w:pict>
          </mc:Fallback>
        </mc:AlternateContent>
      </w:r>
    </w:p>
    <w:p w:rsidR="0091055D" w:rsidRPr="00512DFA" w:rsidRDefault="00462E04" w:rsidP="00900F2C">
      <w:pPr>
        <w:spacing w:line="240" w:lineRule="auto"/>
        <w:ind w:left="2160" w:firstLine="405"/>
        <w:rPr>
          <w:rFonts w:ascii="Arial" w:hAnsi="Arial" w:cs="Arial"/>
        </w:rPr>
      </w:pPr>
      <w:r>
        <w:rPr>
          <w:rFonts w:ascii="Arial" w:hAnsi="Arial" w:cs="Arial"/>
          <w:noProof/>
          <w:lang w:eastAsia="zh-CN"/>
        </w:rPr>
        <mc:AlternateContent>
          <mc:Choice Requires="wps">
            <w:drawing>
              <wp:anchor distT="0" distB="0" distL="114300" distR="114300" simplePos="0" relativeHeight="251689472" behindDoc="0" locked="0" layoutInCell="1" allowOverlap="1" wp14:anchorId="329ABD56" wp14:editId="755E6A0D">
                <wp:simplePos x="0" y="0"/>
                <wp:positionH relativeFrom="column">
                  <wp:posOffset>2959100</wp:posOffset>
                </wp:positionH>
                <wp:positionV relativeFrom="paragraph">
                  <wp:posOffset>16510</wp:posOffset>
                </wp:positionV>
                <wp:extent cx="1377950" cy="63500"/>
                <wp:effectExtent l="0" t="0" r="0" b="0"/>
                <wp:wrapNone/>
                <wp:docPr id="396" name="Rectangle 396"/>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2D53B" id="Rectangle 396" o:spid="_x0000_s1026" style="position:absolute;margin-left:233pt;margin-top:1.3pt;width:108.5pt;height: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" fillcolor="#a5a5a5 [2092]" stroked="f" strokeweight="2pt"/>
            </w:pict>
          </mc:Fallback>
        </mc:AlternateContent>
      </w:r>
      <w:r>
        <w:rPr>
          <w:rFonts w:ascii="Arial" w:hAnsi="Arial" w:cs="Arial"/>
          <w:noProof/>
          <w:lang w:eastAsia="zh-CN"/>
        </w:rPr>
        <mc:AlternateContent>
          <mc:Choice Requires="wps">
            <w:drawing>
              <wp:anchor distT="0" distB="0" distL="114300" distR="114300" simplePos="0" relativeHeight="251355648" behindDoc="0" locked="0" layoutInCell="1" allowOverlap="1" wp14:anchorId="42175E72" wp14:editId="158F20A5">
                <wp:simplePos x="0" y="0"/>
                <wp:positionH relativeFrom="column">
                  <wp:posOffset>1530350</wp:posOffset>
                </wp:positionH>
                <wp:positionV relativeFrom="paragraph">
                  <wp:posOffset>22860</wp:posOffset>
                </wp:positionV>
                <wp:extent cx="1377950" cy="63500"/>
                <wp:effectExtent l="0" t="0" r="0" b="0"/>
                <wp:wrapNone/>
                <wp:docPr id="393" name="Rectangle 393"/>
                <wp:cNvGraphicFramePr/>
                <a:graphic xmlns:a="http://schemas.openxmlformats.org/drawingml/2006/main">
                  <a:graphicData uri="http://schemas.microsoft.com/office/word/2010/wordprocessingShape">
                    <wps:wsp>
                      <wps:cNvSpPr/>
                      <wps:spPr>
                        <a:xfrm>
                          <a:off x="0" y="0"/>
                          <a:ext cx="1377950" cy="635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47328" id="Rectangle 393" o:spid="_x0000_s1026" style="position:absolute;margin-left:120.5pt;margin-top:1.8pt;width:108.5pt;height: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" fillcolor="#a5a5a5 [2092]" stroked="f" strokeweight="2pt"/>
            </w:pict>
          </mc:Fallback>
        </mc:AlternateContent>
      </w:r>
    </w:p>
    <w:p w:rsidR="0091055D" w:rsidRDefault="001A257F" w:rsidP="00900F2C">
      <w:pPr>
        <w:spacing w:line="240" w:lineRule="auto"/>
        <w:rPr>
          <w:rFonts w:ascii="Arial" w:hAnsi="Arial" w:cs="Arial"/>
        </w:rPr>
      </w:pPr>
      <w:r w:rsidRPr="0091055D">
        <w:rPr>
          <w:rFonts w:ascii="Arial" w:hAnsi="Arial" w:cs="Arial"/>
          <w:noProof/>
          <w:lang w:eastAsia="zh-CN"/>
        </w:rPr>
        <mc:AlternateContent>
          <mc:Choice Requires="wps">
            <w:drawing>
              <wp:anchor distT="0" distB="0" distL="114300" distR="114300" simplePos="0" relativeHeight="250315264" behindDoc="0" locked="0" layoutInCell="1" allowOverlap="1" wp14:anchorId="2EE41CA1" wp14:editId="002B194B">
                <wp:simplePos x="0" y="0"/>
                <wp:positionH relativeFrom="column">
                  <wp:posOffset>1676400</wp:posOffset>
                </wp:positionH>
                <wp:positionV relativeFrom="paragraph">
                  <wp:posOffset>111125</wp:posOffset>
                </wp:positionV>
                <wp:extent cx="1492250" cy="311150"/>
                <wp:effectExtent l="0" t="0" r="0" b="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311150"/>
                        </a:xfrm>
                        <a:prstGeom prst="rect">
                          <a:avLst/>
                        </a:prstGeom>
                        <a:solidFill>
                          <a:srgbClr val="FFFFFF"/>
                        </a:solidFill>
                        <a:ln w="9525">
                          <a:noFill/>
                          <a:miter lim="800000"/>
                          <a:headEnd/>
                          <a:tailEnd/>
                        </a:ln>
                      </wps:spPr>
                      <wps:txbx>
                        <w:txbxContent>
                          <w:p w:rsidR="004166BC" w:rsidRPr="00862284" w:rsidRDefault="004166BC" w:rsidP="00862284">
                            <w:pPr>
                              <w:jc w:val="center"/>
                              <w:rPr>
                                <w:sz w:val="12"/>
                                <w:szCs w:val="12"/>
                              </w:rPr>
                            </w:pPr>
                            <w:r w:rsidRPr="00862284">
                              <w:rPr>
                                <w:sz w:val="12"/>
                                <w:szCs w:val="12"/>
                              </w:rPr>
                              <w:t>Collagen crosslinks: Lysylpyridinoline</w:t>
                            </w:r>
                            <w:r>
                              <w:rPr>
                                <w:sz w:val="12"/>
                                <w:szCs w:val="12"/>
                              </w:rPr>
                              <w:t xml:space="preserve"> (DPD)</w:t>
                            </w:r>
                            <w:r w:rsidRPr="00862284">
                              <w:rPr>
                                <w:sz w:val="12"/>
                                <w:szCs w:val="12"/>
                              </w:rPr>
                              <w:t xml:space="preserve"> and hydroxylysylpyridinoline</w:t>
                            </w:r>
                            <w:r>
                              <w:rPr>
                                <w:sz w:val="12"/>
                                <w:szCs w:val="12"/>
                              </w:rPr>
                              <w:t xml:space="preserve"> (PYD)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41CA1" id="_x0000_s1089" type="#_x0000_t202" style="position:absolute;margin-left:132pt;margin-top:8.75pt;width:117.5pt;height:24.5pt;z-index:2503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" stroked="f">
                <v:textbox>
                  <w:txbxContent>
                    <w:p w:rsidR="004166BC" w:rsidRPr="00862284" w:rsidRDefault="004166BC" w:rsidP="00862284">
                      <w:pPr>
                        <w:jc w:val="center"/>
                        <w:rPr>
                          <w:sz w:val="12"/>
                          <w:szCs w:val="12"/>
                        </w:rPr>
                      </w:pPr>
                      <w:r w:rsidRPr="00862284">
                        <w:rPr>
                          <w:sz w:val="12"/>
                          <w:szCs w:val="12"/>
                        </w:rPr>
                        <w:t>Collagen crosslinks: Lysylpyridinoline</w:t>
                      </w:r>
                      <w:r>
                        <w:rPr>
                          <w:sz w:val="12"/>
                          <w:szCs w:val="12"/>
                        </w:rPr>
                        <w:t xml:space="preserve"> (DPD)</w:t>
                      </w:r>
                      <w:r w:rsidRPr="00862284">
                        <w:rPr>
                          <w:sz w:val="12"/>
                          <w:szCs w:val="12"/>
                        </w:rPr>
                        <w:t xml:space="preserve"> and hydroxylysylpyridinoline</w:t>
                      </w:r>
                      <w:r>
                        <w:rPr>
                          <w:sz w:val="12"/>
                          <w:szCs w:val="12"/>
                        </w:rPr>
                        <w:t xml:space="preserve"> (PYD)</w:t>
                      </w:r>
                    </w:p>
                  </w:txbxContent>
                </v:textbox>
              </v:shape>
            </w:pict>
          </mc:Fallback>
        </mc:AlternateContent>
      </w:r>
      <w:r w:rsidR="00512DFA">
        <w:rPr>
          <w:rFonts w:ascii="Arial" w:hAnsi="Arial" w:cs="Arial"/>
        </w:rPr>
        <w:t xml:space="preserve">     </w:t>
      </w:r>
      <w:r w:rsidR="00512DFA">
        <w:rPr>
          <w:rFonts w:ascii="Arial" w:hAnsi="Arial" w:cs="Arial"/>
        </w:rPr>
        <w:tab/>
      </w:r>
      <w:r w:rsidR="00512DFA">
        <w:rPr>
          <w:rFonts w:ascii="Arial" w:hAnsi="Arial" w:cs="Arial"/>
        </w:rPr>
        <w:tab/>
      </w:r>
      <w:r w:rsidR="00512DFA">
        <w:rPr>
          <w:rFonts w:ascii="Arial" w:hAnsi="Arial" w:cs="Arial"/>
        </w:rPr>
        <w:tab/>
        <w:t xml:space="preserve"> </w:t>
      </w:r>
    </w:p>
    <w:p w:rsidR="009A6D18" w:rsidRDefault="009A6D18" w:rsidP="00900F2C">
      <w:pPr>
        <w:pStyle w:val="Heading4"/>
      </w:pPr>
    </w:p>
    <w:p w:rsidR="008F273C" w:rsidRPr="00254E3B" w:rsidRDefault="008F273C" w:rsidP="00900F2C">
      <w:pPr>
        <w:pStyle w:val="Heading4"/>
        <w:rPr>
          <w:rFonts w:ascii="Arial" w:hAnsi="Arial" w:cs="Arial"/>
          <w:b w:val="0"/>
          <w:sz w:val="18"/>
          <w:szCs w:val="18"/>
        </w:rPr>
      </w:pPr>
      <w:r>
        <w:rPr>
          <w:noProof/>
          <w:lang w:eastAsia="zh-CN"/>
        </w:rPr>
        <mc:AlternateContent>
          <mc:Choice Requires="wps">
            <w:drawing>
              <wp:anchor distT="0" distB="0" distL="114300" distR="114300" simplePos="0" relativeHeight="251572736" behindDoc="0" locked="0" layoutInCell="1" allowOverlap="1" wp14:anchorId="10760CB2" wp14:editId="1BD1AFDB">
                <wp:simplePos x="0" y="0"/>
                <wp:positionH relativeFrom="column">
                  <wp:posOffset>1338884</wp:posOffset>
                </wp:positionH>
                <wp:positionV relativeFrom="paragraph">
                  <wp:posOffset>101016</wp:posOffset>
                </wp:positionV>
                <wp:extent cx="6546850" cy="635"/>
                <wp:effectExtent l="0" t="0" r="6350" b="8255"/>
                <wp:wrapNone/>
                <wp:docPr id="317" name="Text Box 317"/>
                <wp:cNvGraphicFramePr/>
                <a:graphic xmlns:a="http://schemas.openxmlformats.org/drawingml/2006/main">
                  <a:graphicData uri="http://schemas.microsoft.com/office/word/2010/wordprocessingShape">
                    <wps:wsp>
                      <wps:cNvSpPr txBox="1"/>
                      <wps:spPr>
                        <a:xfrm>
                          <a:off x="0" y="0"/>
                          <a:ext cx="6546850" cy="635"/>
                        </a:xfrm>
                        <a:prstGeom prst="rect">
                          <a:avLst/>
                        </a:prstGeom>
                        <a:solidFill>
                          <a:prstClr val="white"/>
                        </a:solidFill>
                        <a:ln>
                          <a:noFill/>
                        </a:ln>
                        <a:effectLst/>
                      </wps:spPr>
                      <wps:txbx>
                        <w:txbxContent>
                          <w:p w:rsidR="004166BC" w:rsidRPr="00E854C2" w:rsidRDefault="004166BC" w:rsidP="003E6719">
                            <w:pPr>
                              <w:pStyle w:val="Caption"/>
                              <w:jc w:val="both"/>
                              <w:rPr>
                                <w:rFonts w:ascii="Arial" w:hAnsi="Arial" w:cs="Arial"/>
                                <w:b w:val="0"/>
                                <w:noProof/>
                                <w:color w:val="auto"/>
                              </w:rPr>
                            </w:pPr>
                            <w:bookmarkStart w:id="38" w:name="_Toc422736054"/>
                            <w:bookmarkStart w:id="39" w:name="_Toc422736162"/>
                            <w:bookmarkStart w:id="40" w:name="_Toc425419497"/>
                            <w:r w:rsidRPr="00E854C2">
                              <w:rPr>
                                <w:rFonts w:ascii="Arial" w:hAnsi="Arial" w:cs="Arial"/>
                                <w:b w:val="0"/>
                                <w:color w:val="auto"/>
                              </w:rPr>
                              <w:t xml:space="preserve">Figure </w:t>
                            </w:r>
                            <w:r w:rsidRPr="00E854C2">
                              <w:rPr>
                                <w:rFonts w:ascii="Arial" w:hAnsi="Arial" w:cs="Arial"/>
                                <w:b w:val="0"/>
                                <w:color w:val="auto"/>
                              </w:rPr>
                              <w:fldChar w:fldCharType="begin"/>
                            </w:r>
                            <w:r w:rsidRPr="00E854C2">
                              <w:rPr>
                                <w:rFonts w:ascii="Arial" w:hAnsi="Arial" w:cs="Arial"/>
                                <w:b w:val="0"/>
                                <w:color w:val="auto"/>
                              </w:rPr>
                              <w:instrText xml:space="preserve"> SEQ Figure \* ARABIC </w:instrText>
                            </w:r>
                            <w:r w:rsidRPr="00E854C2">
                              <w:rPr>
                                <w:rFonts w:ascii="Arial" w:hAnsi="Arial" w:cs="Arial"/>
                                <w:b w:val="0"/>
                                <w:color w:val="auto"/>
                              </w:rPr>
                              <w:fldChar w:fldCharType="separate"/>
                            </w:r>
                            <w:r>
                              <w:rPr>
                                <w:rFonts w:ascii="Arial" w:hAnsi="Arial" w:cs="Arial"/>
                                <w:b w:val="0"/>
                                <w:noProof/>
                                <w:color w:val="auto"/>
                              </w:rPr>
                              <w:t>14</w:t>
                            </w:r>
                            <w:r w:rsidRPr="00E854C2">
                              <w:rPr>
                                <w:rFonts w:ascii="Arial" w:hAnsi="Arial" w:cs="Arial"/>
                                <w:b w:val="0"/>
                                <w:noProof/>
                                <w:color w:val="auto"/>
                              </w:rPr>
                              <w:fldChar w:fldCharType="end"/>
                            </w:r>
                            <w:r w:rsidRPr="00E854C2">
                              <w:rPr>
                                <w:rFonts w:ascii="Arial" w:hAnsi="Arial" w:cs="Arial"/>
                                <w:b w:val="0"/>
                                <w:noProof/>
                                <w:color w:val="auto"/>
                              </w:rPr>
                              <w:t>: The formation of type I collagen</w:t>
                            </w:r>
                            <w:bookmarkEnd w:id="38"/>
                            <w:bookmarkEnd w:id="39"/>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760CB2" id="Text Box 317" o:spid="_x0000_s1090" type="#_x0000_t202" style="position:absolute;margin-left:105.4pt;margin-top:7.95pt;width:515.5pt;height:.05pt;z-index:25157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" stroked="f">
                <v:textbox style="mso-fit-shape-to-text:t" inset="0,0,0,0">
                  <w:txbxContent>
                    <w:p w:rsidR="004166BC" w:rsidRPr="00E854C2" w:rsidRDefault="004166BC" w:rsidP="003E6719">
                      <w:pPr>
                        <w:pStyle w:val="Caption"/>
                        <w:jc w:val="both"/>
                        <w:rPr>
                          <w:rFonts w:ascii="Arial" w:hAnsi="Arial" w:cs="Arial"/>
                          <w:b w:val="0"/>
                          <w:noProof/>
                          <w:color w:val="auto"/>
                        </w:rPr>
                      </w:pPr>
                      <w:bookmarkStart w:id="53" w:name="_Toc422736054"/>
                      <w:bookmarkStart w:id="54" w:name="_Toc422736162"/>
                      <w:bookmarkStart w:id="55" w:name="_Toc425419497"/>
                      <w:r w:rsidRPr="00E854C2">
                        <w:rPr>
                          <w:rFonts w:ascii="Arial" w:hAnsi="Arial" w:cs="Arial"/>
                          <w:b w:val="0"/>
                          <w:color w:val="auto"/>
                        </w:rPr>
                        <w:t xml:space="preserve">Figure </w:t>
                      </w:r>
                      <w:r w:rsidRPr="00E854C2">
                        <w:rPr>
                          <w:rFonts w:ascii="Arial" w:hAnsi="Arial" w:cs="Arial"/>
                          <w:b w:val="0"/>
                          <w:color w:val="auto"/>
                        </w:rPr>
                        <w:fldChar w:fldCharType="begin"/>
                      </w:r>
                      <w:r w:rsidRPr="00E854C2">
                        <w:rPr>
                          <w:rFonts w:ascii="Arial" w:hAnsi="Arial" w:cs="Arial"/>
                          <w:b w:val="0"/>
                          <w:color w:val="auto"/>
                        </w:rPr>
                        <w:instrText xml:space="preserve"> SEQ Figure \* ARABIC </w:instrText>
                      </w:r>
                      <w:r w:rsidRPr="00E854C2">
                        <w:rPr>
                          <w:rFonts w:ascii="Arial" w:hAnsi="Arial" w:cs="Arial"/>
                          <w:b w:val="0"/>
                          <w:color w:val="auto"/>
                        </w:rPr>
                        <w:fldChar w:fldCharType="separate"/>
                      </w:r>
                      <w:r>
                        <w:rPr>
                          <w:rFonts w:ascii="Arial" w:hAnsi="Arial" w:cs="Arial"/>
                          <w:b w:val="0"/>
                          <w:noProof/>
                          <w:color w:val="auto"/>
                        </w:rPr>
                        <w:t>14</w:t>
                      </w:r>
                      <w:r w:rsidRPr="00E854C2">
                        <w:rPr>
                          <w:rFonts w:ascii="Arial" w:hAnsi="Arial" w:cs="Arial"/>
                          <w:b w:val="0"/>
                          <w:noProof/>
                          <w:color w:val="auto"/>
                        </w:rPr>
                        <w:fldChar w:fldCharType="end"/>
                      </w:r>
                      <w:r w:rsidRPr="00E854C2">
                        <w:rPr>
                          <w:rFonts w:ascii="Arial" w:hAnsi="Arial" w:cs="Arial"/>
                          <w:b w:val="0"/>
                          <w:noProof/>
                          <w:color w:val="auto"/>
                        </w:rPr>
                        <w:t>: The formation of type I collagen</w:t>
                      </w:r>
                      <w:bookmarkEnd w:id="53"/>
                      <w:bookmarkEnd w:id="54"/>
                      <w:bookmarkEnd w:id="55"/>
                    </w:p>
                  </w:txbxContent>
                </v:textbox>
              </v:shape>
            </w:pict>
          </mc:Fallback>
        </mc:AlternateContent>
      </w:r>
    </w:p>
    <w:p w:rsidR="001F47C2" w:rsidRDefault="001F47C2" w:rsidP="003E6719">
      <w:pPr>
        <w:pStyle w:val="Heading4"/>
        <w:jc w:val="both"/>
      </w:pPr>
      <w:r w:rsidRPr="00CF757C">
        <w:t xml:space="preserve">Bone resorption markers </w:t>
      </w:r>
    </w:p>
    <w:p w:rsidR="001F47C2" w:rsidRDefault="001F47C2" w:rsidP="003B725E">
      <w:pPr>
        <w:spacing w:line="360" w:lineRule="auto"/>
        <w:jc w:val="both"/>
        <w:rPr>
          <w:rFonts w:ascii="Arial" w:hAnsi="Arial" w:cs="Arial"/>
        </w:rPr>
      </w:pPr>
      <w:r>
        <w:rPr>
          <w:rFonts w:ascii="Arial" w:hAnsi="Arial" w:cs="Arial"/>
        </w:rPr>
        <w:t xml:space="preserve">Bone resorption markers </w:t>
      </w:r>
      <w:r w:rsidR="00742A16">
        <w:rPr>
          <w:rFonts w:ascii="Arial" w:hAnsi="Arial" w:cs="Arial"/>
        </w:rPr>
        <w:t xml:space="preserve">are detected in urine or serum and reflect </w:t>
      </w:r>
      <w:r w:rsidR="00061128">
        <w:rPr>
          <w:rFonts w:ascii="Arial" w:hAnsi="Arial" w:cs="Arial"/>
        </w:rPr>
        <w:t xml:space="preserve">the degradation of type I collagen, which makes up the majority of the bone matrix. They </w:t>
      </w:r>
      <w:r>
        <w:rPr>
          <w:rFonts w:ascii="Arial" w:hAnsi="Arial" w:cs="Arial"/>
        </w:rPr>
        <w:t xml:space="preserve">are either i) proteolytic </w:t>
      </w:r>
      <w:r w:rsidRPr="00CF757C">
        <w:rPr>
          <w:rFonts w:ascii="Arial" w:hAnsi="Arial" w:cs="Arial"/>
        </w:rPr>
        <w:t>peptide fragments derived from type I collagen degradation</w:t>
      </w:r>
      <w:r>
        <w:rPr>
          <w:rFonts w:ascii="Arial" w:hAnsi="Arial" w:cs="Arial"/>
        </w:rPr>
        <w:t xml:space="preserve"> in the</w:t>
      </w:r>
      <w:r w:rsidR="00061128">
        <w:rPr>
          <w:rFonts w:ascii="Arial" w:hAnsi="Arial" w:cs="Arial"/>
        </w:rPr>
        <w:t xml:space="preserve"> bone matrix and the crosslinks:</w:t>
      </w:r>
      <w:r>
        <w:rPr>
          <w:rFonts w:ascii="Arial" w:hAnsi="Arial" w:cs="Arial"/>
        </w:rPr>
        <w:t xml:space="preserve"> pyridinoline (PYD) and deoxypyridinoline (DPD)</w:t>
      </w:r>
      <w:r w:rsidR="00ED649D">
        <w:rPr>
          <w:rFonts w:ascii="Arial" w:hAnsi="Arial" w:cs="Arial"/>
        </w:rPr>
        <w:t xml:space="preserve"> </w:t>
      </w:r>
      <w:r w:rsidR="00ED649D">
        <w:rPr>
          <w:rFonts w:ascii="Arial" w:hAnsi="Arial" w:cs="Arial"/>
        </w:rPr>
        <w:fldChar w:fldCharType="begin">
          <w:fldData xml:space="preserve">PEVuZE5vdGU+PENpdGU+PEF1dGhvcj5CbGFjazwvQXV0aG9yPjxZZWFyPjE5ODg8L1llYXI+PFJl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PEVuZE5vdGU+PENpdGU+PEF1dGhvcj5CbGFjazwvQXV0aG9yPjxZZWFyPjE5ODg8L1llYXI+PFJl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ED649D">
        <w:rPr>
          <w:rFonts w:ascii="Arial" w:hAnsi="Arial" w:cs="Arial"/>
        </w:rPr>
      </w:r>
      <w:r w:rsidR="00ED649D">
        <w:rPr>
          <w:rFonts w:ascii="Arial" w:hAnsi="Arial" w:cs="Arial"/>
        </w:rPr>
        <w:fldChar w:fldCharType="separate"/>
      </w:r>
      <w:r w:rsidR="005A347B">
        <w:rPr>
          <w:rFonts w:ascii="Arial" w:hAnsi="Arial" w:cs="Arial"/>
          <w:noProof/>
        </w:rPr>
        <w:t>(</w:t>
      </w:r>
      <w:hyperlink w:anchor="_ENREF_175" w:tooltip="Black, 1988 #115" w:history="1">
        <w:r w:rsidR="003B725E">
          <w:rPr>
            <w:rFonts w:ascii="Arial" w:hAnsi="Arial" w:cs="Arial"/>
            <w:noProof/>
          </w:rPr>
          <w:t>175</w:t>
        </w:r>
      </w:hyperlink>
      <w:r w:rsidR="005A347B">
        <w:rPr>
          <w:rFonts w:ascii="Arial" w:hAnsi="Arial" w:cs="Arial"/>
          <w:noProof/>
        </w:rPr>
        <w:t xml:space="preserve">, </w:t>
      </w:r>
      <w:hyperlink w:anchor="_ENREF_176" w:tooltip="Pratt, 1992 #116" w:history="1">
        <w:r w:rsidR="003B725E">
          <w:rPr>
            <w:rFonts w:ascii="Arial" w:hAnsi="Arial" w:cs="Arial"/>
            <w:noProof/>
          </w:rPr>
          <w:t>176</w:t>
        </w:r>
      </w:hyperlink>
      <w:r w:rsidR="005A347B">
        <w:rPr>
          <w:rFonts w:ascii="Arial" w:hAnsi="Arial" w:cs="Arial"/>
          <w:noProof/>
        </w:rPr>
        <w:t>)</w:t>
      </w:r>
      <w:r w:rsidR="00ED649D">
        <w:rPr>
          <w:rFonts w:ascii="Arial" w:hAnsi="Arial" w:cs="Arial"/>
        </w:rPr>
        <w:fldChar w:fldCharType="end"/>
      </w:r>
      <w:r>
        <w:rPr>
          <w:rFonts w:ascii="Arial" w:hAnsi="Arial" w:cs="Arial"/>
        </w:rPr>
        <w:t>, ii)</w:t>
      </w:r>
      <w:r w:rsidR="009415ED">
        <w:rPr>
          <w:rFonts w:ascii="Arial" w:hAnsi="Arial" w:cs="Arial"/>
        </w:rPr>
        <w:t xml:space="preserve">, </w:t>
      </w:r>
      <w:r w:rsidR="00742A16">
        <w:rPr>
          <w:rFonts w:ascii="Arial" w:hAnsi="Arial" w:cs="Arial"/>
        </w:rPr>
        <w:t>the cathepsin K derived markers:</w:t>
      </w:r>
      <w:r w:rsidR="009415ED">
        <w:rPr>
          <w:rFonts w:ascii="Arial" w:hAnsi="Arial" w:cs="Arial"/>
        </w:rPr>
        <w:t xml:space="preserve"> </w:t>
      </w:r>
      <w:r>
        <w:rPr>
          <w:rFonts w:ascii="Arial" w:hAnsi="Arial" w:cs="Arial"/>
        </w:rPr>
        <w:t>N-termina</w:t>
      </w:r>
      <w:r w:rsidR="00F36190">
        <w:rPr>
          <w:rFonts w:ascii="Arial" w:hAnsi="Arial" w:cs="Arial"/>
        </w:rPr>
        <w:t>l crosslinking</w:t>
      </w:r>
      <w:r>
        <w:rPr>
          <w:rFonts w:ascii="Arial" w:hAnsi="Arial" w:cs="Arial"/>
        </w:rPr>
        <w:t xml:space="preserve"> telopeptides of type I collagen</w:t>
      </w:r>
      <w:r w:rsidR="00F36190">
        <w:rPr>
          <w:rFonts w:ascii="Arial" w:hAnsi="Arial" w:cs="Arial"/>
        </w:rPr>
        <w:t xml:space="preserve"> (NTX) and C-terminal </w:t>
      </w:r>
      <w:r w:rsidR="009415ED">
        <w:rPr>
          <w:rFonts w:ascii="Arial" w:hAnsi="Arial" w:cs="Arial"/>
        </w:rPr>
        <w:t>crosslinking</w:t>
      </w:r>
      <w:r>
        <w:rPr>
          <w:rFonts w:ascii="Arial" w:hAnsi="Arial" w:cs="Arial"/>
        </w:rPr>
        <w:t xml:space="preserve"> telopeptides of type I collagen (CTX) or </w:t>
      </w:r>
      <w:r w:rsidR="00742A16">
        <w:rPr>
          <w:rFonts w:ascii="Arial" w:hAnsi="Arial" w:cs="Arial"/>
        </w:rPr>
        <w:t xml:space="preserve">reflect </w:t>
      </w:r>
      <w:r>
        <w:rPr>
          <w:rFonts w:ascii="Arial" w:hAnsi="Arial" w:cs="Arial"/>
        </w:rPr>
        <w:t xml:space="preserve">osteoclast enzyme activity i) </w:t>
      </w:r>
      <w:r w:rsidRPr="00CF757C">
        <w:rPr>
          <w:rFonts w:ascii="Arial" w:hAnsi="Arial" w:cs="Arial"/>
        </w:rPr>
        <w:t>tartrate resist</w:t>
      </w:r>
      <w:r w:rsidR="00061128">
        <w:rPr>
          <w:rFonts w:ascii="Arial" w:hAnsi="Arial" w:cs="Arial"/>
        </w:rPr>
        <w:t>ant acid phosphatase (TRACP), ii) cathpsin K and</w:t>
      </w:r>
      <w:r w:rsidR="00742A16">
        <w:rPr>
          <w:rFonts w:ascii="Arial" w:hAnsi="Arial" w:cs="Arial"/>
        </w:rPr>
        <w:t xml:space="preserve"> ii</w:t>
      </w:r>
      <w:r w:rsidR="00061128">
        <w:rPr>
          <w:rFonts w:ascii="Arial" w:hAnsi="Arial" w:cs="Arial"/>
        </w:rPr>
        <w:t>i</w:t>
      </w:r>
      <w:r w:rsidR="00742A16">
        <w:rPr>
          <w:rFonts w:ascii="Arial" w:hAnsi="Arial" w:cs="Arial"/>
        </w:rPr>
        <w:t>) the matrix-metalloprotease (MMP) derived telop</w:t>
      </w:r>
      <w:r w:rsidR="00A533B9">
        <w:rPr>
          <w:rFonts w:ascii="Arial" w:hAnsi="Arial" w:cs="Arial"/>
        </w:rPr>
        <w:t xml:space="preserve">eptide </w:t>
      </w:r>
      <w:r w:rsidR="00E854C2">
        <w:rPr>
          <w:rFonts w:ascii="Arial" w:hAnsi="Arial" w:cs="Arial"/>
        </w:rPr>
        <w:t>(ICTP), (F</w:t>
      </w:r>
      <w:r w:rsidR="00FA6311">
        <w:rPr>
          <w:rFonts w:ascii="Arial" w:hAnsi="Arial" w:cs="Arial"/>
        </w:rPr>
        <w:t>igure</w:t>
      </w:r>
      <w:r w:rsidR="00E854C2">
        <w:rPr>
          <w:rFonts w:ascii="Arial" w:hAnsi="Arial" w:cs="Arial"/>
        </w:rPr>
        <w:t xml:space="preserve"> </w:t>
      </w:r>
      <w:r w:rsidR="00A533B9">
        <w:rPr>
          <w:rFonts w:ascii="Arial" w:hAnsi="Arial" w:cs="Arial"/>
        </w:rPr>
        <w:t>15</w:t>
      </w:r>
      <w:r w:rsidR="00E854C2">
        <w:rPr>
          <w:rFonts w:ascii="Arial" w:hAnsi="Arial" w:cs="Arial"/>
        </w:rPr>
        <w:t>)</w:t>
      </w:r>
      <w:r w:rsidR="00742A16">
        <w:rPr>
          <w:rFonts w:ascii="Arial" w:hAnsi="Arial" w:cs="Arial"/>
        </w:rPr>
        <w:t>.</w:t>
      </w:r>
    </w:p>
    <w:p w:rsidR="001F47C2" w:rsidRDefault="001F47C2" w:rsidP="003E6719">
      <w:pPr>
        <w:pStyle w:val="Heading5"/>
        <w:jc w:val="both"/>
      </w:pPr>
      <w:r>
        <w:t>C-</w:t>
      </w:r>
      <w:r w:rsidR="008F273C">
        <w:t>terminal cross-linking</w:t>
      </w:r>
      <w:r>
        <w:t xml:space="preserve"> telopeptides of type I collagen (CTX)</w:t>
      </w:r>
    </w:p>
    <w:p w:rsidR="00E854C2" w:rsidRDefault="0040369A" w:rsidP="003B725E">
      <w:pPr>
        <w:spacing w:line="360" w:lineRule="auto"/>
        <w:jc w:val="both"/>
        <w:rPr>
          <w:rFonts w:ascii="Arial" w:hAnsi="Arial" w:cs="Arial"/>
        </w:rPr>
      </w:pPr>
      <w:r>
        <w:rPr>
          <w:rFonts w:ascii="Arial" w:hAnsi="Arial" w:cs="Arial"/>
        </w:rPr>
        <w:t>The α1 chain of type I</w:t>
      </w:r>
      <w:r w:rsidR="001F47C2" w:rsidRPr="001F47C2">
        <w:rPr>
          <w:rFonts w:ascii="Arial" w:hAnsi="Arial" w:cs="Arial"/>
        </w:rPr>
        <w:t xml:space="preserve"> collagen </w:t>
      </w:r>
      <w:r w:rsidR="001F47C2">
        <w:rPr>
          <w:rFonts w:ascii="Arial" w:hAnsi="Arial" w:cs="Arial"/>
        </w:rPr>
        <w:t>contains the CTX</w:t>
      </w:r>
      <w:r w:rsidR="001F47C2" w:rsidRPr="001F47C2">
        <w:rPr>
          <w:rFonts w:ascii="Arial" w:hAnsi="Arial" w:cs="Arial"/>
        </w:rPr>
        <w:t xml:space="preserve"> epitope which is a peptide of eight amino acid residues, </w:t>
      </w:r>
      <w:r w:rsidR="001F47C2" w:rsidRPr="001F47C2">
        <w:rPr>
          <w:rFonts w:ascii="Arial" w:hAnsi="Arial" w:cs="Arial"/>
          <w:vertAlign w:val="superscript"/>
        </w:rPr>
        <w:t>1207</w:t>
      </w:r>
      <w:r w:rsidR="001F47C2" w:rsidRPr="001F47C2">
        <w:rPr>
          <w:rFonts w:ascii="Arial" w:hAnsi="Arial" w:cs="Arial"/>
        </w:rPr>
        <w:t>EKAHDGGR</w:t>
      </w:r>
      <w:r w:rsidR="001F47C2" w:rsidRPr="001F47C2">
        <w:rPr>
          <w:rFonts w:ascii="Arial" w:hAnsi="Arial" w:cs="Arial"/>
          <w:vertAlign w:val="superscript"/>
        </w:rPr>
        <w:t>1214</w:t>
      </w:r>
      <w:r w:rsidR="00A533B9">
        <w:rPr>
          <w:rFonts w:ascii="Arial" w:hAnsi="Arial" w:cs="Arial"/>
        </w:rPr>
        <w:t>, (Figure 15</w:t>
      </w:r>
      <w:r w:rsidR="00E854C2">
        <w:rPr>
          <w:rFonts w:ascii="Arial" w:hAnsi="Arial" w:cs="Arial"/>
        </w:rPr>
        <w:t>)</w:t>
      </w:r>
      <w:r w:rsidR="001F47C2" w:rsidRPr="001F47C2">
        <w:rPr>
          <w:rFonts w:ascii="Arial" w:hAnsi="Arial" w:cs="Arial"/>
        </w:rPr>
        <w:t>.</w:t>
      </w:r>
      <w:r w:rsidR="00837537">
        <w:rPr>
          <w:rFonts w:ascii="Arial" w:hAnsi="Arial" w:cs="Arial"/>
        </w:rPr>
        <w:t xml:space="preserve"> This undergoes further non-enzymatic posttranslational modification, racemisation and isomerisation</w:t>
      </w:r>
      <w:r w:rsidR="00B6650E">
        <w:rPr>
          <w:rFonts w:ascii="Arial" w:hAnsi="Arial" w:cs="Arial"/>
        </w:rPr>
        <w:t xml:space="preserve"> </w:t>
      </w:r>
      <w:r w:rsidR="00B6650E">
        <w:rPr>
          <w:rFonts w:ascii="Arial" w:hAnsi="Arial" w:cs="Arial"/>
        </w:rPr>
        <w:fldChar w:fldCharType="begin">
          <w:fldData xml:space="preserve">PEVuZE5vdGU+PENpdGU+PEF1dGhvcj5GbGVkZWxpdXM8L0F1dGhvcj48WWVhcj4xOTk3PC9ZZWFy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LXBlcmlvZGljYWw+PHBhZ2VzPjk3NTUtNjM8L3BhZ2VzPjx2b2x1bWU+MjcyPC92b2x1bWU+PG51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PEVuZE5vdGU+PENpdGU+PEF1dGhvcj5GbGVkZWxpdXM8L0F1dGhvcj48WWVhcj4xOTk3PC9ZZWFy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LXBlcmlvZGljYWw+PHBhZ2VzPjk3NTUtNjM8L3BhZ2VzPjx2b2x1bWU+MjcyPC92b2x1bWU+PG51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6650E">
        <w:rPr>
          <w:rFonts w:ascii="Arial" w:hAnsi="Arial" w:cs="Arial"/>
        </w:rPr>
      </w:r>
      <w:r w:rsidR="00B6650E">
        <w:rPr>
          <w:rFonts w:ascii="Arial" w:hAnsi="Arial" w:cs="Arial"/>
        </w:rPr>
        <w:fldChar w:fldCharType="separate"/>
      </w:r>
      <w:r w:rsidR="005A347B">
        <w:rPr>
          <w:rFonts w:ascii="Arial" w:hAnsi="Arial" w:cs="Arial"/>
          <w:noProof/>
        </w:rPr>
        <w:t>(</w:t>
      </w:r>
      <w:hyperlink w:anchor="_ENREF_177" w:tooltip="Fledelius, 1997 #267" w:history="1">
        <w:r w:rsidR="003B725E">
          <w:rPr>
            <w:rFonts w:ascii="Arial" w:hAnsi="Arial" w:cs="Arial"/>
            <w:noProof/>
          </w:rPr>
          <w:t>177</w:t>
        </w:r>
      </w:hyperlink>
      <w:r w:rsidR="005A347B">
        <w:rPr>
          <w:rFonts w:ascii="Arial" w:hAnsi="Arial" w:cs="Arial"/>
          <w:noProof/>
        </w:rPr>
        <w:t>)</w:t>
      </w:r>
      <w:r w:rsidR="00B6650E">
        <w:rPr>
          <w:rFonts w:ascii="Arial" w:hAnsi="Arial" w:cs="Arial"/>
        </w:rPr>
        <w:fldChar w:fldCharType="end"/>
      </w:r>
      <w:r w:rsidR="00837537">
        <w:rPr>
          <w:rFonts w:ascii="Arial" w:hAnsi="Arial" w:cs="Arial"/>
        </w:rPr>
        <w:t>.</w:t>
      </w:r>
      <w:r>
        <w:rPr>
          <w:rFonts w:ascii="Arial" w:hAnsi="Arial" w:cs="Arial"/>
        </w:rPr>
        <w:t xml:space="preserve"> When type I</w:t>
      </w:r>
      <w:r w:rsidR="001F47C2" w:rsidRPr="001F47C2">
        <w:rPr>
          <w:rFonts w:ascii="Arial" w:hAnsi="Arial" w:cs="Arial"/>
        </w:rPr>
        <w:t xml:space="preserve"> collagen molecules are newly synthesised, the aspartic acid residue, localised in the core of the CTX epitope (D1211) is in the native L-enantiomeric form</w:t>
      </w:r>
      <w:r w:rsidR="00B6650E">
        <w:rPr>
          <w:rFonts w:ascii="Arial" w:hAnsi="Arial" w:cs="Arial"/>
        </w:rPr>
        <w:t xml:space="preserve"> </w:t>
      </w:r>
      <w:r w:rsidR="00B6650E">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6650E">
        <w:rPr>
          <w:rFonts w:ascii="Arial" w:hAnsi="Arial" w:cs="Arial"/>
        </w:rPr>
      </w:r>
      <w:r w:rsidR="00B6650E">
        <w:rPr>
          <w:rFonts w:ascii="Arial" w:hAnsi="Arial" w:cs="Arial"/>
        </w:rPr>
        <w:fldChar w:fldCharType="separate"/>
      </w:r>
      <w:r w:rsidR="005A347B">
        <w:rPr>
          <w:rFonts w:ascii="Arial" w:hAnsi="Arial" w:cs="Arial"/>
          <w:noProof/>
        </w:rPr>
        <w:t>(</w:t>
      </w:r>
      <w:hyperlink w:anchor="_ENREF_178" w:tooltip="Cloos, 2000 #268" w:history="1">
        <w:r w:rsidR="003B725E">
          <w:rPr>
            <w:rFonts w:ascii="Arial" w:hAnsi="Arial" w:cs="Arial"/>
            <w:noProof/>
          </w:rPr>
          <w:t>178</w:t>
        </w:r>
      </w:hyperlink>
      <w:r w:rsidR="005A347B">
        <w:rPr>
          <w:rFonts w:ascii="Arial" w:hAnsi="Arial" w:cs="Arial"/>
          <w:noProof/>
        </w:rPr>
        <w:t>)</w:t>
      </w:r>
      <w:r w:rsidR="00B6650E">
        <w:rPr>
          <w:rFonts w:ascii="Arial" w:hAnsi="Arial" w:cs="Arial"/>
        </w:rPr>
        <w:fldChar w:fldCharType="end"/>
      </w:r>
      <w:r w:rsidR="00B6650E">
        <w:rPr>
          <w:rFonts w:ascii="Arial" w:hAnsi="Arial" w:cs="Arial"/>
        </w:rPr>
        <w:t xml:space="preserve"> </w:t>
      </w:r>
      <w:r w:rsidR="00837537">
        <w:rPr>
          <w:rFonts w:ascii="Arial" w:hAnsi="Arial" w:cs="Arial"/>
        </w:rPr>
        <w:t xml:space="preserve">. Racemisation at the aspartic acid residue, converts this to the D-form which accumulates in tissues that are in a state of low bone turnover such as cartilage and skin. Isomerisation at the aspartic acid residue transfers the peptide backbone </w:t>
      </w:r>
      <w:r w:rsidR="00837537" w:rsidRPr="001F47C2">
        <w:rPr>
          <w:rFonts w:ascii="Arial" w:hAnsi="Arial" w:cs="Arial"/>
        </w:rPr>
        <w:t>from the carboxyl group from position α, to the side chain carboxyl group in position β</w:t>
      </w:r>
      <w:r w:rsidR="009A6D18">
        <w:rPr>
          <w:rFonts w:ascii="Arial" w:hAnsi="Arial" w:cs="Arial"/>
        </w:rPr>
        <w:t>, (Figure 15</w:t>
      </w:r>
      <w:r w:rsidR="001D04C6">
        <w:rPr>
          <w:rFonts w:ascii="Arial" w:hAnsi="Arial" w:cs="Arial"/>
        </w:rPr>
        <w:t>)</w:t>
      </w:r>
      <w:r w:rsidR="00B6650E">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6650E">
        <w:rPr>
          <w:rFonts w:ascii="Arial" w:hAnsi="Arial" w:cs="Arial"/>
        </w:rPr>
      </w:r>
      <w:r w:rsidR="00B6650E">
        <w:rPr>
          <w:rFonts w:ascii="Arial" w:hAnsi="Arial" w:cs="Arial"/>
        </w:rPr>
        <w:fldChar w:fldCharType="separate"/>
      </w:r>
      <w:r w:rsidR="005A347B">
        <w:rPr>
          <w:rFonts w:ascii="Arial" w:hAnsi="Arial" w:cs="Arial"/>
          <w:noProof/>
        </w:rPr>
        <w:t>(</w:t>
      </w:r>
      <w:hyperlink w:anchor="_ENREF_178" w:tooltip="Cloos, 2000 #268" w:history="1">
        <w:r w:rsidR="003B725E">
          <w:rPr>
            <w:rFonts w:ascii="Arial" w:hAnsi="Arial" w:cs="Arial"/>
            <w:noProof/>
          </w:rPr>
          <w:t>178</w:t>
        </w:r>
      </w:hyperlink>
      <w:r w:rsidR="005A347B">
        <w:rPr>
          <w:rFonts w:ascii="Arial" w:hAnsi="Arial" w:cs="Arial"/>
          <w:noProof/>
        </w:rPr>
        <w:t>)</w:t>
      </w:r>
      <w:r w:rsidR="00B6650E">
        <w:rPr>
          <w:rFonts w:ascii="Arial" w:hAnsi="Arial" w:cs="Arial"/>
        </w:rPr>
        <w:fldChar w:fldCharType="end"/>
      </w:r>
      <w:r w:rsidR="00837537">
        <w:rPr>
          <w:rFonts w:ascii="Arial" w:hAnsi="Arial" w:cs="Arial"/>
        </w:rPr>
        <w:t xml:space="preserve">. This β-isomerisation </w:t>
      </w:r>
      <w:r w:rsidR="00A24D0B">
        <w:rPr>
          <w:rFonts w:ascii="Arial" w:hAnsi="Arial" w:cs="Arial"/>
        </w:rPr>
        <w:t xml:space="preserve">forms a kink in the peptide backbone and thus altering the conformation and </w:t>
      </w:r>
      <w:r w:rsidR="001D04C6">
        <w:rPr>
          <w:rFonts w:ascii="Arial" w:hAnsi="Arial" w:cs="Arial"/>
        </w:rPr>
        <w:t xml:space="preserve">in particular the </w:t>
      </w:r>
      <w:r w:rsidR="00A24D0B">
        <w:rPr>
          <w:rFonts w:ascii="Arial" w:hAnsi="Arial" w:cs="Arial"/>
        </w:rPr>
        <w:t>mechanical</w:t>
      </w:r>
      <w:r w:rsidR="001D04C6">
        <w:rPr>
          <w:rFonts w:ascii="Arial" w:hAnsi="Arial" w:cs="Arial"/>
        </w:rPr>
        <w:t xml:space="preserve"> properties of type I collagen. For example </w:t>
      </w:r>
      <w:r w:rsidR="001D04C6">
        <w:rPr>
          <w:rFonts w:ascii="Arial" w:hAnsi="Arial" w:cs="Arial"/>
        </w:rPr>
        <w:lastRenderedPageBreak/>
        <w:t>it has been demonstrated the isomerisation</w:t>
      </w:r>
      <w:r w:rsidR="0026430E">
        <w:rPr>
          <w:rFonts w:ascii="Arial" w:hAnsi="Arial" w:cs="Arial"/>
        </w:rPr>
        <w:t xml:space="preserve"> alters</w:t>
      </w:r>
      <w:r w:rsidR="001D04C6">
        <w:rPr>
          <w:rFonts w:ascii="Arial" w:hAnsi="Arial" w:cs="Arial"/>
        </w:rPr>
        <w:t xml:space="preserve"> the activity of cathepsin K </w:t>
      </w:r>
      <w:r w:rsidR="001D04C6">
        <w:rPr>
          <w:rFonts w:ascii="Arial" w:hAnsi="Arial" w:cs="Arial"/>
        </w:rPr>
        <w:fldChar w:fldCharType="begin"/>
      </w:r>
      <w:r w:rsidR="005A347B">
        <w:rPr>
          <w:rFonts w:ascii="Arial" w:hAnsi="Arial" w:cs="Arial"/>
        </w:rPr>
        <w:instrText xml:space="preserve"> ADDIN EN.CITE &lt;EndNote&gt;&lt;Cite&gt;&lt;Author&gt;Borel&lt;/Author&gt;&lt;Year&gt;2012&lt;/Year&gt;&lt;RecNum&gt;265&lt;/RecNum&gt;&lt;DisplayText&gt;(179)&lt;/DisplayText&gt;&lt;record&gt;&lt;rec-number&gt;265&lt;/rec-number&gt;&lt;foreign-keys&gt;&lt;key app="EN" db-id="p9a5ttsvyvde9me5aw2x05fp5p55axf0wr90" timestamp="1429790355"&gt;265&lt;/key&gt;&lt;/foreign-keys&gt;&lt;ref-type name="Journal Article"&gt;17&lt;/ref-type&gt;&lt;contributors&gt;&lt;authors&gt;&lt;author&gt;Borel, O.&lt;/author&gt;&lt;author&gt;Gineyts, E.&lt;/author&gt;&lt;author&gt;Bertholon, C.&lt;/author&gt;&lt;author&gt;Garnero, P.&lt;/author&gt;&lt;/authors&gt;&lt;/contributors&gt;&lt;auth-address&gt;INSERM Unit 1033, Hopital Edouard Herriot, Pavillon F, 69437, Lyon Cedex 03, France. olivier.borel@inserm.fr&lt;/auth-address&gt;&lt;titles&gt;&lt;title&gt;Cathepsin K preferentially solubilizes matured bone matrix&lt;/title&gt;&lt;secondary-title&gt;Calcif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international&lt;/abbr-1&gt;&lt;/alt-periodical&gt;&lt;pages&gt;32-9&lt;/pages&gt;&lt;volume&gt;91&lt;/volume&gt;&lt;number&gt;1&lt;/number&gt;&lt;edition&gt;2012/05/10&lt;/edition&gt;&lt;keywords&gt;&lt;keyword&gt;Amino Acids/metabolism&lt;/keyword&gt;&lt;keyword&gt;Animals&lt;/keyword&gt;&lt;keyword&gt;Arginine/analogs &amp;amp; derivatives/metabolism&lt;/keyword&gt;&lt;keyword&gt;Bone Density&lt;/keyword&gt;&lt;keyword&gt;Bone Matrix/*metabolism&lt;/keyword&gt;&lt;keyword&gt;Cathepsin K/*metabolism&lt;/keyword&gt;&lt;keyword&gt;Cattle&lt;/keyword&gt;&lt;keyword&gt;Collagen/metabolism&lt;/keyword&gt;&lt;keyword&gt;Collagen Type I/metabolism&lt;/keyword&gt;&lt;keyword&gt;Humans&lt;/keyword&gt;&lt;keyword&gt;Isomerism&lt;/keyword&gt;&lt;keyword&gt;Lysine/analogs &amp;amp; derivatives/metabolism&lt;/keyword&gt;&lt;keyword&gt;Peptides/metabolism&lt;/keyword&gt;&lt;/keywords&gt;&lt;dates&gt;&lt;year&gt;2012&lt;/year&gt;&lt;pub-dates&gt;&lt;date&gt;Jul&lt;/date&gt;&lt;/pub-dates&gt;&lt;/dates&gt;&lt;isbn&gt;0171-967x&lt;/isbn&gt;&lt;accession-num&gt;22569910&lt;/accession-num&gt;&lt;urls&gt;&lt;/urls&gt;&lt;electronic-resource-num&gt;10.1007/s00223-012-9604-7&lt;/electronic-resource-num&gt;&lt;remote-database-provider&gt;NLM&lt;/remote-database-provider&gt;&lt;language&gt;eng&lt;/language&gt;&lt;/record&gt;&lt;/Cite&gt;&lt;/EndNote&gt;</w:instrText>
      </w:r>
      <w:r w:rsidR="001D04C6">
        <w:rPr>
          <w:rFonts w:ascii="Arial" w:hAnsi="Arial" w:cs="Arial"/>
        </w:rPr>
        <w:fldChar w:fldCharType="separate"/>
      </w:r>
      <w:r w:rsidR="005A347B">
        <w:rPr>
          <w:rFonts w:ascii="Arial" w:hAnsi="Arial" w:cs="Arial"/>
          <w:noProof/>
        </w:rPr>
        <w:t>(</w:t>
      </w:r>
      <w:hyperlink w:anchor="_ENREF_179" w:tooltip="Borel, 2012 #265" w:history="1">
        <w:r w:rsidR="003B725E">
          <w:rPr>
            <w:rFonts w:ascii="Arial" w:hAnsi="Arial" w:cs="Arial"/>
            <w:noProof/>
          </w:rPr>
          <w:t>179</w:t>
        </w:r>
      </w:hyperlink>
      <w:r w:rsidR="005A347B">
        <w:rPr>
          <w:rFonts w:ascii="Arial" w:hAnsi="Arial" w:cs="Arial"/>
          <w:noProof/>
        </w:rPr>
        <w:t>)</w:t>
      </w:r>
      <w:r w:rsidR="001D04C6">
        <w:rPr>
          <w:rFonts w:ascii="Arial" w:hAnsi="Arial" w:cs="Arial"/>
        </w:rPr>
        <w:fldChar w:fldCharType="end"/>
      </w:r>
      <w:r w:rsidR="00AA1C25">
        <w:rPr>
          <w:rFonts w:ascii="Arial" w:hAnsi="Arial" w:cs="Arial"/>
        </w:rPr>
        <w:t xml:space="preserve"> </w:t>
      </w:r>
      <w:r w:rsidR="001D04C6">
        <w:rPr>
          <w:rFonts w:ascii="Arial" w:hAnsi="Arial" w:cs="Arial"/>
        </w:rPr>
        <w:t xml:space="preserve">and the formation of crosslinks and hence its mechanical properties </w:t>
      </w:r>
      <w:r w:rsidR="001D04C6">
        <w:rPr>
          <w:rFonts w:ascii="Arial" w:hAnsi="Arial" w:cs="Arial"/>
        </w:rPr>
        <w:fldChar w:fldCharType="begin">
          <w:fldData xml:space="preserve">PEVuZE5vdGU+PENpdGU+PEF1dGhvcj5HYXJuZXJvPC9BdXRob3I+PFllYXI+MjAwNjwvWWVhcj48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PEVuZE5vdGU+PENpdGU+PEF1dGhvcj5HYXJuZXJvPC9BdXRob3I+PFllYXI+MjAwNjwvWWVhcj48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1D04C6">
        <w:rPr>
          <w:rFonts w:ascii="Arial" w:hAnsi="Arial" w:cs="Arial"/>
        </w:rPr>
      </w:r>
      <w:r w:rsidR="001D04C6">
        <w:rPr>
          <w:rFonts w:ascii="Arial" w:hAnsi="Arial" w:cs="Arial"/>
        </w:rPr>
        <w:fldChar w:fldCharType="separate"/>
      </w:r>
      <w:r w:rsidR="005A347B">
        <w:rPr>
          <w:rFonts w:ascii="Arial" w:hAnsi="Arial" w:cs="Arial"/>
          <w:noProof/>
        </w:rPr>
        <w:t>(</w:t>
      </w:r>
      <w:hyperlink w:anchor="_ENREF_180" w:tooltip="Garnero, 2006 #266" w:history="1">
        <w:r w:rsidR="003B725E">
          <w:rPr>
            <w:rFonts w:ascii="Arial" w:hAnsi="Arial" w:cs="Arial"/>
            <w:noProof/>
          </w:rPr>
          <w:t>180</w:t>
        </w:r>
      </w:hyperlink>
      <w:r w:rsidR="005A347B">
        <w:rPr>
          <w:rFonts w:ascii="Arial" w:hAnsi="Arial" w:cs="Arial"/>
          <w:noProof/>
        </w:rPr>
        <w:t>)</w:t>
      </w:r>
      <w:r w:rsidR="001D04C6">
        <w:rPr>
          <w:rFonts w:ascii="Arial" w:hAnsi="Arial" w:cs="Arial"/>
        </w:rPr>
        <w:fldChar w:fldCharType="end"/>
      </w:r>
      <w:r w:rsidR="001D04C6">
        <w:rPr>
          <w:rFonts w:ascii="Arial" w:hAnsi="Arial" w:cs="Arial"/>
        </w:rPr>
        <w:t>.</w:t>
      </w:r>
      <w:r w:rsidR="00AA1C25">
        <w:rPr>
          <w:rFonts w:ascii="Arial" w:hAnsi="Arial" w:cs="Arial"/>
        </w:rPr>
        <w:t xml:space="preserve"> Studies of the β-isomerisation of the CTX peptide using foetal bovine have shown that at equilibrium 20% remains in the native α-form and 80% is isomerised to the β-form </w:t>
      </w:r>
      <w:r w:rsidR="00AA1C25">
        <w:rPr>
          <w:rFonts w:ascii="Arial" w:hAnsi="Arial" w:cs="Arial"/>
        </w:rPr>
        <w:fldChar w:fldCharType="begin">
          <w:fldData xml:space="preserve">PEVuZE5vdGU+PENpdGU+PEF1dGhvcj5GbGVkZWxpdXM8L0F1dGhvcj48WWVhcj4xOTk3PC9ZZWFy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LXBlcmlvZGljYWw+PHBhZ2VzPjk3NTUtNjM8L3BhZ2VzPjx2b2x1bWU+MjcyPC92b2x1bWU+PG51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PEVuZE5vdGU+PENpdGU+PEF1dGhvcj5GbGVkZWxpdXM8L0F1dGhvcj48WWVhcj4xOTk3PC9ZZWFy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LXBlcmlvZGljYWw+PHBhZ2VzPjk3NTUtNjM8L3BhZ2VzPjx2b2x1bWU+MjcyPC92b2x1bWU+PG51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AA1C25">
        <w:rPr>
          <w:rFonts w:ascii="Arial" w:hAnsi="Arial" w:cs="Arial"/>
        </w:rPr>
      </w:r>
      <w:r w:rsidR="00AA1C25">
        <w:rPr>
          <w:rFonts w:ascii="Arial" w:hAnsi="Arial" w:cs="Arial"/>
        </w:rPr>
        <w:fldChar w:fldCharType="separate"/>
      </w:r>
      <w:r w:rsidR="005A347B">
        <w:rPr>
          <w:rFonts w:ascii="Arial" w:hAnsi="Arial" w:cs="Arial"/>
          <w:noProof/>
        </w:rPr>
        <w:t>(</w:t>
      </w:r>
      <w:hyperlink w:anchor="_ENREF_177" w:tooltip="Fledelius, 1997 #267" w:history="1">
        <w:r w:rsidR="003B725E">
          <w:rPr>
            <w:rFonts w:ascii="Arial" w:hAnsi="Arial" w:cs="Arial"/>
            <w:noProof/>
          </w:rPr>
          <w:t>177</w:t>
        </w:r>
      </w:hyperlink>
      <w:r w:rsidR="005A347B">
        <w:rPr>
          <w:rFonts w:ascii="Arial" w:hAnsi="Arial" w:cs="Arial"/>
          <w:noProof/>
        </w:rPr>
        <w:t>)</w:t>
      </w:r>
      <w:r w:rsidR="00AA1C25">
        <w:rPr>
          <w:rFonts w:ascii="Arial" w:hAnsi="Arial" w:cs="Arial"/>
        </w:rPr>
        <w:fldChar w:fldCharType="end"/>
      </w:r>
      <w:r w:rsidR="00AA1C25">
        <w:rPr>
          <w:rFonts w:ascii="Arial" w:hAnsi="Arial" w:cs="Arial"/>
        </w:rPr>
        <w:t xml:space="preserve">. </w:t>
      </w:r>
      <w:r w:rsidR="00461AAD">
        <w:rPr>
          <w:rFonts w:ascii="Arial" w:hAnsi="Arial" w:cs="Arial"/>
        </w:rPr>
        <w:t>In healthy children equilibrium is not achieved and the α/β ratio is high (great</w:t>
      </w:r>
      <w:r w:rsidR="00B76F44">
        <w:rPr>
          <w:rFonts w:ascii="Arial" w:hAnsi="Arial" w:cs="Arial"/>
        </w:rPr>
        <w:t>er native than isomerised CTX), (Gossiel et al ASBMR 2008)</w:t>
      </w:r>
      <w:r w:rsidR="00461AAD">
        <w:rPr>
          <w:rFonts w:ascii="Arial" w:hAnsi="Arial" w:cs="Arial"/>
        </w:rPr>
        <w:t xml:space="preserve">. </w:t>
      </w:r>
      <w:r w:rsidR="00AA1C25">
        <w:rPr>
          <w:rFonts w:ascii="Arial" w:hAnsi="Arial" w:cs="Arial"/>
        </w:rPr>
        <w:t xml:space="preserve">In healthy adults equilibrium is also achieved </w:t>
      </w:r>
      <w:r w:rsidR="00947429">
        <w:rPr>
          <w:rFonts w:ascii="Arial" w:hAnsi="Arial" w:cs="Arial"/>
        </w:rPr>
        <w:t>and the</w:t>
      </w:r>
      <w:r w:rsidR="00AA1C25">
        <w:rPr>
          <w:rFonts w:ascii="Arial" w:hAnsi="Arial" w:cs="Arial"/>
        </w:rPr>
        <w:t xml:space="preserve"> α</w:t>
      </w:r>
      <w:r w:rsidR="00947429">
        <w:rPr>
          <w:rFonts w:ascii="Arial" w:hAnsi="Arial" w:cs="Arial"/>
        </w:rPr>
        <w:t>/</w:t>
      </w:r>
      <w:r w:rsidR="00AA1C25">
        <w:rPr>
          <w:rFonts w:ascii="Arial" w:hAnsi="Arial" w:cs="Arial"/>
        </w:rPr>
        <w:t xml:space="preserve">β </w:t>
      </w:r>
      <w:r w:rsidR="00947429">
        <w:rPr>
          <w:rFonts w:ascii="Arial" w:hAnsi="Arial" w:cs="Arial"/>
        </w:rPr>
        <w:t xml:space="preserve">ratio remains unchanged </w:t>
      </w:r>
      <w:r w:rsidR="00947429">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PEVuZE5vdGU+PENpdGU+PEF1dGhvcj5DbG9vczwvQXV0aG9yPjxZZWFyPjIwMDA8L1llYXI+PFJl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947429">
        <w:rPr>
          <w:rFonts w:ascii="Arial" w:hAnsi="Arial" w:cs="Arial"/>
        </w:rPr>
      </w:r>
      <w:r w:rsidR="00947429">
        <w:rPr>
          <w:rFonts w:ascii="Arial" w:hAnsi="Arial" w:cs="Arial"/>
        </w:rPr>
        <w:fldChar w:fldCharType="separate"/>
      </w:r>
      <w:r w:rsidR="005A347B">
        <w:rPr>
          <w:rFonts w:ascii="Arial" w:hAnsi="Arial" w:cs="Arial"/>
          <w:noProof/>
        </w:rPr>
        <w:t>(</w:t>
      </w:r>
      <w:hyperlink w:anchor="_ENREF_178" w:tooltip="Cloos, 2000 #268" w:history="1">
        <w:r w:rsidR="003B725E">
          <w:rPr>
            <w:rFonts w:ascii="Arial" w:hAnsi="Arial" w:cs="Arial"/>
            <w:noProof/>
          </w:rPr>
          <w:t>178</w:t>
        </w:r>
      </w:hyperlink>
      <w:r w:rsidR="005A347B">
        <w:rPr>
          <w:rFonts w:ascii="Arial" w:hAnsi="Arial" w:cs="Arial"/>
          <w:noProof/>
        </w:rPr>
        <w:t>)</w:t>
      </w:r>
      <w:r w:rsidR="00947429">
        <w:rPr>
          <w:rFonts w:ascii="Arial" w:hAnsi="Arial" w:cs="Arial"/>
        </w:rPr>
        <w:fldChar w:fldCharType="end"/>
      </w:r>
      <w:r w:rsidR="00947429">
        <w:rPr>
          <w:rFonts w:ascii="Arial" w:hAnsi="Arial" w:cs="Arial"/>
        </w:rPr>
        <w:t xml:space="preserve">. In states of increased bone turnover such as Paget’s disease </w:t>
      </w:r>
      <w:r w:rsidR="00947429">
        <w:rPr>
          <w:rFonts w:ascii="Arial" w:hAnsi="Arial" w:cs="Arial"/>
        </w:rPr>
        <w:fldChar w:fldCharType="begin">
          <w:fldData xml:space="preserve">PEVuZE5vdGU+PENpdGU+PEF1dGhvcj5HYXJuZXJvPC9BdXRob3I+PFllYXI+MTk5NzwvWWVhcj48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bmVyYWwgUmVzZWFyY2g8L2FiYnItMT48L2FsdC1wZXJpb2RpY2FsPjxwYWdlcz4xNDA3LTE1PC9w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PEVuZE5vdGU+PENpdGU+PEF1dGhvcj5HYXJuZXJvPC9BdXRob3I+PFllYXI+MTk5NzwvWWVhcj48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bmVyYWwgUmVzZWFyY2g8L2FiYnItMT48L2FsdC1wZXJpb2RpY2FsPjxwYWdlcz4xNDA3LTE1PC9w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947429">
        <w:rPr>
          <w:rFonts w:ascii="Arial" w:hAnsi="Arial" w:cs="Arial"/>
        </w:rPr>
      </w:r>
      <w:r w:rsidR="00947429">
        <w:rPr>
          <w:rFonts w:ascii="Arial" w:hAnsi="Arial" w:cs="Arial"/>
        </w:rPr>
        <w:fldChar w:fldCharType="separate"/>
      </w:r>
      <w:r w:rsidR="005A347B">
        <w:rPr>
          <w:rFonts w:ascii="Arial" w:hAnsi="Arial" w:cs="Arial"/>
          <w:noProof/>
        </w:rPr>
        <w:t>(</w:t>
      </w:r>
      <w:hyperlink w:anchor="_ENREF_181" w:tooltip="Garnero, 1997 #319" w:history="1">
        <w:r w:rsidR="003B725E">
          <w:rPr>
            <w:rFonts w:ascii="Arial" w:hAnsi="Arial" w:cs="Arial"/>
            <w:noProof/>
          </w:rPr>
          <w:t>181</w:t>
        </w:r>
      </w:hyperlink>
      <w:r w:rsidR="005A347B">
        <w:rPr>
          <w:rFonts w:ascii="Arial" w:hAnsi="Arial" w:cs="Arial"/>
          <w:noProof/>
        </w:rPr>
        <w:t>)</w:t>
      </w:r>
      <w:r w:rsidR="00947429">
        <w:rPr>
          <w:rFonts w:ascii="Arial" w:hAnsi="Arial" w:cs="Arial"/>
        </w:rPr>
        <w:fldChar w:fldCharType="end"/>
      </w:r>
      <w:r w:rsidR="00947429">
        <w:rPr>
          <w:rFonts w:ascii="Arial" w:hAnsi="Arial" w:cs="Arial"/>
        </w:rPr>
        <w:t xml:space="preserve">, bone metastases </w:t>
      </w:r>
      <w:r w:rsidR="00947429">
        <w:rPr>
          <w:rFonts w:ascii="Arial" w:hAnsi="Arial" w:cs="Arial"/>
        </w:rPr>
        <w:fldChar w:fldCharType="begin">
          <w:fldData xml:space="preserve">PEVuZE5vdGU+PENpdGU+PEF1dGhvcj5MZWVtaW5nPC9BdXRob3I+PFllYXI+MjAwNjwvWWVhcj48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PEVuZE5vdGU+PENpdGU+PEF1dGhvcj5MZWVtaW5nPC9BdXRob3I+PFllYXI+MjAwNjwvWWVhcj48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947429">
        <w:rPr>
          <w:rFonts w:ascii="Arial" w:hAnsi="Arial" w:cs="Arial"/>
        </w:rPr>
      </w:r>
      <w:r w:rsidR="00947429">
        <w:rPr>
          <w:rFonts w:ascii="Arial" w:hAnsi="Arial" w:cs="Arial"/>
        </w:rPr>
        <w:fldChar w:fldCharType="separate"/>
      </w:r>
      <w:r w:rsidR="005A347B">
        <w:rPr>
          <w:rFonts w:ascii="Arial" w:hAnsi="Arial" w:cs="Arial"/>
          <w:noProof/>
        </w:rPr>
        <w:t>(</w:t>
      </w:r>
      <w:hyperlink w:anchor="_ENREF_182" w:tooltip="Leeming, 2006 #270" w:history="1">
        <w:r w:rsidR="003B725E">
          <w:rPr>
            <w:rFonts w:ascii="Arial" w:hAnsi="Arial" w:cs="Arial"/>
            <w:noProof/>
          </w:rPr>
          <w:t>182</w:t>
        </w:r>
      </w:hyperlink>
      <w:r w:rsidR="005A347B">
        <w:rPr>
          <w:rFonts w:ascii="Arial" w:hAnsi="Arial" w:cs="Arial"/>
          <w:noProof/>
        </w:rPr>
        <w:t>)</w:t>
      </w:r>
      <w:r w:rsidR="00947429">
        <w:rPr>
          <w:rFonts w:ascii="Arial" w:hAnsi="Arial" w:cs="Arial"/>
        </w:rPr>
        <w:fldChar w:fldCharType="end"/>
      </w:r>
      <w:r w:rsidR="00461AAD">
        <w:rPr>
          <w:rFonts w:ascii="Arial" w:hAnsi="Arial" w:cs="Arial"/>
        </w:rPr>
        <w:t xml:space="preserve"> </w:t>
      </w:r>
      <w:r w:rsidR="00947429">
        <w:rPr>
          <w:rFonts w:ascii="Arial" w:hAnsi="Arial" w:cs="Arial"/>
        </w:rPr>
        <w:t>and possibly osteoporosis equilibrium is not achieved</w:t>
      </w:r>
    </w:p>
    <w:p w:rsidR="00E854C2" w:rsidRDefault="00C7565E" w:rsidP="00900F2C">
      <w:pPr>
        <w:spacing w:line="360" w:lineRule="auto"/>
        <w:rPr>
          <w:rFonts w:ascii="Arial" w:hAnsi="Arial" w:cs="Arial"/>
        </w:rPr>
      </w:pPr>
      <w:r>
        <w:rPr>
          <w:noProof/>
          <w:lang w:eastAsia="zh-CN"/>
        </w:rPr>
        <mc:AlternateContent>
          <mc:Choice Requires="wps">
            <w:drawing>
              <wp:anchor distT="0" distB="0" distL="114300" distR="114300" simplePos="0" relativeHeight="251831808" behindDoc="0" locked="0" layoutInCell="1" allowOverlap="1" wp14:anchorId="56542653" wp14:editId="754F324A">
                <wp:simplePos x="0" y="0"/>
                <wp:positionH relativeFrom="column">
                  <wp:posOffset>-116205</wp:posOffset>
                </wp:positionH>
                <wp:positionV relativeFrom="paragraph">
                  <wp:posOffset>126365</wp:posOffset>
                </wp:positionV>
                <wp:extent cx="5657850" cy="3876675"/>
                <wp:effectExtent l="0" t="0" r="19050" b="28575"/>
                <wp:wrapNone/>
                <wp:docPr id="77" name="Rectangle 77"/>
                <wp:cNvGraphicFramePr/>
                <a:graphic xmlns:a="http://schemas.openxmlformats.org/drawingml/2006/main">
                  <a:graphicData uri="http://schemas.microsoft.com/office/word/2010/wordprocessingShape">
                    <wps:wsp>
                      <wps:cNvSpPr/>
                      <wps:spPr>
                        <a:xfrm>
                          <a:off x="0" y="0"/>
                          <a:ext cx="5657850" cy="387667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34637" id="Rectangle 77" o:spid="_x0000_s1026" style="position:absolute;margin-left:-9.15pt;margin-top:9.95pt;width:445.5pt;height:305.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" filled="f" strokecolor="windowText" strokeweight=".5pt"/>
            </w:pict>
          </mc:Fallback>
        </mc:AlternateContent>
      </w:r>
    </w:p>
    <w:p w:rsidR="007D4624" w:rsidRDefault="009309FF" w:rsidP="003E6719">
      <w:pPr>
        <w:spacing w:line="240" w:lineRule="auto"/>
        <w:jc w:val="center"/>
        <w:rPr>
          <w:rFonts w:ascii="Arial" w:hAnsi="Arial" w:cs="Arial"/>
        </w:rPr>
      </w:pPr>
      <w:r>
        <w:rPr>
          <w:rFonts w:ascii="Arial" w:hAnsi="Arial" w:cs="Arial"/>
          <w:noProof/>
          <w:lang w:eastAsia="zh-CN"/>
        </w:rPr>
        <mc:AlternateContent>
          <mc:Choice Requires="wpg">
            <w:drawing>
              <wp:anchor distT="0" distB="0" distL="114300" distR="114300" simplePos="0" relativeHeight="250077696" behindDoc="0" locked="0" layoutInCell="1" allowOverlap="1" wp14:anchorId="36758BCB" wp14:editId="5680C0C3">
                <wp:simplePos x="0" y="0"/>
                <wp:positionH relativeFrom="column">
                  <wp:posOffset>1873250</wp:posOffset>
                </wp:positionH>
                <wp:positionV relativeFrom="paragraph">
                  <wp:posOffset>293040</wp:posOffset>
                </wp:positionV>
                <wp:extent cx="190500" cy="694690"/>
                <wp:effectExtent l="0" t="0" r="38100" b="29210"/>
                <wp:wrapNone/>
                <wp:docPr id="354" name="Group 354"/>
                <wp:cNvGraphicFramePr/>
                <a:graphic xmlns:a="http://schemas.openxmlformats.org/drawingml/2006/main">
                  <a:graphicData uri="http://schemas.microsoft.com/office/word/2010/wordprocessingGroup">
                    <wpg:wgp>
                      <wpg:cNvGrpSpPr/>
                      <wpg:grpSpPr>
                        <a:xfrm>
                          <a:off x="0" y="0"/>
                          <a:ext cx="190500" cy="694690"/>
                          <a:chOff x="0" y="0"/>
                          <a:chExt cx="190500" cy="679450"/>
                        </a:xfrm>
                      </wpg:grpSpPr>
                      <wps:wsp>
                        <wps:cNvPr id="355" name="Straight Connector 355"/>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6" name="Straight Connector 356"/>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537D0E3" id="Group 354" o:spid="_x0000_s1026" style="position:absolute;margin-left:147.5pt;margin-top:23.05pt;width:15pt;height:54.7pt;z-index:250077696;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">
                <v:line id="Straight Connector 355"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" strokecolor="#bfbfbf [2412]">
                  <v:stroke dashstyle="3 1"/>
                </v:line>
                <v:line id="Straight Connector 356"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" strokecolor="#bfbfbf [2412]">
                  <v:stroke dashstyle="3 1"/>
                </v:line>
              </v:group>
            </w:pict>
          </mc:Fallback>
        </mc:AlternateContent>
      </w:r>
      <w:r>
        <w:rPr>
          <w:rFonts w:ascii="Arial" w:hAnsi="Arial" w:cs="Arial"/>
          <w:noProof/>
          <w:lang w:eastAsia="zh-CN"/>
        </w:rPr>
        <mc:AlternateContent>
          <mc:Choice Requires="wpg">
            <w:drawing>
              <wp:anchor distT="0" distB="0" distL="114300" distR="114300" simplePos="0" relativeHeight="250042880" behindDoc="0" locked="0" layoutInCell="1" allowOverlap="1" wp14:anchorId="246FE6C3" wp14:editId="73F48C38">
                <wp:simplePos x="0" y="0"/>
                <wp:positionH relativeFrom="column">
                  <wp:posOffset>3705860</wp:posOffset>
                </wp:positionH>
                <wp:positionV relativeFrom="paragraph">
                  <wp:posOffset>292430</wp:posOffset>
                </wp:positionV>
                <wp:extent cx="190500" cy="694690"/>
                <wp:effectExtent l="0" t="0" r="38100" b="29210"/>
                <wp:wrapNone/>
                <wp:docPr id="65" name="Group 65"/>
                <wp:cNvGraphicFramePr/>
                <a:graphic xmlns:a="http://schemas.openxmlformats.org/drawingml/2006/main">
                  <a:graphicData uri="http://schemas.microsoft.com/office/word/2010/wordprocessingGroup">
                    <wpg:wgp>
                      <wpg:cNvGrpSpPr/>
                      <wpg:grpSpPr>
                        <a:xfrm>
                          <a:off x="0" y="0"/>
                          <a:ext cx="190500" cy="694690"/>
                          <a:chOff x="0" y="0"/>
                          <a:chExt cx="190500" cy="679450"/>
                        </a:xfrm>
                      </wpg:grpSpPr>
                      <wps:wsp>
                        <wps:cNvPr id="18525" name="Straight Connector 75"/>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526" name="Straight Connector 76"/>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34F3A77" id="Group 65" o:spid="_x0000_s1026" style="position:absolute;margin-left:291.8pt;margin-top:23.05pt;width:15pt;height:54.7pt;z-index:250042880;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">
                <v:line id="Straight Connector 75"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" strokecolor="#bfbfbf [2412]">
                  <v:stroke dashstyle="3 1"/>
                </v:line>
                <v:line id="Straight Connector 76"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" strokecolor="#bfbfbf [2412]">
                  <v:stroke dashstyle="3 1"/>
                </v:line>
              </v:group>
            </w:pict>
          </mc:Fallback>
        </mc:AlternateContent>
      </w:r>
      <w:r w:rsidR="00267D80" w:rsidRPr="0091055D">
        <w:rPr>
          <w:noProof/>
          <w:lang w:eastAsia="zh-CN"/>
        </w:rPr>
        <mc:AlternateContent>
          <mc:Choice Requires="wps">
            <w:drawing>
              <wp:anchor distT="0" distB="0" distL="114300" distR="114300" simplePos="0" relativeHeight="249990656" behindDoc="0" locked="0" layoutInCell="1" allowOverlap="1" wp14:anchorId="07B44831" wp14:editId="2A423F6B">
                <wp:simplePos x="0" y="0"/>
                <wp:positionH relativeFrom="column">
                  <wp:posOffset>3916985</wp:posOffset>
                </wp:positionH>
                <wp:positionV relativeFrom="paragraph">
                  <wp:posOffset>-1270</wp:posOffset>
                </wp:positionV>
                <wp:extent cx="1403350" cy="273050"/>
                <wp:effectExtent l="0" t="0" r="635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273050"/>
                        </a:xfrm>
                        <a:prstGeom prst="rect">
                          <a:avLst/>
                        </a:prstGeom>
                        <a:solidFill>
                          <a:srgbClr val="FFFFFF"/>
                        </a:solidFill>
                        <a:ln w="9525">
                          <a:noFill/>
                          <a:miter lim="800000"/>
                          <a:headEnd/>
                          <a:tailEnd/>
                        </a:ln>
                      </wps:spPr>
                      <wps:txbx>
                        <w:txbxContent>
                          <w:p w:rsidR="004166BC" w:rsidRPr="0091055D" w:rsidRDefault="004166BC" w:rsidP="007D4624">
                            <w:pPr>
                              <w:rPr>
                                <w:sz w:val="16"/>
                                <w:szCs w:val="16"/>
                              </w:rPr>
                            </w:pPr>
                            <w:proofErr w:type="gramStart"/>
                            <w:r>
                              <w:rPr>
                                <w:sz w:val="16"/>
                                <w:szCs w:val="16"/>
                              </w:rPr>
                              <w:t>α1</w:t>
                            </w:r>
                            <w:proofErr w:type="gramEnd"/>
                            <w:r>
                              <w:rPr>
                                <w:sz w:val="16"/>
                                <w:szCs w:val="16"/>
                              </w:rPr>
                              <w:t xml:space="preserve"> chain and α2 chains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44831" id="_x0000_s1091" type="#_x0000_t202" style="position:absolute;left:0;text-align:left;margin-left:308.4pt;margin-top:-.1pt;width:110.5pt;height:21.5pt;z-index:2499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" stroked="f">
                <v:textbox>
                  <w:txbxContent>
                    <w:p w:rsidR="004166BC" w:rsidRPr="0091055D" w:rsidRDefault="004166BC" w:rsidP="007D4624">
                      <w:pPr>
                        <w:rPr>
                          <w:sz w:val="16"/>
                          <w:szCs w:val="16"/>
                        </w:rPr>
                      </w:pPr>
                      <w:r>
                        <w:rPr>
                          <w:sz w:val="16"/>
                          <w:szCs w:val="16"/>
                        </w:rPr>
                        <w:t>α1 chain and α2 chains</w:t>
                      </w:r>
                    </w:p>
                  </w:txbxContent>
                </v:textbox>
              </v:shape>
            </w:pict>
          </mc:Fallback>
        </mc:AlternateContent>
      </w:r>
      <w:r w:rsidR="00267D80">
        <w:rPr>
          <w:rFonts w:ascii="Arial" w:hAnsi="Arial" w:cs="Arial"/>
          <w:noProof/>
          <w:lang w:eastAsia="zh-CN"/>
        </w:rPr>
        <mc:AlternateContent>
          <mc:Choice Requires="wps">
            <w:drawing>
              <wp:anchor distT="0" distB="0" distL="114300" distR="114300" simplePos="0" relativeHeight="250025472" behindDoc="0" locked="0" layoutInCell="1" allowOverlap="1" wp14:anchorId="4A87A784" wp14:editId="51323CE8">
                <wp:simplePos x="0" y="0"/>
                <wp:positionH relativeFrom="column">
                  <wp:posOffset>3957625</wp:posOffset>
                </wp:positionH>
                <wp:positionV relativeFrom="paragraph">
                  <wp:posOffset>19685</wp:posOffset>
                </wp:positionV>
                <wp:extent cx="45085" cy="184150"/>
                <wp:effectExtent l="0" t="0" r="12065" b="25400"/>
                <wp:wrapNone/>
                <wp:docPr id="319" name="Right Brace 319"/>
                <wp:cNvGraphicFramePr/>
                <a:graphic xmlns:a="http://schemas.openxmlformats.org/drawingml/2006/main">
                  <a:graphicData uri="http://schemas.microsoft.com/office/word/2010/wordprocessingShape">
                    <wps:wsp>
                      <wps:cNvSpPr/>
                      <wps:spPr>
                        <a:xfrm>
                          <a:off x="0" y="0"/>
                          <a:ext cx="45085" cy="18415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746314" id="Right Brace 319" o:spid="_x0000_s1026" type="#_x0000_t88" style="position:absolute;margin-left:311.6pt;margin-top:1.55pt;width:3.55pt;height:14.5pt;z-index:2500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" adj="441" strokecolor="black [3213]"/>
            </w:pict>
          </mc:Fallback>
        </mc:AlternateContent>
      </w:r>
      <w:r w:rsidR="00267D80" w:rsidRPr="007D4624">
        <w:rPr>
          <w:noProof/>
          <w:lang w:eastAsia="zh-CN"/>
        </w:rPr>
        <w:drawing>
          <wp:inline distT="0" distB="0" distL="0" distR="0" wp14:anchorId="0F5774D7" wp14:editId="292A0671">
            <wp:extent cx="2179955" cy="226695"/>
            <wp:effectExtent l="0" t="0" r="0" b="190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79955" cy="226695"/>
                    </a:xfrm>
                    <a:prstGeom prst="rect">
                      <a:avLst/>
                    </a:prstGeom>
                    <a:noFill/>
                    <a:ln>
                      <a:noFill/>
                    </a:ln>
                  </pic:spPr>
                </pic:pic>
              </a:graphicData>
            </a:graphic>
          </wp:inline>
        </w:drawing>
      </w:r>
    </w:p>
    <w:p w:rsidR="007D4624" w:rsidRDefault="00C273D9" w:rsidP="00900F2C">
      <w:pPr>
        <w:spacing w:line="240" w:lineRule="auto"/>
        <w:rPr>
          <w:rFonts w:ascii="Arial" w:hAnsi="Arial" w:cs="Arial"/>
        </w:rPr>
      </w:pPr>
      <w:r w:rsidRPr="0091055D">
        <w:rPr>
          <w:rFonts w:ascii="Arial" w:hAnsi="Arial" w:cs="Arial"/>
          <w:noProof/>
          <w:lang w:eastAsia="zh-CN"/>
        </w:rPr>
        <mc:AlternateContent>
          <mc:Choice Requires="wps">
            <w:drawing>
              <wp:anchor distT="0" distB="0" distL="114300" distR="114300" simplePos="0" relativeHeight="249833984" behindDoc="0" locked="0" layoutInCell="1" allowOverlap="1" wp14:anchorId="4847EB5C" wp14:editId="0A1D0AF5">
                <wp:simplePos x="0" y="0"/>
                <wp:positionH relativeFrom="column">
                  <wp:posOffset>111760</wp:posOffset>
                </wp:positionH>
                <wp:positionV relativeFrom="paragraph">
                  <wp:posOffset>12065</wp:posOffset>
                </wp:positionV>
                <wp:extent cx="933450" cy="273050"/>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3050"/>
                        </a:xfrm>
                        <a:prstGeom prst="rect">
                          <a:avLst/>
                        </a:prstGeom>
                        <a:solidFill>
                          <a:srgbClr val="FFFFFF"/>
                        </a:solidFill>
                        <a:ln w="9525">
                          <a:noFill/>
                          <a:miter lim="800000"/>
                          <a:headEnd/>
                          <a:tailEnd/>
                        </a:ln>
                      </wps:spPr>
                      <wps:txbx>
                        <w:txbxContent>
                          <w:p w:rsidR="004166BC" w:rsidRPr="0091055D" w:rsidRDefault="004166BC" w:rsidP="00826B74">
                            <w:pPr>
                              <w:rPr>
                                <w:sz w:val="16"/>
                                <w:szCs w:val="16"/>
                              </w:rPr>
                            </w:pPr>
                            <w:r>
                              <w:rPr>
                                <w:sz w:val="16"/>
                                <w:szCs w:val="16"/>
                              </w:rPr>
                              <w:t>Type I collagen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7EB5C" id="_x0000_s1092" type="#_x0000_t202" style="position:absolute;margin-left:8.8pt;margin-top:.95pt;width:73.5pt;height:21.5pt;z-index:2498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" stroked="f">
                <v:textbox>
                  <w:txbxContent>
                    <w:p w:rsidR="004166BC" w:rsidRPr="0091055D" w:rsidRDefault="004166BC" w:rsidP="00826B74">
                      <w:pPr>
                        <w:rPr>
                          <w:sz w:val="16"/>
                          <w:szCs w:val="16"/>
                        </w:rPr>
                      </w:pPr>
                      <w:r>
                        <w:rPr>
                          <w:sz w:val="16"/>
                          <w:szCs w:val="16"/>
                        </w:rPr>
                        <w:t>Type I collagen</w:t>
                      </w:r>
                    </w:p>
                  </w:txbxContent>
                </v:textbox>
              </v:shape>
            </w:pict>
          </mc:Fallback>
        </mc:AlternateContent>
      </w:r>
    </w:p>
    <w:p w:rsidR="00267D80" w:rsidRDefault="00267D80" w:rsidP="00900F2C">
      <w:pPr>
        <w:spacing w:line="240" w:lineRule="auto"/>
        <w:rPr>
          <w:rFonts w:ascii="Arial" w:hAnsi="Arial" w:cs="Arial"/>
        </w:rPr>
      </w:pPr>
    </w:p>
    <w:p w:rsidR="0042202D" w:rsidRDefault="00DE5D0F" w:rsidP="00900F2C">
      <w:pPr>
        <w:spacing w:line="240" w:lineRule="auto"/>
        <w:rPr>
          <w:rFonts w:ascii="Arial" w:hAnsi="Arial" w:cs="Arial"/>
        </w:rPr>
      </w:pPr>
      <w:r w:rsidRPr="0091055D">
        <w:rPr>
          <w:rFonts w:ascii="Arial" w:hAnsi="Arial" w:cs="Arial"/>
          <w:noProof/>
          <w:lang w:eastAsia="zh-CN"/>
        </w:rPr>
        <mc:AlternateContent>
          <mc:Choice Requires="wps">
            <w:drawing>
              <wp:anchor distT="0" distB="0" distL="114300" distR="114300" simplePos="0" relativeHeight="250164736" behindDoc="0" locked="0" layoutInCell="1" allowOverlap="1" wp14:anchorId="449E243C" wp14:editId="01E0FA53">
                <wp:simplePos x="0" y="0"/>
                <wp:positionH relativeFrom="column">
                  <wp:posOffset>971550</wp:posOffset>
                </wp:positionH>
                <wp:positionV relativeFrom="paragraph">
                  <wp:posOffset>188595</wp:posOffset>
                </wp:positionV>
                <wp:extent cx="619125" cy="272415"/>
                <wp:effectExtent l="0" t="0" r="9525" b="0"/>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72415"/>
                        </a:xfrm>
                        <a:prstGeom prst="rect">
                          <a:avLst/>
                        </a:prstGeom>
                        <a:solidFill>
                          <a:srgbClr val="FFFFFF"/>
                        </a:solidFill>
                        <a:ln w="9525">
                          <a:noFill/>
                          <a:miter lim="800000"/>
                          <a:headEnd/>
                          <a:tailEnd/>
                        </a:ln>
                      </wps:spPr>
                      <wps:txbx>
                        <w:txbxContent>
                          <w:p w:rsidR="004166BC" w:rsidRPr="0091055D" w:rsidRDefault="004166BC" w:rsidP="00F001A7">
                            <w:pPr>
                              <w:rPr>
                                <w:sz w:val="16"/>
                                <w:szCs w:val="16"/>
                              </w:rPr>
                            </w:pPr>
                            <w:proofErr w:type="gramStart"/>
                            <w:r>
                              <w:rPr>
                                <w:sz w:val="16"/>
                                <w:szCs w:val="16"/>
                              </w:rPr>
                              <w:t>α2</w:t>
                            </w:r>
                            <w:proofErr w:type="gramEnd"/>
                            <w:r>
                              <w:rPr>
                                <w:sz w:val="16"/>
                                <w:szCs w:val="16"/>
                              </w:rPr>
                              <w:t xml:space="preserve"> chain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E243C" id="_x0000_s1093" type="#_x0000_t202" style="position:absolute;margin-left:76.5pt;margin-top:14.85pt;width:48.75pt;height:21.45pt;z-index:2501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" stroked="f">
                <v:textbox>
                  <w:txbxContent>
                    <w:p w:rsidR="004166BC" w:rsidRPr="0091055D" w:rsidRDefault="004166BC" w:rsidP="00F001A7">
                      <w:pPr>
                        <w:rPr>
                          <w:sz w:val="16"/>
                          <w:szCs w:val="16"/>
                        </w:rPr>
                      </w:pPr>
                      <w:r>
                        <w:rPr>
                          <w:sz w:val="16"/>
                          <w:szCs w:val="16"/>
                        </w:rPr>
                        <w:t>α2 chain</w:t>
                      </w:r>
                    </w:p>
                  </w:txbxContent>
                </v:textbox>
              </v:shape>
            </w:pict>
          </mc:Fallback>
        </mc:AlternateContent>
      </w:r>
      <w:r w:rsidR="00F00BAB" w:rsidRPr="0091055D">
        <w:rPr>
          <w:rFonts w:ascii="Arial" w:hAnsi="Arial" w:cs="Arial"/>
          <w:noProof/>
          <w:lang w:eastAsia="zh-CN"/>
        </w:rPr>
        <mc:AlternateContent>
          <mc:Choice Requires="wps">
            <w:drawing>
              <wp:anchor distT="0" distB="0" distL="114300" distR="114300" simplePos="0" relativeHeight="250182144" behindDoc="0" locked="0" layoutInCell="1" allowOverlap="1" wp14:anchorId="2EF0048A" wp14:editId="48EAF96D">
                <wp:simplePos x="0" y="0"/>
                <wp:positionH relativeFrom="column">
                  <wp:posOffset>5005070</wp:posOffset>
                </wp:positionH>
                <wp:positionV relativeFrom="paragraph">
                  <wp:posOffset>201930</wp:posOffset>
                </wp:positionV>
                <wp:extent cx="933450" cy="273050"/>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3050"/>
                        </a:xfrm>
                        <a:prstGeom prst="rect">
                          <a:avLst/>
                        </a:prstGeom>
                        <a:solidFill>
                          <a:srgbClr val="FFFFFF"/>
                        </a:solidFill>
                        <a:ln w="9525">
                          <a:noFill/>
                          <a:miter lim="800000"/>
                          <a:headEnd/>
                          <a:tailEnd/>
                        </a:ln>
                      </wps:spPr>
                      <wps:txbx>
                        <w:txbxContent>
                          <w:p w:rsidR="004166BC" w:rsidRDefault="004166BC" w:rsidP="00353E43">
                            <w:pPr>
                              <w:rPr>
                                <w:sz w:val="16"/>
                                <w:szCs w:val="16"/>
                              </w:rPr>
                            </w:pPr>
                            <w:proofErr w:type="gramStart"/>
                            <w:r>
                              <w:rPr>
                                <w:sz w:val="16"/>
                                <w:szCs w:val="16"/>
                              </w:rPr>
                              <w:t>α1</w:t>
                            </w:r>
                            <w:proofErr w:type="gramEnd"/>
                            <w:r>
                              <w:rPr>
                                <w:sz w:val="16"/>
                                <w:szCs w:val="16"/>
                              </w:rPr>
                              <w:t xml:space="preserve"> chain</w:t>
                            </w:r>
                          </w:p>
                          <w:p w:rsidR="004166BC" w:rsidRPr="0091055D" w:rsidRDefault="004166BC" w:rsidP="00353E43">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0048A" id="_x0000_s1094" type="#_x0000_t202" style="position:absolute;margin-left:394.1pt;margin-top:15.9pt;width:73.5pt;height:21.5pt;z-index:2501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" stroked="f">
                <v:textbox>
                  <w:txbxContent>
                    <w:p w:rsidR="004166BC" w:rsidRDefault="004166BC" w:rsidP="00353E43">
                      <w:pPr>
                        <w:rPr>
                          <w:sz w:val="16"/>
                          <w:szCs w:val="16"/>
                        </w:rPr>
                      </w:pPr>
                      <w:r>
                        <w:rPr>
                          <w:sz w:val="16"/>
                          <w:szCs w:val="16"/>
                        </w:rPr>
                        <w:t>α1 chain</w:t>
                      </w:r>
                    </w:p>
                    <w:p w:rsidR="004166BC" w:rsidRPr="0091055D" w:rsidRDefault="004166BC" w:rsidP="00353E43">
                      <w:pPr>
                        <w:rPr>
                          <w:sz w:val="16"/>
                          <w:szCs w:val="16"/>
                        </w:rPr>
                      </w:pPr>
                    </w:p>
                  </w:txbxContent>
                </v:textbox>
              </v:shape>
            </w:pict>
          </mc:Fallback>
        </mc:AlternateContent>
      </w:r>
      <w:r w:rsidR="000673BD">
        <w:rPr>
          <w:noProof/>
          <w:lang w:eastAsia="zh-CN"/>
        </w:rPr>
        <mc:AlternateContent>
          <mc:Choice Requires="wps">
            <w:drawing>
              <wp:anchor distT="0" distB="0" distL="114300" distR="114300" simplePos="0" relativeHeight="249781760" behindDoc="0" locked="0" layoutInCell="1" allowOverlap="1" wp14:anchorId="796FAC87" wp14:editId="4C3AA064">
                <wp:simplePos x="0" y="0"/>
                <wp:positionH relativeFrom="column">
                  <wp:posOffset>1589100</wp:posOffset>
                </wp:positionH>
                <wp:positionV relativeFrom="paragraph">
                  <wp:posOffset>180340</wp:posOffset>
                </wp:positionV>
                <wp:extent cx="760730" cy="272415"/>
                <wp:effectExtent l="0" t="0" r="127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272415"/>
                        </a:xfrm>
                        <a:prstGeom prst="rect">
                          <a:avLst/>
                        </a:prstGeom>
                        <a:solidFill>
                          <a:srgbClr val="FFFFFF"/>
                        </a:solidFill>
                        <a:ln w="9525">
                          <a:noFill/>
                          <a:miter lim="800000"/>
                          <a:headEnd/>
                          <a:tailEnd/>
                        </a:ln>
                      </wps:spPr>
                      <wps:txbx>
                        <w:txbxContent>
                          <w:p w:rsidR="004166BC" w:rsidRPr="000673BD" w:rsidRDefault="004166BC" w:rsidP="009309FF">
                            <w:pPr>
                              <w:rPr>
                                <w:b/>
                                <w:sz w:val="20"/>
                                <w:szCs w:val="20"/>
                              </w:rPr>
                            </w:pPr>
                            <w:r w:rsidRPr="000673BD">
                              <w:rPr>
                                <w:rFonts w:cs="Arial"/>
                                <w:b/>
                                <w:sz w:val="20"/>
                                <w:szCs w:val="20"/>
                              </w:rPr>
                              <w:t>JYDGKGV</w:t>
                            </w:r>
                            <w:r>
                              <w:rPr>
                                <w:rFonts w:cs="Arial"/>
                                <w:b/>
                                <w:sz w:val="20"/>
                                <w:szCs w:val="20"/>
                              </w:rPr>
                              <w:t>G</w:t>
                            </w:r>
                            <w:r w:rsidRPr="000673BD">
                              <w:rPr>
                                <w:rFonts w:cs="Arial"/>
                                <w:b/>
                                <w:sz w:val="20"/>
                                <w:szCs w:val="20"/>
                              </w:rPr>
                              <w:t>G</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96FAC87" id="_x0000_s1095" type="#_x0000_t202" style="position:absolute;margin-left:125.15pt;margin-top:14.2pt;width:59.9pt;height:21.45pt;z-index:24978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" stroked="f">
                <v:textbox>
                  <w:txbxContent>
                    <w:p w:rsidR="004166BC" w:rsidRPr="000673BD" w:rsidRDefault="004166BC" w:rsidP="009309FF">
                      <w:pPr>
                        <w:rPr>
                          <w:b/>
                          <w:sz w:val="20"/>
                          <w:szCs w:val="20"/>
                        </w:rPr>
                      </w:pPr>
                      <w:r w:rsidRPr="000673BD">
                        <w:rPr>
                          <w:rFonts w:cs="Arial"/>
                          <w:b/>
                          <w:sz w:val="20"/>
                          <w:szCs w:val="20"/>
                        </w:rPr>
                        <w:t>JYDGKGV</w:t>
                      </w:r>
                      <w:r>
                        <w:rPr>
                          <w:rFonts w:cs="Arial"/>
                          <w:b/>
                          <w:sz w:val="20"/>
                          <w:szCs w:val="20"/>
                        </w:rPr>
                        <w:t>G</w:t>
                      </w:r>
                      <w:r w:rsidRPr="000673BD">
                        <w:rPr>
                          <w:rFonts w:cs="Arial"/>
                          <w:b/>
                          <w:sz w:val="20"/>
                          <w:szCs w:val="20"/>
                        </w:rPr>
                        <w:t>G</w:t>
                      </w:r>
                    </w:p>
                  </w:txbxContent>
                </v:textbox>
              </v:shape>
            </w:pict>
          </mc:Fallback>
        </mc:AlternateContent>
      </w:r>
      <w:r w:rsidR="000673BD" w:rsidRPr="009309FF">
        <w:rPr>
          <w:rFonts w:ascii="Arial" w:hAnsi="Arial" w:cs="Arial"/>
          <w:noProof/>
          <w:lang w:eastAsia="zh-CN"/>
        </w:rPr>
        <mc:AlternateContent>
          <mc:Choice Requires="wps">
            <w:drawing>
              <wp:anchor distT="0" distB="0" distL="114300" distR="114300" simplePos="0" relativeHeight="249799168" behindDoc="0" locked="0" layoutInCell="1" allowOverlap="1" wp14:anchorId="00280528" wp14:editId="1A5A876E">
                <wp:simplePos x="0" y="0"/>
                <wp:positionH relativeFrom="column">
                  <wp:posOffset>1956130</wp:posOffset>
                </wp:positionH>
                <wp:positionV relativeFrom="paragraph">
                  <wp:posOffset>45085</wp:posOffset>
                </wp:positionV>
                <wp:extent cx="526415" cy="211455"/>
                <wp:effectExtent l="0" t="0" r="6985"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11455"/>
                        </a:xfrm>
                        <a:prstGeom prst="rect">
                          <a:avLst/>
                        </a:prstGeom>
                        <a:solidFill>
                          <a:srgbClr val="FFFFFF"/>
                        </a:solidFill>
                        <a:ln w="9525">
                          <a:noFill/>
                          <a:miter lim="800000"/>
                          <a:headEnd/>
                          <a:tailEnd/>
                        </a:ln>
                      </wps:spPr>
                      <wps:txbx>
                        <w:txbxContent>
                          <w:p w:rsidR="004166BC" w:rsidRPr="005231E9" w:rsidRDefault="004166BC" w:rsidP="009309FF">
                            <w:pPr>
                              <w:rPr>
                                <w:sz w:val="12"/>
                                <w:szCs w:val="12"/>
                              </w:rPr>
                            </w:pPr>
                            <w:r w:rsidRPr="005231E9">
                              <w:rPr>
                                <w:sz w:val="12"/>
                                <w:szCs w:val="12"/>
                              </w:rPr>
                              <w:t>Cathepsin K</w:t>
                            </w:r>
                          </w:p>
                        </w:txbxContent>
                      </wps:txbx>
                      <wps:bodyPr rot="0" vert="horz" wrap="square" lIns="91440" tIns="45720" rIns="91440" bIns="45720" anchor="t" anchorCtr="0">
                        <a:noAutofit/>
                      </wps:bodyPr>
                    </wps:wsp>
                  </a:graphicData>
                </a:graphic>
              </wp:anchor>
            </w:drawing>
          </mc:Choice>
          <mc:Fallback>
            <w:pict>
              <v:shape w14:anchorId="00280528" id="_x0000_s1096" type="#_x0000_t202" style="position:absolute;margin-left:154.05pt;margin-top:3.55pt;width:41.45pt;height:16.65pt;z-index:24979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" stroked="f">
                <v:textbox>
                  <w:txbxContent>
                    <w:p w:rsidR="004166BC" w:rsidRPr="005231E9" w:rsidRDefault="004166BC" w:rsidP="009309FF">
                      <w:pPr>
                        <w:rPr>
                          <w:sz w:val="12"/>
                          <w:szCs w:val="12"/>
                        </w:rPr>
                      </w:pPr>
                      <w:r w:rsidRPr="005231E9">
                        <w:rPr>
                          <w:sz w:val="12"/>
                          <w:szCs w:val="12"/>
                        </w:rPr>
                        <w:t>Cathepsin K</w:t>
                      </w:r>
                    </w:p>
                  </w:txbxContent>
                </v:textbox>
              </v:shape>
            </w:pict>
          </mc:Fallback>
        </mc:AlternateContent>
      </w:r>
      <w:r w:rsidR="000673BD">
        <w:rPr>
          <w:noProof/>
          <w:lang w:eastAsia="zh-CN"/>
        </w:rPr>
        <mc:AlternateContent>
          <mc:Choice Requires="wps">
            <w:drawing>
              <wp:anchor distT="0" distB="0" distL="114300" distR="114300" simplePos="0" relativeHeight="250112512" behindDoc="0" locked="0" layoutInCell="1" allowOverlap="1" wp14:anchorId="1E0A4DC6" wp14:editId="0C56595D">
                <wp:simplePos x="0" y="0"/>
                <wp:positionH relativeFrom="column">
                  <wp:posOffset>2214550</wp:posOffset>
                </wp:positionH>
                <wp:positionV relativeFrom="paragraph">
                  <wp:posOffset>180340</wp:posOffset>
                </wp:positionV>
                <wp:extent cx="15875" cy="393700"/>
                <wp:effectExtent l="76200" t="0" r="79375" b="63500"/>
                <wp:wrapNone/>
                <wp:docPr id="361" name="Straight Arrow Connector 361"/>
                <wp:cNvGraphicFramePr/>
                <a:graphic xmlns:a="http://schemas.openxmlformats.org/drawingml/2006/main">
                  <a:graphicData uri="http://schemas.microsoft.com/office/word/2010/wordprocessingShape">
                    <wps:wsp>
                      <wps:cNvCnPr/>
                      <wps:spPr>
                        <a:xfrm>
                          <a:off x="0" y="0"/>
                          <a:ext cx="15875" cy="39370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4036C3" id="Straight Arrow Connector 361" o:spid="_x0000_s1026" type="#_x0000_t32" style="position:absolute;margin-left:174.35pt;margin-top:14.2pt;width:1.25pt;height:31pt;z-index:2501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" strokecolor="black [3213]" strokeweight="1pt">
                <v:stroke dashstyle="3 1" endarrow="open"/>
              </v:shape>
            </w:pict>
          </mc:Fallback>
        </mc:AlternateContent>
      </w:r>
      <w:r w:rsidR="000673BD" w:rsidRPr="0091055D">
        <w:rPr>
          <w:rFonts w:ascii="Arial" w:hAnsi="Arial" w:cs="Arial"/>
          <w:noProof/>
          <w:lang w:eastAsia="zh-CN"/>
        </w:rPr>
        <mc:AlternateContent>
          <mc:Choice Requires="wps">
            <w:drawing>
              <wp:anchor distT="0" distB="0" distL="114300" distR="114300" simplePos="0" relativeHeight="249816576" behindDoc="0" locked="0" layoutInCell="1" allowOverlap="1" wp14:anchorId="67AF05D2" wp14:editId="407F3C9B">
                <wp:simplePos x="0" y="0"/>
                <wp:positionH relativeFrom="column">
                  <wp:posOffset>2998470</wp:posOffset>
                </wp:positionH>
                <wp:positionV relativeFrom="paragraph">
                  <wp:posOffset>39065</wp:posOffset>
                </wp:positionV>
                <wp:extent cx="526415" cy="212090"/>
                <wp:effectExtent l="0" t="0" r="6985" b="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12090"/>
                        </a:xfrm>
                        <a:prstGeom prst="rect">
                          <a:avLst/>
                        </a:prstGeom>
                        <a:solidFill>
                          <a:srgbClr val="FFFFFF"/>
                        </a:solidFill>
                        <a:ln w="9525">
                          <a:noFill/>
                          <a:miter lim="800000"/>
                          <a:headEnd/>
                          <a:tailEnd/>
                        </a:ln>
                      </wps:spPr>
                      <wps:txbx>
                        <w:txbxContent>
                          <w:p w:rsidR="004166BC" w:rsidRPr="005231E9" w:rsidRDefault="004166BC" w:rsidP="009309FF">
                            <w:pPr>
                              <w:rPr>
                                <w:sz w:val="12"/>
                                <w:szCs w:val="12"/>
                              </w:rPr>
                            </w:pPr>
                            <w:r w:rsidRPr="005231E9">
                              <w:rPr>
                                <w:sz w:val="12"/>
                                <w:szCs w:val="12"/>
                              </w:rPr>
                              <w:t>MMP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F05D2" id="_x0000_s1097" type="#_x0000_t202" style="position:absolute;margin-left:236.1pt;margin-top:3.1pt;width:41.45pt;height:16.7pt;z-index:2498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" stroked="f">
                <v:textbox>
                  <w:txbxContent>
                    <w:p w:rsidR="004166BC" w:rsidRPr="005231E9" w:rsidRDefault="004166BC" w:rsidP="009309FF">
                      <w:pPr>
                        <w:rPr>
                          <w:sz w:val="12"/>
                          <w:szCs w:val="12"/>
                        </w:rPr>
                      </w:pPr>
                      <w:r w:rsidRPr="005231E9">
                        <w:rPr>
                          <w:sz w:val="12"/>
                          <w:szCs w:val="12"/>
                        </w:rPr>
                        <w:t>MMP</w:t>
                      </w:r>
                    </w:p>
                  </w:txbxContent>
                </v:textbox>
              </v:shape>
            </w:pict>
          </mc:Fallback>
        </mc:AlternateContent>
      </w:r>
      <w:r w:rsidR="00F001A7">
        <w:rPr>
          <w:rFonts w:ascii="Arial" w:hAnsi="Arial" w:cs="Arial"/>
          <w:noProof/>
          <w:lang w:eastAsia="zh-CN"/>
        </w:rPr>
        <mc:AlternateContent>
          <mc:Choice Requires="wpg">
            <w:drawing>
              <wp:anchor distT="0" distB="0" distL="114300" distR="114300" simplePos="0" relativeHeight="250060288" behindDoc="0" locked="0" layoutInCell="1" allowOverlap="1" wp14:anchorId="6C44CEB0" wp14:editId="26BA219D">
                <wp:simplePos x="0" y="0"/>
                <wp:positionH relativeFrom="column">
                  <wp:posOffset>2830982</wp:posOffset>
                </wp:positionH>
                <wp:positionV relativeFrom="paragraph">
                  <wp:posOffset>33782</wp:posOffset>
                </wp:positionV>
                <wp:extent cx="2779395" cy="540676"/>
                <wp:effectExtent l="0" t="0" r="1905" b="69215"/>
                <wp:wrapNone/>
                <wp:docPr id="353" name="Group 353"/>
                <wp:cNvGraphicFramePr/>
                <a:graphic xmlns:a="http://schemas.openxmlformats.org/drawingml/2006/main">
                  <a:graphicData uri="http://schemas.microsoft.com/office/word/2010/wordprocessingGroup">
                    <wpg:wgp>
                      <wpg:cNvGrpSpPr/>
                      <wpg:grpSpPr>
                        <a:xfrm>
                          <a:off x="0" y="0"/>
                          <a:ext cx="2779395" cy="540676"/>
                          <a:chOff x="0" y="30373"/>
                          <a:chExt cx="2515870" cy="374351"/>
                        </a:xfrm>
                      </wpg:grpSpPr>
                      <wps:wsp>
                        <wps:cNvPr id="195" name="Text Box 2"/>
                        <wps:cNvSpPr txBox="1">
                          <a:spLocks noChangeArrowheads="1"/>
                        </wps:cNvSpPr>
                        <wps:spPr bwMode="auto">
                          <a:xfrm>
                            <a:off x="1649824" y="30381"/>
                            <a:ext cx="526415" cy="212090"/>
                          </a:xfrm>
                          <a:prstGeom prst="rect">
                            <a:avLst/>
                          </a:prstGeom>
                          <a:solidFill>
                            <a:srgbClr val="FFFFFF"/>
                          </a:solidFill>
                          <a:ln w="9525">
                            <a:noFill/>
                            <a:miter lim="800000"/>
                            <a:headEnd/>
                            <a:tailEnd/>
                          </a:ln>
                        </wps:spPr>
                        <wps:txbx>
                          <w:txbxContent>
                            <w:p w:rsidR="004166BC" w:rsidRPr="005231E9" w:rsidRDefault="004166BC" w:rsidP="009309FF">
                              <w:pPr>
                                <w:rPr>
                                  <w:sz w:val="12"/>
                                  <w:szCs w:val="12"/>
                                </w:rPr>
                              </w:pPr>
                              <w:r w:rsidRPr="005231E9">
                                <w:rPr>
                                  <w:sz w:val="12"/>
                                  <w:szCs w:val="12"/>
                                </w:rPr>
                                <w:t>Cathepsin K</w:t>
                              </w:r>
                            </w:p>
                          </w:txbxContent>
                        </wps:txbx>
                        <wps:bodyPr rot="0" vert="horz" wrap="square" lIns="91440" tIns="45720" rIns="91440" bIns="45720" anchor="t" anchorCtr="0">
                          <a:noAutofit/>
                        </wps:bodyPr>
                      </wps:wsp>
                      <wps:wsp>
                        <wps:cNvPr id="196" name="Text Box 2"/>
                        <wps:cNvSpPr txBox="1">
                          <a:spLocks noChangeArrowheads="1"/>
                        </wps:cNvSpPr>
                        <wps:spPr bwMode="auto">
                          <a:xfrm>
                            <a:off x="1095257" y="30373"/>
                            <a:ext cx="526415" cy="212090"/>
                          </a:xfrm>
                          <a:prstGeom prst="rect">
                            <a:avLst/>
                          </a:prstGeom>
                          <a:solidFill>
                            <a:srgbClr val="FFFFFF"/>
                          </a:solidFill>
                          <a:ln w="9525">
                            <a:noFill/>
                            <a:miter lim="800000"/>
                            <a:headEnd/>
                            <a:tailEnd/>
                          </a:ln>
                        </wps:spPr>
                        <wps:txbx>
                          <w:txbxContent>
                            <w:p w:rsidR="004166BC" w:rsidRPr="005231E9" w:rsidRDefault="004166BC" w:rsidP="009309FF">
                              <w:pPr>
                                <w:rPr>
                                  <w:sz w:val="12"/>
                                  <w:szCs w:val="12"/>
                                </w:rPr>
                              </w:pPr>
                              <w:r w:rsidRPr="005231E9">
                                <w:rPr>
                                  <w:sz w:val="12"/>
                                  <w:szCs w:val="12"/>
                                </w:rPr>
                                <w:t>Cathepsin K</w:t>
                              </w:r>
                            </w:p>
                          </w:txbxContent>
                        </wps:txbx>
                        <wps:bodyPr rot="0" vert="horz" wrap="square" lIns="91440" tIns="45720" rIns="91440" bIns="45720" anchor="t" anchorCtr="0">
                          <a:noAutofit/>
                        </wps:bodyPr>
                      </wps:wsp>
                      <wps:wsp>
                        <wps:cNvPr id="197" name="Text Box 2"/>
                        <wps:cNvSpPr txBox="1">
                          <a:spLocks noChangeArrowheads="1"/>
                        </wps:cNvSpPr>
                        <wps:spPr bwMode="auto">
                          <a:xfrm>
                            <a:off x="577583" y="30373"/>
                            <a:ext cx="526415" cy="212090"/>
                          </a:xfrm>
                          <a:prstGeom prst="rect">
                            <a:avLst/>
                          </a:prstGeom>
                          <a:solidFill>
                            <a:srgbClr val="FFFFFF"/>
                          </a:solidFill>
                          <a:ln w="9525">
                            <a:noFill/>
                            <a:miter lim="800000"/>
                            <a:headEnd/>
                            <a:tailEnd/>
                          </a:ln>
                        </wps:spPr>
                        <wps:txbx>
                          <w:txbxContent>
                            <w:p w:rsidR="004166BC" w:rsidRPr="005231E9" w:rsidRDefault="004166BC" w:rsidP="0042202D">
                              <w:pPr>
                                <w:rPr>
                                  <w:sz w:val="12"/>
                                  <w:szCs w:val="12"/>
                                </w:rPr>
                              </w:pPr>
                              <w:r w:rsidRPr="005231E9">
                                <w:rPr>
                                  <w:sz w:val="12"/>
                                  <w:szCs w:val="12"/>
                                </w:rPr>
                                <w:t>Cathepsin K</w:t>
                              </w:r>
                            </w:p>
                          </w:txbxContent>
                        </wps:txbx>
                        <wps:bodyPr rot="0" vert="horz" wrap="square" lIns="91440" tIns="45720" rIns="91440" bIns="45720" anchor="t" anchorCtr="0">
                          <a:noAutofit/>
                        </wps:bodyPr>
                      </wps:wsp>
                      <wps:wsp>
                        <wps:cNvPr id="198" name="Text Box 2"/>
                        <wps:cNvSpPr txBox="1">
                          <a:spLocks noChangeArrowheads="1"/>
                        </wps:cNvSpPr>
                        <wps:spPr bwMode="auto">
                          <a:xfrm>
                            <a:off x="0" y="131674"/>
                            <a:ext cx="2515870" cy="273050"/>
                          </a:xfrm>
                          <a:prstGeom prst="rect">
                            <a:avLst/>
                          </a:prstGeom>
                          <a:solidFill>
                            <a:srgbClr val="FFFFFF"/>
                          </a:solidFill>
                          <a:ln w="9525">
                            <a:noFill/>
                            <a:miter lim="800000"/>
                            <a:headEnd/>
                            <a:tailEnd/>
                          </a:ln>
                        </wps:spPr>
                        <wps:txbx>
                          <w:txbxContent>
                            <w:p w:rsidR="004166BC" w:rsidRPr="00F001A7" w:rsidRDefault="004166BC" w:rsidP="0042202D">
                              <w:pPr>
                                <w:rPr>
                                  <w:b/>
                                  <w:sz w:val="20"/>
                                  <w:szCs w:val="20"/>
                                </w:rPr>
                              </w:pPr>
                              <w:r w:rsidRPr="00F001A7">
                                <w:rPr>
                                  <w:b/>
                                  <w:sz w:val="20"/>
                                  <w:szCs w:val="20"/>
                                </w:rPr>
                                <w:t xml:space="preserve">GPP   SAGFDFS   </w:t>
                              </w:r>
                              <w:proofErr w:type="gramStart"/>
                              <w:r w:rsidRPr="00F001A7">
                                <w:rPr>
                                  <w:b/>
                                  <w:sz w:val="20"/>
                                  <w:szCs w:val="20"/>
                                </w:rPr>
                                <w:t>FLPQPPQ  EKAHDGGR</w:t>
                              </w:r>
                              <w:proofErr w:type="gramEnd"/>
                            </w:p>
                          </w:txbxContent>
                        </wps:txbx>
                        <wps:bodyPr rot="0" vert="horz" wrap="square" lIns="91440" tIns="45720" rIns="91440" bIns="45720" anchor="t" anchorCtr="0">
                          <a:noAutofit/>
                        </wps:bodyPr>
                      </wps:wsp>
                      <wps:wsp>
                        <wps:cNvPr id="201" name="Straight Arrow Connector 90"/>
                        <wps:cNvCnPr/>
                        <wps:spPr>
                          <a:xfrm>
                            <a:off x="312473" y="131674"/>
                            <a:ext cx="14605" cy="27305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202" name="Straight Arrow Connector 96"/>
                        <wps:cNvCnPr/>
                        <wps:spPr>
                          <a:xfrm>
                            <a:off x="812364" y="131674"/>
                            <a:ext cx="14605" cy="27305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203" name="Straight Arrow Connector 101"/>
                        <wps:cNvCnPr/>
                        <wps:spPr>
                          <a:xfrm>
                            <a:off x="1331426" y="131674"/>
                            <a:ext cx="14605" cy="27305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204" name="Straight Arrow Connector 112"/>
                        <wps:cNvCnPr/>
                        <wps:spPr>
                          <a:xfrm>
                            <a:off x="1926413" y="131674"/>
                            <a:ext cx="14605" cy="27305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44CEB0" id="Group 353" o:spid="_x0000_s1098" style="position:absolute;margin-left:222.9pt;margin-top:2.65pt;width:218.85pt;height:42.55pt;z-index:250060288;mso-width-relative:margin;mso-height-relative:margin" coordorigin=",303" coordsize="25158,3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">
                <v:shape id="_x0000_s1099" type="#_x0000_t202" style="position:absolute;left:16498;top:303;width:526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rsidR="004166BC" w:rsidRPr="005231E9" w:rsidRDefault="004166BC" w:rsidP="009309FF">
                        <w:pPr>
                          <w:rPr>
                            <w:sz w:val="12"/>
                            <w:szCs w:val="12"/>
                          </w:rPr>
                        </w:pPr>
                        <w:r w:rsidRPr="005231E9">
                          <w:rPr>
                            <w:sz w:val="12"/>
                            <w:szCs w:val="12"/>
                          </w:rPr>
                          <w:t>Cathepsin K</w:t>
                        </w:r>
                      </w:p>
                    </w:txbxContent>
                  </v:textbox>
                </v:shape>
                <v:shape id="_x0000_s1100" type="#_x0000_t202" style="position:absolute;left:10952;top:303;width:526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rsidR="004166BC" w:rsidRPr="005231E9" w:rsidRDefault="004166BC" w:rsidP="009309FF">
                        <w:pPr>
                          <w:rPr>
                            <w:sz w:val="12"/>
                            <w:szCs w:val="12"/>
                          </w:rPr>
                        </w:pPr>
                        <w:r w:rsidRPr="005231E9">
                          <w:rPr>
                            <w:sz w:val="12"/>
                            <w:szCs w:val="12"/>
                          </w:rPr>
                          <w:t>Cathepsin K</w:t>
                        </w:r>
                      </w:p>
                    </w:txbxContent>
                  </v:textbox>
                </v:shape>
                <v:shape id="_x0000_s1101" type="#_x0000_t202" style="position:absolute;left:5775;top:303;width:526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rsidR="004166BC" w:rsidRPr="005231E9" w:rsidRDefault="004166BC" w:rsidP="0042202D">
                        <w:pPr>
                          <w:rPr>
                            <w:sz w:val="12"/>
                            <w:szCs w:val="12"/>
                          </w:rPr>
                        </w:pPr>
                        <w:r w:rsidRPr="005231E9">
                          <w:rPr>
                            <w:sz w:val="12"/>
                            <w:szCs w:val="12"/>
                          </w:rPr>
                          <w:t>Cathepsin K</w:t>
                        </w:r>
                      </w:p>
                    </w:txbxContent>
                  </v:textbox>
                </v:shape>
                <v:shape id="_x0000_s1102" type="#_x0000_t202" style="position:absolute;top:1316;width:2515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rsidR="004166BC" w:rsidRPr="00F001A7" w:rsidRDefault="004166BC" w:rsidP="0042202D">
                        <w:pPr>
                          <w:rPr>
                            <w:b/>
                            <w:sz w:val="20"/>
                            <w:szCs w:val="20"/>
                          </w:rPr>
                        </w:pPr>
                        <w:r w:rsidRPr="00F001A7">
                          <w:rPr>
                            <w:b/>
                            <w:sz w:val="20"/>
                            <w:szCs w:val="20"/>
                          </w:rPr>
                          <w:t>GPP   SAGFDFS   FLPQPPQ  EKAHDGGR</w:t>
                        </w:r>
                      </w:p>
                    </w:txbxContent>
                  </v:textbox>
                </v:shape>
                <v:shape id="Straight Arrow Connector 90" o:spid="_x0000_s1103" type="#_x0000_t32" style="position:absolute;left:3124;top:1316;width:146;height:2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" strokecolor="black [3213]" strokeweight="1pt">
                  <v:stroke dashstyle="3 1" endarrow="open"/>
                </v:shape>
                <v:shape id="Straight Arrow Connector 96" o:spid="_x0000_s1104" type="#_x0000_t32" style="position:absolute;left:8123;top:1316;width:146;height:2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" strokecolor="black [3213]" strokeweight="1pt">
                  <v:stroke dashstyle="3 1" endarrow="open"/>
                </v:shape>
                <v:shape id="Straight Arrow Connector 101" o:spid="_x0000_s1105" type="#_x0000_t32" style="position:absolute;left:13314;top:1316;width:146;height:2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" strokecolor="black [3213]" strokeweight="1pt">
                  <v:stroke dashstyle="3 1" endarrow="open"/>
                </v:shape>
                <v:shape id="Straight Arrow Connector 112" o:spid="_x0000_s1106" type="#_x0000_t32" style="position:absolute;left:19264;top:1316;width:146;height:2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" strokecolor="black [3213]" strokeweight="1pt">
                  <v:stroke dashstyle="3 1" endarrow="open"/>
                </v:shape>
              </v:group>
            </w:pict>
          </mc:Fallback>
        </mc:AlternateContent>
      </w:r>
    </w:p>
    <w:p w:rsidR="0042202D" w:rsidRDefault="00742A16" w:rsidP="00900F2C">
      <w:pPr>
        <w:spacing w:line="240" w:lineRule="auto"/>
        <w:rPr>
          <w:rFonts w:ascii="Arial" w:hAnsi="Arial" w:cs="Arial"/>
        </w:rPr>
      </w:pPr>
      <w:r>
        <w:rPr>
          <w:rFonts w:ascii="Arial" w:hAnsi="Arial" w:cs="Arial"/>
          <w:noProof/>
          <w:lang w:eastAsia="zh-CN"/>
        </w:rPr>
        <mc:AlternateContent>
          <mc:Choice Requires="wpg">
            <w:drawing>
              <wp:anchor distT="0" distB="0" distL="114300" distR="114300" simplePos="0" relativeHeight="250963456" behindDoc="0" locked="0" layoutInCell="1" allowOverlap="1" wp14:anchorId="4DA83842" wp14:editId="49832CF8">
                <wp:simplePos x="0" y="0"/>
                <wp:positionH relativeFrom="column">
                  <wp:posOffset>1710995</wp:posOffset>
                </wp:positionH>
                <wp:positionV relativeFrom="paragraph">
                  <wp:posOffset>102870</wp:posOffset>
                </wp:positionV>
                <wp:extent cx="380365" cy="372745"/>
                <wp:effectExtent l="0" t="0" r="19685" b="27305"/>
                <wp:wrapNone/>
                <wp:docPr id="368" name="Group 368"/>
                <wp:cNvGraphicFramePr/>
                <a:graphic xmlns:a="http://schemas.openxmlformats.org/drawingml/2006/main">
                  <a:graphicData uri="http://schemas.microsoft.com/office/word/2010/wordprocessingGroup">
                    <wpg:wgp>
                      <wpg:cNvGrpSpPr/>
                      <wpg:grpSpPr>
                        <a:xfrm>
                          <a:off x="0" y="0"/>
                          <a:ext cx="380365" cy="372745"/>
                          <a:chOff x="0" y="0"/>
                          <a:chExt cx="190500" cy="679450"/>
                        </a:xfrm>
                      </wpg:grpSpPr>
                      <wps:wsp>
                        <wps:cNvPr id="369" name="Straight Connector 369"/>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70" name="Straight Connector 370"/>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7F21CB" id="Group 368" o:spid="_x0000_s1026" style="position:absolute;margin-left:134.7pt;margin-top:8.1pt;width:29.95pt;height:29.35pt;z-index:250963456;mso-width-relative:margin;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">
                <v:line id="Straight Connector 369"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" strokecolor="#bfbfbf [2412]">
                  <v:stroke dashstyle="3 1"/>
                </v:line>
                <v:line id="Straight Connector 370"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" strokecolor="#bfbfbf [2412]">
                  <v:stroke dashstyle="3 1"/>
                </v:line>
              </v:group>
            </w:pict>
          </mc:Fallback>
        </mc:AlternateContent>
      </w:r>
      <w:r>
        <w:rPr>
          <w:rFonts w:ascii="Arial" w:hAnsi="Arial" w:cs="Arial"/>
          <w:noProof/>
          <w:lang w:eastAsia="zh-CN"/>
        </w:rPr>
        <mc:AlternateContent>
          <mc:Choice Requires="wpg">
            <w:drawing>
              <wp:anchor distT="0" distB="0" distL="114300" distR="114300" simplePos="0" relativeHeight="250816000" behindDoc="0" locked="0" layoutInCell="1" allowOverlap="1" wp14:anchorId="4860FCA3" wp14:editId="4BC8CB30">
                <wp:simplePos x="0" y="0"/>
                <wp:positionH relativeFrom="column">
                  <wp:posOffset>4352290</wp:posOffset>
                </wp:positionH>
                <wp:positionV relativeFrom="paragraph">
                  <wp:posOffset>83820</wp:posOffset>
                </wp:positionV>
                <wp:extent cx="518795" cy="1016635"/>
                <wp:effectExtent l="0" t="0" r="14605" b="31115"/>
                <wp:wrapNone/>
                <wp:docPr id="117" name="Group 117"/>
                <wp:cNvGraphicFramePr/>
                <a:graphic xmlns:a="http://schemas.openxmlformats.org/drawingml/2006/main">
                  <a:graphicData uri="http://schemas.microsoft.com/office/word/2010/wordprocessingGroup">
                    <wpg:wgp>
                      <wpg:cNvGrpSpPr/>
                      <wpg:grpSpPr>
                        <a:xfrm>
                          <a:off x="0" y="0"/>
                          <a:ext cx="518795" cy="1016635"/>
                          <a:chOff x="0" y="0"/>
                          <a:chExt cx="190500" cy="679450"/>
                        </a:xfrm>
                      </wpg:grpSpPr>
                      <wps:wsp>
                        <wps:cNvPr id="206" name="Straight Connector 118"/>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2" name="Straight Connector 352"/>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D2A606" id="Group 117" o:spid="_x0000_s1026" style="position:absolute;margin-left:342.7pt;margin-top:6.6pt;width:40.85pt;height:80.05pt;z-index:250816000;mso-width-relative:margin;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">
                <v:line id="Straight Connector 118"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" strokecolor="#bfbfbf [2412]">
                  <v:stroke dashstyle="3 1"/>
                </v:line>
                <v:line id="Straight Connector 352"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" strokecolor="#bfbfbf [2412]">
                  <v:stroke dashstyle="3 1"/>
                </v:line>
              </v:group>
            </w:pict>
          </mc:Fallback>
        </mc:AlternateContent>
      </w:r>
      <w:r>
        <w:rPr>
          <w:rFonts w:ascii="Arial" w:hAnsi="Arial" w:cs="Arial"/>
          <w:noProof/>
          <w:lang w:eastAsia="zh-CN"/>
        </w:rPr>
        <mc:AlternateContent>
          <mc:Choice Requires="wpg">
            <w:drawing>
              <wp:anchor distT="0" distB="0" distL="114300" distR="114300" simplePos="0" relativeHeight="250850816" behindDoc="0" locked="0" layoutInCell="1" allowOverlap="1" wp14:anchorId="7127BF56" wp14:editId="1CE42A59">
                <wp:simplePos x="0" y="0"/>
                <wp:positionH relativeFrom="column">
                  <wp:posOffset>3238805</wp:posOffset>
                </wp:positionH>
                <wp:positionV relativeFrom="paragraph">
                  <wp:posOffset>119380</wp:posOffset>
                </wp:positionV>
                <wp:extent cx="380390" cy="373025"/>
                <wp:effectExtent l="0" t="0" r="19685" b="27305"/>
                <wp:wrapNone/>
                <wp:docPr id="359" name="Group 359"/>
                <wp:cNvGraphicFramePr/>
                <a:graphic xmlns:a="http://schemas.openxmlformats.org/drawingml/2006/main">
                  <a:graphicData uri="http://schemas.microsoft.com/office/word/2010/wordprocessingGroup">
                    <wpg:wgp>
                      <wpg:cNvGrpSpPr/>
                      <wpg:grpSpPr>
                        <a:xfrm>
                          <a:off x="0" y="0"/>
                          <a:ext cx="380390" cy="373025"/>
                          <a:chOff x="0" y="0"/>
                          <a:chExt cx="190500" cy="679450"/>
                        </a:xfrm>
                      </wpg:grpSpPr>
                      <wps:wsp>
                        <wps:cNvPr id="364" name="Straight Connector 364"/>
                        <wps:cNvCnPr/>
                        <wps:spPr>
                          <a:xfrm>
                            <a:off x="0" y="0"/>
                            <a:ext cx="107950" cy="679450"/>
                          </a:xfrm>
                          <a:prstGeom prst="line">
                            <a:avLst/>
                          </a:prstGeom>
                          <a:ln>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65" name="Straight Connector 365"/>
                        <wps:cNvCnPr/>
                        <wps:spPr>
                          <a:xfrm flipH="1">
                            <a:off x="107950" y="0"/>
                            <a:ext cx="82550" cy="679450"/>
                          </a:xfrm>
                          <a:prstGeom prst="line">
                            <a:avLst/>
                          </a:prstGeom>
                          <a:ln w="952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951B26" id="Group 359" o:spid="_x0000_s1026" style="position:absolute;margin-left:255pt;margin-top:9.4pt;width:29.95pt;height:29.35pt;z-index:250850816;mso-width-relative:margin;mso-height-relative:margin" coordsize="1905,6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">
                <v:line id="Straight Connector 364" o:spid="_x0000_s1027" style="position:absolute;visibility:visible;mso-wrap-style:square" from="0,0" to="1079,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" strokecolor="#bfbfbf [2412]">
                  <v:stroke dashstyle="3 1"/>
                </v:line>
                <v:line id="Straight Connector 365" o:spid="_x0000_s1028" style="position:absolute;flip:x;visibility:visible;mso-wrap-style:square" from="1079,0" to="1905,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" strokecolor="#bfbfbf [2412]">
                  <v:stroke dashstyle="3 1"/>
                </v:line>
              </v:group>
            </w:pict>
          </mc:Fallback>
        </mc:AlternateContent>
      </w:r>
      <w:r w:rsidRPr="009309FF">
        <w:rPr>
          <w:rFonts w:ascii="Arial" w:hAnsi="Arial" w:cs="Arial"/>
          <w:noProof/>
          <w:lang w:eastAsia="zh-CN"/>
        </w:rPr>
        <mc:AlternateContent>
          <mc:Choice Requires="wps">
            <w:drawing>
              <wp:anchor distT="0" distB="0" distL="114300" distR="114300" simplePos="0" relativeHeight="250868224" behindDoc="0" locked="0" layoutInCell="1" allowOverlap="1" wp14:anchorId="78396594" wp14:editId="4CFAE962">
                <wp:simplePos x="0" y="0"/>
                <wp:positionH relativeFrom="column">
                  <wp:posOffset>1768475</wp:posOffset>
                </wp:positionH>
                <wp:positionV relativeFrom="paragraph">
                  <wp:posOffset>186385</wp:posOffset>
                </wp:positionV>
                <wp:extent cx="526415" cy="211455"/>
                <wp:effectExtent l="0" t="0" r="6985" b="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11455"/>
                        </a:xfrm>
                        <a:prstGeom prst="rect">
                          <a:avLst/>
                        </a:prstGeom>
                        <a:solidFill>
                          <a:srgbClr val="FFFFFF"/>
                        </a:solidFill>
                        <a:ln w="9525">
                          <a:noFill/>
                          <a:miter lim="800000"/>
                          <a:headEnd/>
                          <a:tailEnd/>
                        </a:ln>
                      </wps:spPr>
                      <wps:txbx>
                        <w:txbxContent>
                          <w:p w:rsidR="004166BC" w:rsidRPr="005231E9" w:rsidRDefault="004166BC" w:rsidP="00742A16">
                            <w:pPr>
                              <w:rPr>
                                <w:b/>
                                <w:sz w:val="12"/>
                                <w:szCs w:val="12"/>
                              </w:rPr>
                            </w:pPr>
                            <w:r w:rsidRPr="005231E9">
                              <w:rPr>
                                <w:b/>
                                <w:sz w:val="12"/>
                                <w:szCs w:val="12"/>
                              </w:rPr>
                              <w:t>NTX</w:t>
                            </w:r>
                          </w:p>
                        </w:txbxContent>
                      </wps:txbx>
                      <wps:bodyPr rot="0" vert="horz" wrap="square" lIns="91440" tIns="45720" rIns="91440" bIns="45720" anchor="t" anchorCtr="0">
                        <a:noAutofit/>
                      </wps:bodyPr>
                    </wps:wsp>
                  </a:graphicData>
                </a:graphic>
              </wp:anchor>
            </w:drawing>
          </mc:Choice>
          <mc:Fallback>
            <w:pict>
              <v:shape w14:anchorId="78396594" id="_x0000_s1107" type="#_x0000_t202" style="position:absolute;margin-left:139.25pt;margin-top:14.7pt;width:41.45pt;height:16.65pt;z-index:25086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" stroked="f">
                <v:textbox>
                  <w:txbxContent>
                    <w:p w:rsidR="004166BC" w:rsidRPr="005231E9" w:rsidRDefault="004166BC" w:rsidP="00742A16">
                      <w:pPr>
                        <w:rPr>
                          <w:b/>
                          <w:sz w:val="12"/>
                          <w:szCs w:val="12"/>
                        </w:rPr>
                      </w:pPr>
                      <w:r w:rsidRPr="005231E9">
                        <w:rPr>
                          <w:b/>
                          <w:sz w:val="12"/>
                          <w:szCs w:val="12"/>
                        </w:rPr>
                        <w:t>NTX</w:t>
                      </w:r>
                    </w:p>
                  </w:txbxContent>
                </v:textbox>
              </v:shape>
            </w:pict>
          </mc:Fallback>
        </mc:AlternateContent>
      </w:r>
      <w:r w:rsidRPr="009309FF">
        <w:rPr>
          <w:rFonts w:ascii="Arial" w:hAnsi="Arial" w:cs="Arial"/>
          <w:noProof/>
          <w:lang w:eastAsia="zh-CN"/>
        </w:rPr>
        <mc:AlternateContent>
          <mc:Choice Requires="wps">
            <w:drawing>
              <wp:anchor distT="0" distB="0" distL="114300" distR="114300" simplePos="0" relativeHeight="249868800" behindDoc="0" locked="0" layoutInCell="1" allowOverlap="1" wp14:anchorId="50D82FF0" wp14:editId="10B3F424">
                <wp:simplePos x="0" y="0"/>
                <wp:positionH relativeFrom="column">
                  <wp:posOffset>3289630</wp:posOffset>
                </wp:positionH>
                <wp:positionV relativeFrom="paragraph">
                  <wp:posOffset>176530</wp:posOffset>
                </wp:positionV>
                <wp:extent cx="526415" cy="211455"/>
                <wp:effectExtent l="0" t="0" r="6985" b="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11455"/>
                        </a:xfrm>
                        <a:prstGeom prst="rect">
                          <a:avLst/>
                        </a:prstGeom>
                        <a:solidFill>
                          <a:srgbClr val="FFFFFF"/>
                        </a:solidFill>
                        <a:ln w="9525">
                          <a:noFill/>
                          <a:miter lim="800000"/>
                          <a:headEnd/>
                          <a:tailEnd/>
                        </a:ln>
                      </wps:spPr>
                      <wps:txbx>
                        <w:txbxContent>
                          <w:p w:rsidR="004166BC" w:rsidRPr="00742A16" w:rsidRDefault="004166BC" w:rsidP="00742A16">
                            <w:pPr>
                              <w:rPr>
                                <w:b/>
                                <w:sz w:val="10"/>
                                <w:szCs w:val="10"/>
                              </w:rPr>
                            </w:pPr>
                            <w:r w:rsidRPr="00742A16">
                              <w:rPr>
                                <w:b/>
                                <w:sz w:val="10"/>
                                <w:szCs w:val="10"/>
                              </w:rPr>
                              <w:t>ICTP</w:t>
                            </w:r>
                          </w:p>
                        </w:txbxContent>
                      </wps:txbx>
                      <wps:bodyPr rot="0" vert="horz" wrap="square" lIns="91440" tIns="45720" rIns="91440" bIns="45720" anchor="t" anchorCtr="0">
                        <a:noAutofit/>
                      </wps:bodyPr>
                    </wps:wsp>
                  </a:graphicData>
                </a:graphic>
              </wp:anchor>
            </w:drawing>
          </mc:Choice>
          <mc:Fallback>
            <w:pict>
              <v:shape w14:anchorId="50D82FF0" id="_x0000_s1108" type="#_x0000_t202" style="position:absolute;margin-left:259.05pt;margin-top:13.9pt;width:41.45pt;height:16.65pt;z-index:24986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" stroked="f">
                <v:textbox>
                  <w:txbxContent>
                    <w:p w:rsidR="004166BC" w:rsidRPr="00742A16" w:rsidRDefault="004166BC" w:rsidP="00742A16">
                      <w:pPr>
                        <w:rPr>
                          <w:b/>
                          <w:sz w:val="10"/>
                          <w:szCs w:val="10"/>
                        </w:rPr>
                      </w:pPr>
                      <w:r w:rsidRPr="00742A16">
                        <w:rPr>
                          <w:b/>
                          <w:sz w:val="10"/>
                          <w:szCs w:val="10"/>
                        </w:rPr>
                        <w:t>ICTP</w:t>
                      </w:r>
                    </w:p>
                  </w:txbxContent>
                </v:textbox>
              </v:shape>
            </w:pict>
          </mc:Fallback>
        </mc:AlternateContent>
      </w:r>
    </w:p>
    <w:p w:rsidR="00F00BAB" w:rsidRDefault="00F00BAB" w:rsidP="00900F2C">
      <w:pPr>
        <w:spacing w:line="240" w:lineRule="auto"/>
        <w:ind w:left="7200" w:firstLine="720"/>
        <w:rPr>
          <w:rFonts w:ascii="Arial" w:hAnsi="Arial" w:cs="Arial"/>
        </w:rPr>
      </w:pPr>
    </w:p>
    <w:p w:rsidR="00F00BAB" w:rsidRDefault="00F00BAB" w:rsidP="00900F2C">
      <w:pPr>
        <w:spacing w:line="240" w:lineRule="auto"/>
        <w:ind w:left="7200" w:firstLine="720"/>
        <w:rPr>
          <w:rFonts w:ascii="Arial" w:hAnsi="Arial" w:cs="Arial"/>
        </w:rPr>
      </w:pPr>
    </w:p>
    <w:p w:rsidR="00F00BAB" w:rsidRDefault="00F00BAB" w:rsidP="00900F2C">
      <w:pPr>
        <w:spacing w:line="240" w:lineRule="auto"/>
        <w:ind w:left="5040" w:firstLine="720"/>
        <w:rPr>
          <w:rFonts w:ascii="Arial" w:hAnsi="Arial" w:cs="Arial"/>
        </w:rPr>
      </w:pPr>
      <w:r w:rsidRPr="0091055D">
        <w:rPr>
          <w:noProof/>
          <w:lang w:eastAsia="zh-CN"/>
        </w:rPr>
        <mc:AlternateContent>
          <mc:Choice Requires="wps">
            <w:drawing>
              <wp:anchor distT="0" distB="0" distL="114300" distR="114300" simplePos="0" relativeHeight="250147328" behindDoc="0" locked="0" layoutInCell="1" allowOverlap="1" wp14:anchorId="62A9B668" wp14:editId="23C7AFDD">
                <wp:simplePos x="0" y="0"/>
                <wp:positionH relativeFrom="column">
                  <wp:posOffset>958850</wp:posOffset>
                </wp:positionH>
                <wp:positionV relativeFrom="paragraph">
                  <wp:posOffset>219710</wp:posOffset>
                </wp:positionV>
                <wp:extent cx="1704340" cy="636270"/>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636270"/>
                        </a:xfrm>
                        <a:prstGeom prst="rect">
                          <a:avLst/>
                        </a:prstGeom>
                        <a:solidFill>
                          <a:srgbClr val="FFFFFF"/>
                        </a:solidFill>
                        <a:ln w="9525">
                          <a:noFill/>
                          <a:miter lim="800000"/>
                          <a:headEnd/>
                          <a:tailEnd/>
                        </a:ln>
                      </wps:spPr>
                      <wps:txbx>
                        <w:txbxContent>
                          <w:p w:rsidR="004166BC" w:rsidRPr="00E75604" w:rsidRDefault="004166BC" w:rsidP="003010E7">
                            <w:pPr>
                              <w:rPr>
                                <w:sz w:val="16"/>
                                <w:szCs w:val="16"/>
                              </w:rPr>
                            </w:pPr>
                            <w:r w:rsidRPr="00E75604">
                              <w:rPr>
                                <w:sz w:val="16"/>
                                <w:szCs w:val="16"/>
                              </w:rPr>
                              <w:t xml:space="preserve">Postranslational modifications:           β-isomerisation of aspartic acid                          AGE’s (plus sugar): Pentosidine and pentosine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9B668" id="_x0000_s1109" type="#_x0000_t202" style="position:absolute;left:0;text-align:left;margin-left:75.5pt;margin-top:17.3pt;width:134.2pt;height:50.1pt;z-index:2501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" stroked="f">
                <v:textbox>
                  <w:txbxContent>
                    <w:p w:rsidR="004166BC" w:rsidRPr="00E75604" w:rsidRDefault="004166BC" w:rsidP="003010E7">
                      <w:pPr>
                        <w:rPr>
                          <w:sz w:val="16"/>
                          <w:szCs w:val="16"/>
                        </w:rPr>
                      </w:pPr>
                      <w:r w:rsidRPr="00E75604">
                        <w:rPr>
                          <w:sz w:val="16"/>
                          <w:szCs w:val="16"/>
                        </w:rPr>
                        <w:t xml:space="preserve">Postranslational modifications:           β-isomerisation of aspartic acid                          AGE’s (plus sugar): Pentosidine and pentosine     </w:t>
                      </w:r>
                    </w:p>
                  </w:txbxContent>
                </v:textbox>
              </v:shape>
            </w:pict>
          </mc:Fallback>
        </mc:AlternateContent>
      </w:r>
    </w:p>
    <w:p w:rsidR="0042202D" w:rsidRDefault="003328C6" w:rsidP="009D3BB6">
      <w:pPr>
        <w:spacing w:line="240" w:lineRule="auto"/>
        <w:ind w:left="4320" w:firstLine="720"/>
        <w:jc w:val="center"/>
        <w:rPr>
          <w:rFonts w:ascii="Arial" w:hAnsi="Arial" w:cs="Arial"/>
        </w:rPr>
      </w:pPr>
      <w:r>
        <w:rPr>
          <w:rFonts w:ascii="Arial" w:hAnsi="Arial" w:cs="Arial"/>
          <w:noProof/>
          <w:lang w:eastAsia="zh-CN"/>
        </w:rPr>
        <w:drawing>
          <wp:inline distT="0" distB="0" distL="0" distR="0" wp14:anchorId="3EB28355" wp14:editId="616529BF">
            <wp:extent cx="2257704" cy="882934"/>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67867" cy="886909"/>
                    </a:xfrm>
                    <a:prstGeom prst="rect">
                      <a:avLst/>
                    </a:prstGeom>
                    <a:noFill/>
                    <a:ln>
                      <a:noFill/>
                    </a:ln>
                  </pic:spPr>
                </pic:pic>
              </a:graphicData>
            </a:graphic>
          </wp:inline>
        </w:drawing>
      </w:r>
    </w:p>
    <w:p w:rsidR="007D4624" w:rsidRDefault="00353E43" w:rsidP="00900F2C">
      <w:pPr>
        <w:spacing w:line="240" w:lineRule="auto"/>
        <w:rPr>
          <w:rFonts w:ascii="Arial" w:hAnsi="Arial" w:cs="Arial"/>
        </w:rPr>
      </w:pPr>
      <w:r>
        <w:rPr>
          <w:rFonts w:ascii="Arial" w:hAnsi="Arial" w:cs="Arial"/>
          <w:noProof/>
          <w:lang w:eastAsia="zh-CN"/>
        </w:rPr>
        <mc:AlternateContent>
          <mc:Choice Requires="wps">
            <w:drawing>
              <wp:anchor distT="0" distB="0" distL="114300" distR="114300" simplePos="0" relativeHeight="250129920" behindDoc="0" locked="0" layoutInCell="1" allowOverlap="1" wp14:anchorId="00FF6460" wp14:editId="60BA5E23">
                <wp:simplePos x="0" y="0"/>
                <wp:positionH relativeFrom="column">
                  <wp:posOffset>3737940</wp:posOffset>
                </wp:positionH>
                <wp:positionV relativeFrom="paragraph">
                  <wp:posOffset>1905</wp:posOffset>
                </wp:positionV>
                <wp:extent cx="1324051" cy="109728"/>
                <wp:effectExtent l="0" t="0" r="9525" b="5080"/>
                <wp:wrapNone/>
                <wp:docPr id="363" name="Rectangle 363"/>
                <wp:cNvGraphicFramePr/>
                <a:graphic xmlns:a="http://schemas.openxmlformats.org/drawingml/2006/main">
                  <a:graphicData uri="http://schemas.microsoft.com/office/word/2010/wordprocessingShape">
                    <wps:wsp>
                      <wps:cNvSpPr/>
                      <wps:spPr>
                        <a:xfrm>
                          <a:off x="0" y="0"/>
                          <a:ext cx="1324051" cy="1097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ABF322" id="Rectangle 363" o:spid="_x0000_s1026" style="position:absolute;margin-left:294.35pt;margin-top:.15pt;width:104.25pt;height:8.65pt;z-index:2501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" fillcolor="white [3212]" stroked="f" strokeweight="2pt"/>
            </w:pict>
          </mc:Fallback>
        </mc:AlternateContent>
      </w:r>
    </w:p>
    <w:p w:rsidR="00F00BAB" w:rsidRPr="005A71DC" w:rsidRDefault="005A71DC" w:rsidP="00900F2C">
      <w:pPr>
        <w:spacing w:line="240" w:lineRule="auto"/>
        <w:rPr>
          <w:rFonts w:ascii="Arial" w:hAnsi="Arial" w:cs="Arial"/>
        </w:rPr>
      </w:pPr>
      <w:r>
        <w:rPr>
          <w:noProof/>
          <w:lang w:eastAsia="zh-CN"/>
        </w:rPr>
        <mc:AlternateContent>
          <mc:Choice Requires="wps">
            <w:drawing>
              <wp:anchor distT="0" distB="0" distL="114300" distR="114300" simplePos="0" relativeHeight="250095104" behindDoc="0" locked="0" layoutInCell="1" allowOverlap="1" wp14:anchorId="68BA4572" wp14:editId="4D071ED3">
                <wp:simplePos x="0" y="0"/>
                <wp:positionH relativeFrom="column">
                  <wp:posOffset>1905</wp:posOffset>
                </wp:positionH>
                <wp:positionV relativeFrom="paragraph">
                  <wp:posOffset>29515</wp:posOffset>
                </wp:positionV>
                <wp:extent cx="4761865" cy="635"/>
                <wp:effectExtent l="0" t="0" r="635" b="0"/>
                <wp:wrapNone/>
                <wp:docPr id="100" name="Text Box 100"/>
                <wp:cNvGraphicFramePr/>
                <a:graphic xmlns:a="http://schemas.openxmlformats.org/drawingml/2006/main">
                  <a:graphicData uri="http://schemas.microsoft.com/office/word/2010/wordprocessingShape">
                    <wps:wsp>
                      <wps:cNvSpPr txBox="1"/>
                      <wps:spPr>
                        <a:xfrm>
                          <a:off x="0" y="0"/>
                          <a:ext cx="4761865" cy="635"/>
                        </a:xfrm>
                        <a:prstGeom prst="rect">
                          <a:avLst/>
                        </a:prstGeom>
                        <a:solidFill>
                          <a:prstClr val="white"/>
                        </a:solidFill>
                        <a:ln>
                          <a:noFill/>
                        </a:ln>
                        <a:effectLst/>
                      </wps:spPr>
                      <wps:txbx>
                        <w:txbxContent>
                          <w:p w:rsidR="004166BC" w:rsidRPr="00880CA2" w:rsidRDefault="004166BC" w:rsidP="003E6719">
                            <w:pPr>
                              <w:pStyle w:val="Caption"/>
                              <w:jc w:val="both"/>
                              <w:rPr>
                                <w:rFonts w:ascii="Arial" w:hAnsi="Arial" w:cs="Arial"/>
                                <w:b w:val="0"/>
                                <w:noProof/>
                                <w:color w:val="000000" w:themeColor="text1"/>
                              </w:rPr>
                            </w:pPr>
                            <w:bookmarkStart w:id="41" w:name="_Toc422736055"/>
                            <w:bookmarkStart w:id="42" w:name="_Toc422736163"/>
                            <w:bookmarkStart w:id="43" w:name="_Toc425419498"/>
                            <w:r w:rsidRPr="00880CA2">
                              <w:rPr>
                                <w:rFonts w:ascii="Arial" w:hAnsi="Arial" w:cs="Arial"/>
                                <w:b w:val="0"/>
                                <w:color w:val="000000" w:themeColor="text1"/>
                              </w:rPr>
                              <w:t xml:space="preserve">Figure </w:t>
                            </w:r>
                            <w:r w:rsidRPr="00880CA2">
                              <w:rPr>
                                <w:rFonts w:ascii="Arial" w:hAnsi="Arial" w:cs="Arial"/>
                                <w:b w:val="0"/>
                                <w:color w:val="000000" w:themeColor="text1"/>
                              </w:rPr>
                              <w:fldChar w:fldCharType="begin"/>
                            </w:r>
                            <w:r w:rsidRPr="00880CA2">
                              <w:rPr>
                                <w:rFonts w:ascii="Arial" w:hAnsi="Arial" w:cs="Arial"/>
                                <w:b w:val="0"/>
                                <w:color w:val="000000" w:themeColor="text1"/>
                              </w:rPr>
                              <w:instrText xml:space="preserve"> SEQ Figure \* ARABIC </w:instrText>
                            </w:r>
                            <w:r w:rsidRPr="00880CA2">
                              <w:rPr>
                                <w:rFonts w:ascii="Arial" w:hAnsi="Arial" w:cs="Arial"/>
                                <w:b w:val="0"/>
                                <w:color w:val="000000" w:themeColor="text1"/>
                              </w:rPr>
                              <w:fldChar w:fldCharType="separate"/>
                            </w:r>
                            <w:r>
                              <w:rPr>
                                <w:rFonts w:ascii="Arial" w:hAnsi="Arial" w:cs="Arial"/>
                                <w:b w:val="0"/>
                                <w:noProof/>
                                <w:color w:val="000000" w:themeColor="text1"/>
                              </w:rPr>
                              <w:t>15</w:t>
                            </w:r>
                            <w:bookmarkEnd w:id="41"/>
                            <w:bookmarkEnd w:id="42"/>
                            <w:r w:rsidRPr="00880CA2">
                              <w:rPr>
                                <w:rFonts w:ascii="Arial" w:hAnsi="Arial" w:cs="Arial"/>
                                <w:b w:val="0"/>
                                <w:noProof/>
                                <w:color w:val="000000" w:themeColor="text1"/>
                              </w:rPr>
                              <w:fldChar w:fldCharType="end"/>
                            </w:r>
                            <w:r w:rsidRPr="00880CA2">
                              <w:rPr>
                                <w:rFonts w:ascii="Arial" w:hAnsi="Arial" w:cs="Arial"/>
                                <w:b w:val="0"/>
                                <w:noProof/>
                                <w:color w:val="000000" w:themeColor="text1"/>
                              </w:rPr>
                              <w:t>: The synthesis of bone resorption markers from type I collagen</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BA4572" id="Text Box 100" o:spid="_x0000_s1110" type="#_x0000_t202" style="position:absolute;margin-left:.15pt;margin-top:2.3pt;width:374.95pt;height:.05pt;z-index:2500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" stroked="f">
                <v:textbox style="mso-fit-shape-to-text:t" inset="0,0,0,0">
                  <w:txbxContent>
                    <w:p w:rsidR="004166BC" w:rsidRPr="00880CA2" w:rsidRDefault="004166BC" w:rsidP="003E6719">
                      <w:pPr>
                        <w:pStyle w:val="Caption"/>
                        <w:jc w:val="both"/>
                        <w:rPr>
                          <w:rFonts w:ascii="Arial" w:hAnsi="Arial" w:cs="Arial"/>
                          <w:b w:val="0"/>
                          <w:noProof/>
                          <w:color w:val="000000" w:themeColor="text1"/>
                        </w:rPr>
                      </w:pPr>
                      <w:bookmarkStart w:id="59" w:name="_Toc422736055"/>
                      <w:bookmarkStart w:id="60" w:name="_Toc422736163"/>
                      <w:bookmarkStart w:id="61" w:name="_Toc425419498"/>
                      <w:r w:rsidRPr="00880CA2">
                        <w:rPr>
                          <w:rFonts w:ascii="Arial" w:hAnsi="Arial" w:cs="Arial"/>
                          <w:b w:val="0"/>
                          <w:color w:val="000000" w:themeColor="text1"/>
                        </w:rPr>
                        <w:t xml:space="preserve">Figure </w:t>
                      </w:r>
                      <w:r w:rsidRPr="00880CA2">
                        <w:rPr>
                          <w:rFonts w:ascii="Arial" w:hAnsi="Arial" w:cs="Arial"/>
                          <w:b w:val="0"/>
                          <w:color w:val="000000" w:themeColor="text1"/>
                        </w:rPr>
                        <w:fldChar w:fldCharType="begin"/>
                      </w:r>
                      <w:r w:rsidRPr="00880CA2">
                        <w:rPr>
                          <w:rFonts w:ascii="Arial" w:hAnsi="Arial" w:cs="Arial"/>
                          <w:b w:val="0"/>
                          <w:color w:val="000000" w:themeColor="text1"/>
                        </w:rPr>
                        <w:instrText xml:space="preserve"> SEQ Figure \* ARABIC </w:instrText>
                      </w:r>
                      <w:r w:rsidRPr="00880CA2">
                        <w:rPr>
                          <w:rFonts w:ascii="Arial" w:hAnsi="Arial" w:cs="Arial"/>
                          <w:b w:val="0"/>
                          <w:color w:val="000000" w:themeColor="text1"/>
                        </w:rPr>
                        <w:fldChar w:fldCharType="separate"/>
                      </w:r>
                      <w:r>
                        <w:rPr>
                          <w:rFonts w:ascii="Arial" w:hAnsi="Arial" w:cs="Arial"/>
                          <w:b w:val="0"/>
                          <w:noProof/>
                          <w:color w:val="000000" w:themeColor="text1"/>
                        </w:rPr>
                        <w:t>15</w:t>
                      </w:r>
                      <w:bookmarkEnd w:id="59"/>
                      <w:bookmarkEnd w:id="60"/>
                      <w:r w:rsidRPr="00880CA2">
                        <w:rPr>
                          <w:rFonts w:ascii="Arial" w:hAnsi="Arial" w:cs="Arial"/>
                          <w:b w:val="0"/>
                          <w:noProof/>
                          <w:color w:val="000000" w:themeColor="text1"/>
                        </w:rPr>
                        <w:fldChar w:fldCharType="end"/>
                      </w:r>
                      <w:r w:rsidRPr="00880CA2">
                        <w:rPr>
                          <w:rFonts w:ascii="Arial" w:hAnsi="Arial" w:cs="Arial"/>
                          <w:b w:val="0"/>
                          <w:noProof/>
                          <w:color w:val="000000" w:themeColor="text1"/>
                        </w:rPr>
                        <w:t>: The synthesis of bone resorption markers from type I collagen</w:t>
                      </w:r>
                      <w:bookmarkEnd w:id="61"/>
                    </w:p>
                  </w:txbxContent>
                </v:textbox>
              </v:shape>
            </w:pict>
          </mc:Fallback>
        </mc:AlternateContent>
      </w:r>
    </w:p>
    <w:p w:rsidR="001F47C2" w:rsidRDefault="0026430E" w:rsidP="003E6719">
      <w:pPr>
        <w:pStyle w:val="Heading5"/>
        <w:jc w:val="both"/>
      </w:pPr>
      <w:r>
        <w:t>N-terminal crosslinking</w:t>
      </w:r>
      <w:r w:rsidR="001F47C2" w:rsidRPr="001F47C2">
        <w:t xml:space="preserve"> telopeptides of type I collagen (NTX)</w:t>
      </w:r>
    </w:p>
    <w:p w:rsidR="008767AD" w:rsidRDefault="001F47C2" w:rsidP="003B725E">
      <w:pPr>
        <w:spacing w:line="360" w:lineRule="auto"/>
        <w:jc w:val="both"/>
        <w:rPr>
          <w:rFonts w:ascii="Arial" w:hAnsi="Arial" w:cs="Arial"/>
        </w:rPr>
      </w:pPr>
      <w:r w:rsidRPr="001F47C2">
        <w:rPr>
          <w:rFonts w:ascii="Arial" w:hAnsi="Arial" w:cs="Arial"/>
        </w:rPr>
        <w:t xml:space="preserve">NTX is an 8 amino acid epitope JYDGKGVG, derived </w:t>
      </w:r>
      <w:r w:rsidR="0042202D" w:rsidRPr="001F47C2">
        <w:rPr>
          <w:rFonts w:ascii="Arial" w:hAnsi="Arial" w:cs="Arial"/>
        </w:rPr>
        <w:t>from</w:t>
      </w:r>
      <w:r w:rsidRPr="001F47C2">
        <w:rPr>
          <w:rFonts w:ascii="Arial" w:hAnsi="Arial" w:cs="Arial"/>
        </w:rPr>
        <w:t xml:space="preserve"> the</w:t>
      </w:r>
      <w:r w:rsidR="00D80B2A">
        <w:rPr>
          <w:rFonts w:ascii="Arial" w:hAnsi="Arial" w:cs="Arial"/>
        </w:rPr>
        <w:t xml:space="preserve"> </w:t>
      </w:r>
      <w:proofErr w:type="gramStart"/>
      <w:r w:rsidR="00D80B2A">
        <w:rPr>
          <w:rFonts w:ascii="Arial" w:hAnsi="Arial" w:cs="Arial"/>
        </w:rPr>
        <w:t>α2(</w:t>
      </w:r>
      <w:proofErr w:type="gramEnd"/>
      <w:r w:rsidR="00D80B2A">
        <w:rPr>
          <w:rFonts w:ascii="Arial" w:hAnsi="Arial" w:cs="Arial"/>
        </w:rPr>
        <w:t>I) chain of type I collagen</w:t>
      </w:r>
      <w:r>
        <w:rPr>
          <w:rFonts w:ascii="Arial" w:hAnsi="Arial" w:cs="Arial"/>
        </w:rPr>
        <w:t xml:space="preserve">. </w:t>
      </w:r>
      <w:r w:rsidR="008767AD">
        <w:rPr>
          <w:rFonts w:ascii="Arial" w:hAnsi="Arial" w:cs="Arial"/>
        </w:rPr>
        <w:t>This</w:t>
      </w:r>
      <w:r w:rsidR="008767AD" w:rsidRPr="001F47C2">
        <w:rPr>
          <w:rFonts w:ascii="Arial" w:hAnsi="Arial" w:cs="Arial"/>
        </w:rPr>
        <w:t xml:space="preserve"> fragment is cleaved by cathepsin K and is released in the urine as a stable end product of collagen degradation</w:t>
      </w:r>
      <w:r w:rsidR="008767AD">
        <w:rPr>
          <w:rFonts w:ascii="Arial" w:hAnsi="Arial" w:cs="Arial"/>
        </w:rPr>
        <w:t xml:space="preserve">.  </w:t>
      </w:r>
      <w:r>
        <w:rPr>
          <w:rFonts w:ascii="Arial" w:hAnsi="Arial" w:cs="Arial"/>
        </w:rPr>
        <w:t>D</w:t>
      </w:r>
      <w:r w:rsidR="00D80B2A">
        <w:rPr>
          <w:rFonts w:ascii="Arial" w:hAnsi="Arial" w:cs="Arial"/>
        </w:rPr>
        <w:t>uring ageing the</w:t>
      </w:r>
      <w:r w:rsidR="00D80B2A" w:rsidRPr="00D80B2A">
        <w:rPr>
          <w:rFonts w:ascii="Arial" w:hAnsi="Arial" w:cs="Arial"/>
        </w:rPr>
        <w:t xml:space="preserve"> </w:t>
      </w:r>
      <w:r w:rsidR="00AD38D5">
        <w:rPr>
          <w:rFonts w:ascii="Arial" w:hAnsi="Arial" w:cs="Arial"/>
        </w:rPr>
        <w:t>aspartyl</w:t>
      </w:r>
      <w:r w:rsidR="00D80B2A" w:rsidRPr="001F47C2">
        <w:rPr>
          <w:rFonts w:ascii="Arial" w:hAnsi="Arial" w:cs="Arial"/>
        </w:rPr>
        <w:t>-glycine motif</w:t>
      </w:r>
      <w:r>
        <w:rPr>
          <w:rFonts w:ascii="Arial" w:hAnsi="Arial" w:cs="Arial"/>
        </w:rPr>
        <w:t xml:space="preserve"> </w:t>
      </w:r>
      <w:r w:rsidR="00D80B2A">
        <w:rPr>
          <w:rFonts w:ascii="Arial" w:hAnsi="Arial" w:cs="Arial"/>
        </w:rPr>
        <w:t xml:space="preserve">also </w:t>
      </w:r>
      <w:r>
        <w:rPr>
          <w:rFonts w:ascii="Arial" w:hAnsi="Arial" w:cs="Arial"/>
        </w:rPr>
        <w:t>undergoes β-isomerisation</w:t>
      </w:r>
      <w:r w:rsidR="00D80B2A">
        <w:rPr>
          <w:rFonts w:ascii="Arial" w:hAnsi="Arial" w:cs="Arial"/>
        </w:rPr>
        <w:t xml:space="preserve"> at the N-terminal</w:t>
      </w:r>
      <w:r w:rsidR="008767AD">
        <w:rPr>
          <w:rFonts w:ascii="Arial" w:hAnsi="Arial" w:cs="Arial"/>
        </w:rPr>
        <w:t xml:space="preserve"> </w:t>
      </w:r>
      <w:r w:rsidR="008767AD">
        <w:rPr>
          <w:rFonts w:ascii="Arial" w:hAnsi="Arial" w:cs="Arial"/>
        </w:rPr>
        <w:fldChar w:fldCharType="begin">
          <w:fldData xml:space="preserve">PEVuZE5vdGU+PENpdGU+PEF1dGhvcj5CcmFkeTwvQXV0aG9yPjxZZWFyPjE5OTk8L1llYXI+PFJl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PEVuZE5vdGU+PENpdGU+PEF1dGhvcj5CcmFkeTwvQXV0aG9yPjxZZWFyPjE5OTk8L1llYXI+PFJl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8767AD">
        <w:rPr>
          <w:rFonts w:ascii="Arial" w:hAnsi="Arial" w:cs="Arial"/>
        </w:rPr>
      </w:r>
      <w:r w:rsidR="008767AD">
        <w:rPr>
          <w:rFonts w:ascii="Arial" w:hAnsi="Arial" w:cs="Arial"/>
        </w:rPr>
        <w:fldChar w:fldCharType="separate"/>
      </w:r>
      <w:r w:rsidR="005A347B">
        <w:rPr>
          <w:rFonts w:ascii="Arial" w:hAnsi="Arial" w:cs="Arial"/>
          <w:noProof/>
        </w:rPr>
        <w:t>(</w:t>
      </w:r>
      <w:hyperlink w:anchor="_ENREF_183" w:tooltip="Brady, 1999 #117" w:history="1">
        <w:r w:rsidR="003B725E">
          <w:rPr>
            <w:rFonts w:ascii="Arial" w:hAnsi="Arial" w:cs="Arial"/>
            <w:noProof/>
          </w:rPr>
          <w:t>183</w:t>
        </w:r>
      </w:hyperlink>
      <w:r w:rsidR="005A347B">
        <w:rPr>
          <w:rFonts w:ascii="Arial" w:hAnsi="Arial" w:cs="Arial"/>
          <w:noProof/>
        </w:rPr>
        <w:t>)</w:t>
      </w:r>
      <w:r w:rsidR="008767AD">
        <w:rPr>
          <w:rFonts w:ascii="Arial" w:hAnsi="Arial" w:cs="Arial"/>
        </w:rPr>
        <w:fldChar w:fldCharType="end"/>
      </w:r>
      <w:r w:rsidR="008767AD">
        <w:rPr>
          <w:rFonts w:ascii="Arial" w:hAnsi="Arial" w:cs="Arial"/>
        </w:rPr>
        <w:t>.</w:t>
      </w:r>
    </w:p>
    <w:p w:rsidR="0042202D" w:rsidRPr="001F47C2" w:rsidRDefault="0042202D" w:rsidP="003E6719">
      <w:pPr>
        <w:pStyle w:val="Heading5"/>
        <w:jc w:val="both"/>
      </w:pPr>
      <w:r>
        <w:t>T</w:t>
      </w:r>
      <w:r w:rsidRPr="00CF757C">
        <w:t>artrate resistant acid phosphatase (TRACP)</w:t>
      </w:r>
    </w:p>
    <w:p w:rsidR="005408F0" w:rsidRDefault="005023B4" w:rsidP="003B725E">
      <w:pPr>
        <w:spacing w:line="360" w:lineRule="auto"/>
        <w:jc w:val="both"/>
        <w:rPr>
          <w:rFonts w:ascii="Arial" w:hAnsi="Arial" w:cs="Arial"/>
        </w:rPr>
      </w:pPr>
      <w:r>
        <w:rPr>
          <w:rFonts w:ascii="Arial" w:hAnsi="Arial" w:cs="Arial"/>
        </w:rPr>
        <w:t>TRACP is an enzyme mainly expressed by the osteoclasts and also by activated macropha</w:t>
      </w:r>
      <w:r w:rsidR="00A533B9">
        <w:rPr>
          <w:rFonts w:ascii="Arial" w:hAnsi="Arial" w:cs="Arial"/>
        </w:rPr>
        <w:t xml:space="preserve">ge, such as in the lung </w:t>
      </w:r>
      <w:r w:rsidR="005471C1">
        <w:rPr>
          <w:rFonts w:ascii="Arial" w:hAnsi="Arial" w:cs="Arial"/>
        </w:rPr>
        <w:t>alveoli</w:t>
      </w:r>
      <w:r>
        <w:rPr>
          <w:rFonts w:ascii="Arial" w:hAnsi="Arial" w:cs="Arial"/>
        </w:rPr>
        <w:t xml:space="preserve"> </w:t>
      </w:r>
      <w:r>
        <w:rPr>
          <w:rFonts w:ascii="Arial" w:hAnsi="Arial" w:cs="Arial"/>
        </w:rPr>
        <w:fldChar w:fldCharType="begin">
          <w:fldData xml:space="preserve">PEVuZE5vdGU+PENpdGU+PEF1dGhvcj5ZYXppamk8L0F1dGhvcj48WWVhcj4xOTk1PC9ZZWFyPjxS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PEVuZE5vdGU+PENpdGU+PEF1dGhvcj5ZYXppamk8L0F1dGhvcj48WWVhcj4xOTk1PC9ZZWFyPjxS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Pr>
          <w:rFonts w:ascii="Arial" w:hAnsi="Arial" w:cs="Arial"/>
        </w:rPr>
      </w:r>
      <w:r>
        <w:rPr>
          <w:rFonts w:ascii="Arial" w:hAnsi="Arial" w:cs="Arial"/>
        </w:rPr>
        <w:fldChar w:fldCharType="separate"/>
      </w:r>
      <w:r w:rsidR="005A347B">
        <w:rPr>
          <w:rFonts w:ascii="Arial" w:hAnsi="Arial" w:cs="Arial"/>
          <w:noProof/>
        </w:rPr>
        <w:t>(</w:t>
      </w:r>
      <w:hyperlink w:anchor="_ENREF_184" w:tooltip="Yaziji, 1995 #514" w:history="1">
        <w:r w:rsidR="003B725E">
          <w:rPr>
            <w:rFonts w:ascii="Arial" w:hAnsi="Arial" w:cs="Arial"/>
            <w:noProof/>
          </w:rPr>
          <w:t>184</w:t>
        </w:r>
      </w:hyperlink>
      <w:r w:rsidR="005A347B">
        <w:rPr>
          <w:rFonts w:ascii="Arial" w:hAnsi="Arial" w:cs="Arial"/>
          <w:noProof/>
        </w:rPr>
        <w:t>)</w:t>
      </w:r>
      <w:r>
        <w:rPr>
          <w:rFonts w:ascii="Arial" w:hAnsi="Arial" w:cs="Arial"/>
        </w:rPr>
        <w:fldChar w:fldCharType="end"/>
      </w:r>
      <w:r>
        <w:rPr>
          <w:rFonts w:ascii="Arial" w:hAnsi="Arial" w:cs="Arial"/>
        </w:rPr>
        <w:t xml:space="preserve">. </w:t>
      </w:r>
      <w:r w:rsidR="001C6791">
        <w:rPr>
          <w:rFonts w:ascii="Arial" w:hAnsi="Arial" w:cs="Arial"/>
        </w:rPr>
        <w:t>It</w:t>
      </w:r>
      <w:r>
        <w:rPr>
          <w:rFonts w:ascii="Arial" w:hAnsi="Arial" w:cs="Arial"/>
        </w:rPr>
        <w:t xml:space="preserve"> circulates </w:t>
      </w:r>
      <w:r w:rsidR="001C6791">
        <w:rPr>
          <w:rFonts w:ascii="Arial" w:hAnsi="Arial" w:cs="Arial"/>
        </w:rPr>
        <w:t>in serum as</w:t>
      </w:r>
      <w:r>
        <w:rPr>
          <w:rFonts w:ascii="Arial" w:hAnsi="Arial" w:cs="Arial"/>
        </w:rPr>
        <w:t xml:space="preserve"> two isoforms namely, </w:t>
      </w:r>
      <w:r w:rsidR="00CF757C" w:rsidRPr="00CF757C">
        <w:rPr>
          <w:rFonts w:ascii="Arial" w:hAnsi="Arial" w:cs="Arial"/>
        </w:rPr>
        <w:t>5a and 5b</w:t>
      </w:r>
      <w:r w:rsidR="001C6791">
        <w:rPr>
          <w:rFonts w:ascii="Arial" w:hAnsi="Arial" w:cs="Arial"/>
        </w:rPr>
        <w:t xml:space="preserve"> </w:t>
      </w:r>
      <w:r w:rsidR="001C6791">
        <w:rPr>
          <w:rFonts w:ascii="Arial" w:hAnsi="Arial" w:cs="Arial"/>
        </w:rPr>
        <w:fldChar w:fldCharType="begin"/>
      </w:r>
      <w:r w:rsidR="005A347B">
        <w:rPr>
          <w:rFonts w:ascii="Arial" w:hAnsi="Arial" w:cs="Arial"/>
        </w:rPr>
        <w:instrText xml:space="preserve"> ADDIN EN.CITE &lt;EndNote&gt;&lt;Cite&gt;&lt;Author&gt;Lam&lt;/Author&gt;&lt;Year&gt;1978&lt;/Year&gt;&lt;RecNum&gt;119&lt;/RecNum&gt;&lt;DisplayText&gt;(185)&lt;/DisplayText&gt;&lt;record&gt;&lt;rec-number&gt;119&lt;/rec-number&gt;&lt;foreign-keys&gt;&lt;key app="EN" db-id="p9a5ttsvyvde9me5aw2x05fp5p55axf0wr90" timestamp="1417715007"&gt;119&lt;/key&gt;&lt;/foreign-keys&gt;&lt;ref-type name="Journal Article"&gt;17&lt;/ref-type&gt;&lt;contributors&gt;&lt;authors&gt;&lt;author&gt;Lam, W. K.&lt;/author&gt;&lt;author&gt;Eastlund, D. T.&lt;/author&gt;&lt;author&gt;Li, C. Y.&lt;/author&gt;&lt;author&gt;Yam, L. T.&lt;/author&gt;&lt;/authors&gt;&lt;/contributors&gt;&lt;titles&gt;&lt;title&gt;Biochemical properties of tartrate-resistant acid phosphatase in serum of adults and children&lt;/title&gt;&lt;secondary-title&gt;Clin Chem&lt;/secondary-title&gt;&lt;alt-title&gt;Clinical chemistry&lt;/alt-title&gt;&lt;/titles&gt;&lt;periodical&gt;&lt;full-title&gt;Clin Chem&lt;/full-title&gt;&lt;abbr-1&gt;Clinical chemistry&lt;/abbr-1&gt;&lt;/periodical&gt;&lt;alt-periodical&gt;&lt;full-title&gt;Clin Chem&lt;/full-title&gt;&lt;abbr-1&gt;Clinical chemistry&lt;/abbr-1&gt;&lt;/alt-periodical&gt;&lt;pages&gt;1105-8&lt;/pages&gt;&lt;volume&gt;24&lt;/volume&gt;&lt;number&gt;7&lt;/number&gt;&lt;edition&gt;1978/07/01&lt;/edition&gt;&lt;keywords&gt;&lt;keyword&gt;4-Nitrophenylphosphatase/blood&lt;/keyword&gt;&lt;keyword&gt;Acid Phosphatase/ blood&lt;/keyword&gt;&lt;keyword&gt;Adolescent&lt;/keyword&gt;&lt;keyword&gt;Adult&lt;/keyword&gt;&lt;keyword&gt;Aged&lt;/keyword&gt;&lt;keyword&gt;Aging&lt;/keyword&gt;&lt;keyword&gt;Child&lt;/keyword&gt;&lt;keyword&gt;Child, Preschool&lt;/keyword&gt;&lt;keyword&gt;Chromatography, Ion Exchange&lt;/keyword&gt;&lt;keyword&gt;Electrophoresis, Polyacrylamide Gel&lt;/keyword&gt;&lt;keyword&gt;Humans&lt;/keyword&gt;&lt;keyword&gt;Infant&lt;/keyword&gt;&lt;keyword&gt;Infant, Newborn&lt;/keyword&gt;&lt;keyword&gt;Middle Aged&lt;/keyword&gt;&lt;keyword&gt;Tartrates/ pharmacology&lt;/keyword&gt;&lt;/keywords&gt;&lt;dates&gt;&lt;year&gt;1978&lt;/year&gt;&lt;pub-dates&gt;&lt;date&gt;Jul&lt;/date&gt;&lt;/pub-dates&gt;&lt;/dates&gt;&lt;isbn&gt;0009-9147 (Print)&amp;#xD;0009-9147 (Linking)&lt;/isbn&gt;&lt;accession-num&gt;207464&lt;/accession-num&gt;&lt;urls&gt;&lt;/urls&gt;&lt;remote-database-provider&gt;NLM&lt;/remote-database-provider&gt;&lt;language&gt;eng&lt;/language&gt;&lt;/record&gt;&lt;/Cite&gt;&lt;/EndNote&gt;</w:instrText>
      </w:r>
      <w:r w:rsidR="001C6791">
        <w:rPr>
          <w:rFonts w:ascii="Arial" w:hAnsi="Arial" w:cs="Arial"/>
        </w:rPr>
        <w:fldChar w:fldCharType="separate"/>
      </w:r>
      <w:r w:rsidR="005A347B">
        <w:rPr>
          <w:rFonts w:ascii="Arial" w:hAnsi="Arial" w:cs="Arial"/>
          <w:noProof/>
        </w:rPr>
        <w:t>(</w:t>
      </w:r>
      <w:hyperlink w:anchor="_ENREF_185" w:tooltip="Lam, 1978 #119" w:history="1">
        <w:r w:rsidR="003B725E">
          <w:rPr>
            <w:rFonts w:ascii="Arial" w:hAnsi="Arial" w:cs="Arial"/>
            <w:noProof/>
          </w:rPr>
          <w:t>185</w:t>
        </w:r>
      </w:hyperlink>
      <w:r w:rsidR="005A347B">
        <w:rPr>
          <w:rFonts w:ascii="Arial" w:hAnsi="Arial" w:cs="Arial"/>
          <w:noProof/>
        </w:rPr>
        <w:t>)</w:t>
      </w:r>
      <w:r w:rsidR="001C6791">
        <w:rPr>
          <w:rFonts w:ascii="Arial" w:hAnsi="Arial" w:cs="Arial"/>
        </w:rPr>
        <w:fldChar w:fldCharType="end"/>
      </w:r>
      <w:r w:rsidR="00CF757C" w:rsidRPr="00CF757C">
        <w:rPr>
          <w:rFonts w:ascii="Arial" w:hAnsi="Arial" w:cs="Arial"/>
        </w:rPr>
        <w:t xml:space="preserve">. </w:t>
      </w:r>
      <w:r w:rsidR="001C6791">
        <w:rPr>
          <w:rFonts w:ascii="Arial" w:hAnsi="Arial" w:cs="Arial"/>
        </w:rPr>
        <w:t xml:space="preserve">The isoforms are genetically identical </w:t>
      </w:r>
      <w:r w:rsidR="005408F0">
        <w:rPr>
          <w:rFonts w:ascii="Arial" w:hAnsi="Arial" w:cs="Arial"/>
        </w:rPr>
        <w:t xml:space="preserve">and therefore </w:t>
      </w:r>
      <w:r w:rsidR="00826DDA">
        <w:rPr>
          <w:rFonts w:ascii="Arial" w:hAnsi="Arial" w:cs="Arial"/>
        </w:rPr>
        <w:t>have the same protein structure. They differ by their carbohydrate content</w:t>
      </w:r>
      <w:r w:rsidR="005408F0">
        <w:rPr>
          <w:rFonts w:ascii="Arial" w:hAnsi="Arial" w:cs="Arial"/>
        </w:rPr>
        <w:t xml:space="preserve"> </w:t>
      </w:r>
      <w:r w:rsidR="00826DDA">
        <w:rPr>
          <w:rFonts w:ascii="Arial" w:hAnsi="Arial" w:cs="Arial"/>
        </w:rPr>
        <w:t>with isoform 5a containing</w:t>
      </w:r>
      <w:r w:rsidR="001C6791">
        <w:rPr>
          <w:rFonts w:ascii="Arial" w:hAnsi="Arial" w:cs="Arial"/>
        </w:rPr>
        <w:t xml:space="preserve"> sialic acid </w:t>
      </w:r>
      <w:r w:rsidR="005408F0">
        <w:rPr>
          <w:rFonts w:ascii="Arial" w:hAnsi="Arial" w:cs="Arial"/>
        </w:rPr>
        <w:t xml:space="preserve">not present in isoform 5b </w:t>
      </w:r>
      <w:r w:rsidR="005408F0">
        <w:rPr>
          <w:rFonts w:ascii="Arial" w:hAnsi="Arial" w:cs="Arial"/>
        </w:rPr>
        <w:fldChar w:fldCharType="begin"/>
      </w:r>
      <w:r w:rsidR="000D155C">
        <w:rPr>
          <w:rFonts w:ascii="Arial" w:hAnsi="Arial" w:cs="Arial"/>
        </w:rPr>
        <w:instrText xml:space="preserve"> ADDIN EN.CITE &lt;EndNote&gt;&lt;Cite&gt;&lt;Author&gt;Lam&lt;/Author&gt;&lt;Year&gt;1981&lt;/Year&gt;&lt;RecNum&gt;515&lt;/RecNum&gt;&lt;DisplayText&gt;(186)&lt;/DisplayText&gt;&lt;record&gt;&lt;rec-number&gt;515&lt;/rec-number&gt;&lt;foreign-keys&gt;&lt;key app="EN" db-id="999pfvae505tsbee9eapvxv0srxdfv2ttr5e" timestamp="1572863192"&gt;515&lt;/key&gt;&lt;/foreign-keys&gt;&lt;ref-type name="Journal Article"&gt;17&lt;/ref-type&gt;&lt;contributors&gt;&lt;authors&gt;&lt;author&gt;Lam, K. W.&lt;/author&gt;&lt;author&gt;Li, C. Y.&lt;/author&gt;&lt;author&gt;Yam, L. T.&lt;/author&gt;&lt;author&gt;Desnick, R. J.&lt;/author&gt;&lt;/authors&gt;&lt;/contributors&gt;&lt;titles&gt;&lt;title&gt;Comparison of the tartrate-resistant acid phosphatase in Gaucher&amp;apos;s disease and leukemic reticuloendotheliosis&lt;/title&gt;&lt;secondary-title&gt;Clin Biochem&lt;/secondary-title&gt;&lt;alt-title&gt;Clinical biochemistry&lt;/alt-title&gt;&lt;/titles&gt;&lt;periodical&gt;&lt;full-title&gt;Clin Biochem&lt;/full-title&gt;&lt;abbr-1&gt;Clinical biochemistry&lt;/abbr-1&gt;&lt;/periodical&gt;&lt;alt-periodical&gt;&lt;full-title&gt;Clin Biochem&lt;/full-title&gt;&lt;abbr-1&gt;Clinical biochemistry&lt;/abbr-1&gt;&lt;/alt-periodical&gt;&lt;pages&gt;177-81&lt;/pages&gt;&lt;volume&gt;14&lt;/volume&gt;&lt;number&gt;4&lt;/number&gt;&lt;edition&gt;1981/08/01&lt;/edition&gt;&lt;keywords&gt;&lt;keyword&gt;Acid Phosphatase/*blood&lt;/keyword&gt;&lt;keyword&gt;Adolescent&lt;/keyword&gt;&lt;keyword&gt;Adult&lt;/keyword&gt;&lt;keyword&gt;Blood Protein Electrophoresis&lt;/keyword&gt;&lt;keyword&gt;Child&lt;/keyword&gt;&lt;keyword&gt;Child, Preschool&lt;/keyword&gt;&lt;keyword&gt;Colorimetry/methods&lt;/keyword&gt;&lt;keyword&gt;Female&lt;/keyword&gt;&lt;keyword&gt;Gaucher Disease/*enzymology&lt;/keyword&gt;&lt;keyword&gt;Humans&lt;/keyword&gt;&lt;keyword&gt;Immunodiffusion&lt;/keyword&gt;&lt;keyword&gt;Leukemia, Hairy Cell/*enzymology&lt;/keyword&gt;&lt;keyword&gt;Male&lt;/keyword&gt;&lt;keyword&gt;Middle Aged&lt;/keyword&gt;&lt;keyword&gt;Molecular Weight&lt;/keyword&gt;&lt;keyword&gt;Tartrates/pharmacology&lt;/keyword&gt;&lt;/keywords&gt;&lt;dates&gt;&lt;year&gt;1981&lt;/year&gt;&lt;pub-dates&gt;&lt;date&gt;Aug&lt;/date&gt;&lt;/pub-dates&gt;&lt;/dates&gt;&lt;isbn&gt;0009-9120 (Print)&amp;#xD;0009-9120&lt;/isbn&gt;&lt;accession-num&gt;6794944&lt;/accession-num&gt;&lt;urls&gt;&lt;/urls&gt;&lt;electronic-resource-num&gt;10.1016/s0009-9120(81)91201-7&lt;/electronic-resource-num&gt;&lt;remote-database-provider&gt;NLM&lt;/remote-database-provider&gt;&lt;language&gt;eng&lt;/language&gt;&lt;/record&gt;&lt;/Cite&gt;&lt;/EndNote&gt;</w:instrText>
      </w:r>
      <w:r w:rsidR="005408F0">
        <w:rPr>
          <w:rFonts w:ascii="Arial" w:hAnsi="Arial" w:cs="Arial"/>
        </w:rPr>
        <w:fldChar w:fldCharType="separate"/>
      </w:r>
      <w:r w:rsidR="005A347B">
        <w:rPr>
          <w:rFonts w:ascii="Arial" w:hAnsi="Arial" w:cs="Arial"/>
          <w:noProof/>
        </w:rPr>
        <w:t>(</w:t>
      </w:r>
      <w:hyperlink w:anchor="_ENREF_186" w:tooltip="Lam, 1981 #515" w:history="1">
        <w:r w:rsidR="003B725E">
          <w:rPr>
            <w:rFonts w:ascii="Arial" w:hAnsi="Arial" w:cs="Arial"/>
            <w:noProof/>
          </w:rPr>
          <w:t>186</w:t>
        </w:r>
      </w:hyperlink>
      <w:r w:rsidR="005A347B">
        <w:rPr>
          <w:rFonts w:ascii="Arial" w:hAnsi="Arial" w:cs="Arial"/>
          <w:noProof/>
        </w:rPr>
        <w:t>)</w:t>
      </w:r>
      <w:r w:rsidR="005408F0">
        <w:rPr>
          <w:rFonts w:ascii="Arial" w:hAnsi="Arial" w:cs="Arial"/>
        </w:rPr>
        <w:fldChar w:fldCharType="end"/>
      </w:r>
      <w:r w:rsidR="005408F0">
        <w:rPr>
          <w:rFonts w:ascii="Arial" w:hAnsi="Arial" w:cs="Arial"/>
        </w:rPr>
        <w:t xml:space="preserve">, </w:t>
      </w:r>
      <w:r w:rsidR="00826DDA">
        <w:rPr>
          <w:rFonts w:ascii="Arial" w:hAnsi="Arial" w:cs="Arial"/>
        </w:rPr>
        <w:t>the</w:t>
      </w:r>
      <w:r w:rsidR="001C6791">
        <w:rPr>
          <w:rFonts w:ascii="Arial" w:hAnsi="Arial" w:cs="Arial"/>
        </w:rPr>
        <w:t xml:space="preserve"> optimum pH </w:t>
      </w:r>
      <w:r w:rsidR="00826DDA">
        <w:rPr>
          <w:rFonts w:ascii="Arial" w:hAnsi="Arial" w:cs="Arial"/>
        </w:rPr>
        <w:t xml:space="preserve">for isoform 5a </w:t>
      </w:r>
      <w:r w:rsidR="001C6791">
        <w:rPr>
          <w:rFonts w:ascii="Arial" w:hAnsi="Arial" w:cs="Arial"/>
        </w:rPr>
        <w:t xml:space="preserve">is </w:t>
      </w:r>
      <w:r w:rsidR="001C6791">
        <w:rPr>
          <w:rFonts w:ascii="Arial" w:hAnsi="Arial" w:cs="Arial"/>
        </w:rPr>
        <w:lastRenderedPageBreak/>
        <w:t>lower (</w:t>
      </w:r>
      <w:r w:rsidR="00826DDA">
        <w:rPr>
          <w:rFonts w:ascii="Arial" w:hAnsi="Arial" w:cs="Arial"/>
        </w:rPr>
        <w:t>pH</w:t>
      </w:r>
      <w:r w:rsidR="001C6791">
        <w:rPr>
          <w:rFonts w:ascii="Arial" w:hAnsi="Arial" w:cs="Arial"/>
        </w:rPr>
        <w:t>4.9) than isoform 5b (</w:t>
      </w:r>
      <w:r w:rsidR="00826DDA">
        <w:rPr>
          <w:rFonts w:ascii="Arial" w:hAnsi="Arial" w:cs="Arial"/>
        </w:rPr>
        <w:t xml:space="preserve">pH </w:t>
      </w:r>
      <w:r w:rsidR="005408F0">
        <w:rPr>
          <w:rFonts w:ascii="Arial" w:hAnsi="Arial" w:cs="Arial"/>
        </w:rPr>
        <w:t xml:space="preserve">5.5 to 6.0) </w:t>
      </w:r>
      <w:r w:rsidR="005408F0">
        <w:rPr>
          <w:rFonts w:ascii="Arial" w:hAnsi="Arial" w:cs="Arial"/>
        </w:rPr>
        <w:fldChar w:fldCharType="begin"/>
      </w:r>
      <w:r w:rsidR="005A347B">
        <w:rPr>
          <w:rFonts w:ascii="Arial" w:hAnsi="Arial" w:cs="Arial"/>
        </w:rPr>
        <w:instrText xml:space="preserve"> ADDIN EN.CITE &lt;EndNote&gt;&lt;Cite&gt;&lt;Author&gt;Lam&lt;/Author&gt;&lt;Year&gt;1978&lt;/Year&gt;&lt;RecNum&gt;119&lt;/RecNum&gt;&lt;DisplayText&gt;(185)&lt;/DisplayText&gt;&lt;record&gt;&lt;rec-number&gt;119&lt;/rec-number&gt;&lt;foreign-keys&gt;&lt;key app="EN" db-id="p9a5ttsvyvde9me5aw2x05fp5p55axf0wr90" timestamp="1417715007"&gt;119&lt;/key&gt;&lt;/foreign-keys&gt;&lt;ref-type name="Journal Article"&gt;17&lt;/ref-type&gt;&lt;contributors&gt;&lt;authors&gt;&lt;author&gt;Lam, W. K.&lt;/author&gt;&lt;author&gt;Eastlund, D. T.&lt;/author&gt;&lt;author&gt;Li, C. Y.&lt;/author&gt;&lt;author&gt;Yam, L. T.&lt;/author&gt;&lt;/authors&gt;&lt;/contributors&gt;&lt;titles&gt;&lt;title&gt;Biochemical properties of tartrate-resistant acid phosphatase in serum of adults and children&lt;/title&gt;&lt;secondary-title&gt;Clin Chem&lt;/secondary-title&gt;&lt;alt-title&gt;Clinical chemistry&lt;/alt-title&gt;&lt;/titles&gt;&lt;periodical&gt;&lt;full-title&gt;Clin Chem&lt;/full-title&gt;&lt;abbr-1&gt;Clinical chemistry&lt;/abbr-1&gt;&lt;/periodical&gt;&lt;alt-periodical&gt;&lt;full-title&gt;Clin Chem&lt;/full-title&gt;&lt;abbr-1&gt;Clinical chemistry&lt;/abbr-1&gt;&lt;/alt-periodical&gt;&lt;pages&gt;1105-8&lt;/pages&gt;&lt;volume&gt;24&lt;/volume&gt;&lt;number&gt;7&lt;/number&gt;&lt;edition&gt;1978/07/01&lt;/edition&gt;&lt;keywords&gt;&lt;keyword&gt;4-Nitrophenylphosphatase/blood&lt;/keyword&gt;&lt;keyword&gt;Acid Phosphatase/ blood&lt;/keyword&gt;&lt;keyword&gt;Adolescent&lt;/keyword&gt;&lt;keyword&gt;Adult&lt;/keyword&gt;&lt;keyword&gt;Aged&lt;/keyword&gt;&lt;keyword&gt;Aging&lt;/keyword&gt;&lt;keyword&gt;Child&lt;/keyword&gt;&lt;keyword&gt;Child, Preschool&lt;/keyword&gt;&lt;keyword&gt;Chromatography, Ion Exchange&lt;/keyword&gt;&lt;keyword&gt;Electrophoresis, Polyacrylamide Gel&lt;/keyword&gt;&lt;keyword&gt;Humans&lt;/keyword&gt;&lt;keyword&gt;Infant&lt;/keyword&gt;&lt;keyword&gt;Infant, Newborn&lt;/keyword&gt;&lt;keyword&gt;Middle Aged&lt;/keyword&gt;&lt;keyword&gt;Tartrates/ pharmacology&lt;/keyword&gt;&lt;/keywords&gt;&lt;dates&gt;&lt;year&gt;1978&lt;/year&gt;&lt;pub-dates&gt;&lt;date&gt;Jul&lt;/date&gt;&lt;/pub-dates&gt;&lt;/dates&gt;&lt;isbn&gt;0009-9147 (Print)&amp;#xD;0009-9147 (Linking)&lt;/isbn&gt;&lt;accession-num&gt;207464&lt;/accession-num&gt;&lt;urls&gt;&lt;/urls&gt;&lt;remote-database-provider&gt;NLM&lt;/remote-database-provider&gt;&lt;language&gt;eng&lt;/language&gt;&lt;/record&gt;&lt;/Cite&gt;&lt;/EndNote&gt;</w:instrText>
      </w:r>
      <w:r w:rsidR="005408F0">
        <w:rPr>
          <w:rFonts w:ascii="Arial" w:hAnsi="Arial" w:cs="Arial"/>
        </w:rPr>
        <w:fldChar w:fldCharType="separate"/>
      </w:r>
      <w:r w:rsidR="005A347B">
        <w:rPr>
          <w:rFonts w:ascii="Arial" w:hAnsi="Arial" w:cs="Arial"/>
          <w:noProof/>
        </w:rPr>
        <w:t>(</w:t>
      </w:r>
      <w:hyperlink w:anchor="_ENREF_185" w:tooltip="Lam, 1978 #119" w:history="1">
        <w:r w:rsidR="003B725E">
          <w:rPr>
            <w:rFonts w:ascii="Arial" w:hAnsi="Arial" w:cs="Arial"/>
            <w:noProof/>
          </w:rPr>
          <w:t>185</w:t>
        </w:r>
      </w:hyperlink>
      <w:r w:rsidR="005A347B">
        <w:rPr>
          <w:rFonts w:ascii="Arial" w:hAnsi="Arial" w:cs="Arial"/>
          <w:noProof/>
        </w:rPr>
        <w:t>)</w:t>
      </w:r>
      <w:r w:rsidR="005408F0">
        <w:rPr>
          <w:rFonts w:ascii="Arial" w:hAnsi="Arial" w:cs="Arial"/>
        </w:rPr>
        <w:fldChar w:fldCharType="end"/>
      </w:r>
      <w:r w:rsidR="005408F0">
        <w:rPr>
          <w:rFonts w:ascii="Arial" w:hAnsi="Arial" w:cs="Arial"/>
        </w:rPr>
        <w:t xml:space="preserve">. In addition isoform 5b is expressed solely by the osteoclasts whereas isoform 5a </w:t>
      </w:r>
      <w:r w:rsidR="00B51B67">
        <w:rPr>
          <w:rFonts w:ascii="Arial" w:hAnsi="Arial" w:cs="Arial"/>
        </w:rPr>
        <w:t xml:space="preserve">may be expressed by </w:t>
      </w:r>
      <w:r w:rsidR="00826DDA">
        <w:rPr>
          <w:rFonts w:ascii="Arial" w:hAnsi="Arial" w:cs="Arial"/>
        </w:rPr>
        <w:t xml:space="preserve">macrophages and dendritic cells </w:t>
      </w:r>
      <w:r w:rsidR="00B51B67">
        <w:rPr>
          <w:rFonts w:ascii="Arial" w:hAnsi="Arial" w:cs="Arial"/>
        </w:rPr>
        <w:fldChar w:fldCharType="begin"/>
      </w:r>
      <w:r w:rsidR="000D155C">
        <w:rPr>
          <w:rFonts w:ascii="Arial" w:hAnsi="Arial" w:cs="Arial"/>
        </w:rPr>
        <w:instrText xml:space="preserve"> ADDIN EN.CITE &lt;EndNote&gt;&lt;Cite&gt;&lt;Author&gt;Lam&lt;/Author&gt;&lt;Year&gt;1981&lt;/Year&gt;&lt;RecNum&gt;515&lt;/RecNum&gt;&lt;DisplayText&gt;(186)&lt;/DisplayText&gt;&lt;record&gt;&lt;rec-number&gt;515&lt;/rec-number&gt;&lt;foreign-keys&gt;&lt;key app="EN" db-id="999pfvae505tsbee9eapvxv0srxdfv2ttr5e" timestamp="1572863192"&gt;515&lt;/key&gt;&lt;/foreign-keys&gt;&lt;ref-type name="Journal Article"&gt;17&lt;/ref-type&gt;&lt;contributors&gt;&lt;authors&gt;&lt;author&gt;Lam, K. W.&lt;/author&gt;&lt;author&gt;Li, C. Y.&lt;/author&gt;&lt;author&gt;Yam, L. T.&lt;/author&gt;&lt;author&gt;Desnick, R. J.&lt;/author&gt;&lt;/authors&gt;&lt;/contributors&gt;&lt;titles&gt;&lt;title&gt;Comparison of the tartrate-resistant acid phosphatase in Gaucher&amp;apos;s disease and leukemic reticuloendotheliosis&lt;/title&gt;&lt;secondary-title&gt;Clin Biochem&lt;/secondary-title&gt;&lt;alt-title&gt;Clinical biochemistry&lt;/alt-title&gt;&lt;/titles&gt;&lt;periodical&gt;&lt;full-title&gt;Clin Biochem&lt;/full-title&gt;&lt;abbr-1&gt;Clinical biochemistry&lt;/abbr-1&gt;&lt;/periodical&gt;&lt;alt-periodical&gt;&lt;full-title&gt;Clin Biochem&lt;/full-title&gt;&lt;abbr-1&gt;Clinical biochemistry&lt;/abbr-1&gt;&lt;/alt-periodical&gt;&lt;pages&gt;177-81&lt;/pages&gt;&lt;volume&gt;14&lt;/volume&gt;&lt;number&gt;4&lt;/number&gt;&lt;edition&gt;1981/08/01&lt;/edition&gt;&lt;keywords&gt;&lt;keyword&gt;Acid Phosphatase/*blood&lt;/keyword&gt;&lt;keyword&gt;Adolescent&lt;/keyword&gt;&lt;keyword&gt;Adult&lt;/keyword&gt;&lt;keyword&gt;Blood Protein Electrophoresis&lt;/keyword&gt;&lt;keyword&gt;Child&lt;/keyword&gt;&lt;keyword&gt;Child, Preschool&lt;/keyword&gt;&lt;keyword&gt;Colorimetry/methods&lt;/keyword&gt;&lt;keyword&gt;Female&lt;/keyword&gt;&lt;keyword&gt;Gaucher Disease/*enzymology&lt;/keyword&gt;&lt;keyword&gt;Humans&lt;/keyword&gt;&lt;keyword&gt;Immunodiffusion&lt;/keyword&gt;&lt;keyword&gt;Leukemia, Hairy Cell/*enzymology&lt;/keyword&gt;&lt;keyword&gt;Male&lt;/keyword&gt;&lt;keyword&gt;Middle Aged&lt;/keyword&gt;&lt;keyword&gt;Molecular Weight&lt;/keyword&gt;&lt;keyword&gt;Tartrates/pharmacology&lt;/keyword&gt;&lt;/keywords&gt;&lt;dates&gt;&lt;year&gt;1981&lt;/year&gt;&lt;pub-dates&gt;&lt;date&gt;Aug&lt;/date&gt;&lt;/pub-dates&gt;&lt;/dates&gt;&lt;isbn&gt;0009-9120 (Print)&amp;#xD;0009-9120&lt;/isbn&gt;&lt;accession-num&gt;6794944&lt;/accession-num&gt;&lt;urls&gt;&lt;/urls&gt;&lt;electronic-resource-num&gt;10.1016/s0009-9120(81)91201-7&lt;/electronic-resource-num&gt;&lt;remote-database-provider&gt;NLM&lt;/remote-database-provider&gt;&lt;language&gt;eng&lt;/language&gt;&lt;/record&gt;&lt;/Cite&gt;&lt;/EndNote&gt;</w:instrText>
      </w:r>
      <w:r w:rsidR="00B51B67">
        <w:rPr>
          <w:rFonts w:ascii="Arial" w:hAnsi="Arial" w:cs="Arial"/>
        </w:rPr>
        <w:fldChar w:fldCharType="separate"/>
      </w:r>
      <w:r w:rsidR="005A347B">
        <w:rPr>
          <w:rFonts w:ascii="Arial" w:hAnsi="Arial" w:cs="Arial"/>
          <w:noProof/>
        </w:rPr>
        <w:t>(</w:t>
      </w:r>
      <w:hyperlink w:anchor="_ENREF_186" w:tooltip="Lam, 1981 #515" w:history="1">
        <w:r w:rsidR="003B725E">
          <w:rPr>
            <w:rFonts w:ascii="Arial" w:hAnsi="Arial" w:cs="Arial"/>
            <w:noProof/>
          </w:rPr>
          <w:t>186</w:t>
        </w:r>
      </w:hyperlink>
      <w:r w:rsidR="005A347B">
        <w:rPr>
          <w:rFonts w:ascii="Arial" w:hAnsi="Arial" w:cs="Arial"/>
          <w:noProof/>
        </w:rPr>
        <w:t>)</w:t>
      </w:r>
      <w:r w:rsidR="00B51B67">
        <w:rPr>
          <w:rFonts w:ascii="Arial" w:hAnsi="Arial" w:cs="Arial"/>
        </w:rPr>
        <w:fldChar w:fldCharType="end"/>
      </w:r>
      <w:r w:rsidR="001C6791">
        <w:rPr>
          <w:rFonts w:ascii="Arial" w:hAnsi="Arial" w:cs="Arial"/>
        </w:rPr>
        <w:t xml:space="preserve">. </w:t>
      </w:r>
      <w:r w:rsidR="004452A2">
        <w:rPr>
          <w:rFonts w:ascii="Arial" w:hAnsi="Arial" w:cs="Arial"/>
        </w:rPr>
        <w:t xml:space="preserve">Isoform type 5a is monomeric and type b consists of two subunits. </w:t>
      </w:r>
      <w:r w:rsidR="0097300D">
        <w:rPr>
          <w:rFonts w:ascii="Arial" w:hAnsi="Arial" w:cs="Arial"/>
        </w:rPr>
        <w:t>TRACP</w:t>
      </w:r>
      <w:r w:rsidR="00825770">
        <w:rPr>
          <w:rFonts w:ascii="Arial" w:hAnsi="Arial" w:cs="Arial"/>
        </w:rPr>
        <w:t xml:space="preserve"> is secreted in circulation as an active enzyme that becomes inactivated by losing </w:t>
      </w:r>
      <w:r w:rsidR="0097300D">
        <w:rPr>
          <w:rFonts w:ascii="Arial" w:hAnsi="Arial" w:cs="Arial"/>
        </w:rPr>
        <w:t>its</w:t>
      </w:r>
      <w:r w:rsidR="00825770">
        <w:rPr>
          <w:rFonts w:ascii="Arial" w:hAnsi="Arial" w:cs="Arial"/>
        </w:rPr>
        <w:t xml:space="preserve"> iron content. </w:t>
      </w:r>
      <w:r w:rsidR="0097300D">
        <w:rPr>
          <w:rFonts w:ascii="Arial" w:hAnsi="Arial" w:cs="Arial"/>
        </w:rPr>
        <w:t>About 90% of the molecule circulates in fragments and</w:t>
      </w:r>
      <w:r w:rsidR="00825770">
        <w:rPr>
          <w:rFonts w:ascii="Arial" w:hAnsi="Arial" w:cs="Arial"/>
        </w:rPr>
        <w:t xml:space="preserve"> </w:t>
      </w:r>
      <w:r w:rsidR="0097300D">
        <w:rPr>
          <w:rFonts w:ascii="Arial" w:hAnsi="Arial" w:cs="Arial"/>
        </w:rPr>
        <w:t xml:space="preserve">is </w:t>
      </w:r>
      <w:r w:rsidR="00825770">
        <w:rPr>
          <w:rFonts w:ascii="Arial" w:hAnsi="Arial" w:cs="Arial"/>
        </w:rPr>
        <w:t xml:space="preserve">metabolised by the liver and </w:t>
      </w:r>
      <w:r w:rsidR="0097300D">
        <w:rPr>
          <w:rFonts w:ascii="Arial" w:hAnsi="Arial" w:cs="Arial"/>
        </w:rPr>
        <w:t xml:space="preserve">kidneys. </w:t>
      </w:r>
      <w:r w:rsidR="00825770">
        <w:rPr>
          <w:rFonts w:ascii="Arial" w:hAnsi="Arial" w:cs="Arial"/>
        </w:rPr>
        <w:t xml:space="preserve"> </w:t>
      </w:r>
      <w:r w:rsidR="0078187A">
        <w:rPr>
          <w:rFonts w:ascii="Arial" w:hAnsi="Arial" w:cs="Arial"/>
        </w:rPr>
        <w:t xml:space="preserve">Assays are available which are capable of detecting </w:t>
      </w:r>
      <w:r w:rsidR="0097300D">
        <w:rPr>
          <w:rFonts w:ascii="Arial" w:hAnsi="Arial" w:cs="Arial"/>
        </w:rPr>
        <w:t xml:space="preserve">the active </w:t>
      </w:r>
      <w:r w:rsidR="0078187A">
        <w:rPr>
          <w:rFonts w:ascii="Arial" w:hAnsi="Arial" w:cs="Arial"/>
        </w:rPr>
        <w:t>isoform 5b</w:t>
      </w:r>
      <w:r w:rsidR="0097300D">
        <w:rPr>
          <w:rFonts w:ascii="Arial" w:hAnsi="Arial" w:cs="Arial"/>
        </w:rPr>
        <w:t>, which is not metabolised before b</w:t>
      </w:r>
      <w:r w:rsidR="00A533B9">
        <w:rPr>
          <w:rFonts w:ascii="Arial" w:hAnsi="Arial" w:cs="Arial"/>
        </w:rPr>
        <w:t xml:space="preserve">eing removed from circulation. </w:t>
      </w:r>
      <w:r w:rsidR="0097300D">
        <w:rPr>
          <w:rFonts w:ascii="Arial" w:hAnsi="Arial" w:cs="Arial"/>
        </w:rPr>
        <w:t xml:space="preserve">It can provide </w:t>
      </w:r>
      <w:r w:rsidR="0078187A">
        <w:rPr>
          <w:rFonts w:ascii="Arial" w:hAnsi="Arial" w:cs="Arial"/>
        </w:rPr>
        <w:t xml:space="preserve">information </w:t>
      </w:r>
      <w:r w:rsidR="0097300D">
        <w:rPr>
          <w:rFonts w:ascii="Arial" w:hAnsi="Arial" w:cs="Arial"/>
        </w:rPr>
        <w:t>specific to</w:t>
      </w:r>
      <w:r w:rsidR="0078187A">
        <w:rPr>
          <w:rFonts w:ascii="Arial" w:hAnsi="Arial" w:cs="Arial"/>
        </w:rPr>
        <w:t xml:space="preserve"> bone resorption</w:t>
      </w:r>
      <w:r w:rsidR="00826DDA">
        <w:rPr>
          <w:rFonts w:ascii="Arial" w:hAnsi="Arial" w:cs="Arial"/>
        </w:rPr>
        <w:t xml:space="preserve">, reflecting osteoclast number and activity. </w:t>
      </w:r>
    </w:p>
    <w:p w:rsidR="005408F0" w:rsidRPr="00D24B85" w:rsidRDefault="005408F0" w:rsidP="003E6719">
      <w:pPr>
        <w:pStyle w:val="Heading5"/>
        <w:jc w:val="both"/>
        <w:rPr>
          <w:rStyle w:val="Heading6Char"/>
          <w:iCs w:val="0"/>
          <w:u w:val="none"/>
        </w:rPr>
      </w:pPr>
      <w:r w:rsidRPr="00D24B85">
        <w:rPr>
          <w:rStyle w:val="Heading6Char"/>
          <w:iCs w:val="0"/>
          <w:u w:val="none"/>
        </w:rPr>
        <w:t>Cathepsin K</w:t>
      </w:r>
    </w:p>
    <w:p w:rsidR="00CF757C" w:rsidRPr="008B7686" w:rsidRDefault="00CF4D78" w:rsidP="003B725E">
      <w:pPr>
        <w:spacing w:line="360" w:lineRule="auto"/>
        <w:jc w:val="both"/>
        <w:rPr>
          <w:rFonts w:ascii="Arial" w:hAnsi="Arial" w:cs="Arial"/>
        </w:rPr>
      </w:pPr>
      <w:r w:rsidRPr="008B7686">
        <w:rPr>
          <w:rStyle w:val="Heading6Char"/>
          <w:rFonts w:ascii="Arial" w:hAnsi="Arial" w:cs="Arial"/>
          <w:u w:val="none"/>
        </w:rPr>
        <w:t xml:space="preserve">Cathepsin K is a catalytic </w:t>
      </w:r>
      <w:r w:rsidR="00102D9F" w:rsidRPr="008B7686">
        <w:rPr>
          <w:rStyle w:val="Heading6Char"/>
          <w:rFonts w:ascii="Arial" w:hAnsi="Arial" w:cs="Arial"/>
          <w:u w:val="none"/>
        </w:rPr>
        <w:t xml:space="preserve">lysosomal </w:t>
      </w:r>
      <w:r w:rsidRPr="008B7686">
        <w:rPr>
          <w:rStyle w:val="Heading6Char"/>
          <w:rFonts w:ascii="Arial" w:hAnsi="Arial" w:cs="Arial"/>
          <w:u w:val="none"/>
        </w:rPr>
        <w:t>enzyme expressed by the osteoclast and</w:t>
      </w:r>
      <w:r w:rsidR="004452A2" w:rsidRPr="008B7686">
        <w:rPr>
          <w:rStyle w:val="Heading6Char"/>
          <w:rFonts w:ascii="Arial" w:hAnsi="Arial" w:cs="Arial"/>
          <w:u w:val="none"/>
        </w:rPr>
        <w:t xml:space="preserve"> contained in transcyt</w:t>
      </w:r>
      <w:r w:rsidRPr="008B7686">
        <w:rPr>
          <w:rStyle w:val="Heading6Char"/>
          <w:rFonts w:ascii="Arial" w:hAnsi="Arial" w:cs="Arial"/>
          <w:u w:val="none"/>
        </w:rPr>
        <w:t>otic vesicles, along with TRAP type 5</w:t>
      </w:r>
      <w:r w:rsidR="00653196" w:rsidRPr="008B7686">
        <w:rPr>
          <w:rStyle w:val="Heading6Char"/>
          <w:rFonts w:ascii="Arial" w:hAnsi="Arial" w:cs="Arial"/>
          <w:u w:val="none"/>
        </w:rPr>
        <w:t xml:space="preserve">. It </w:t>
      </w:r>
      <w:r w:rsidR="004452A2" w:rsidRPr="008B7686">
        <w:rPr>
          <w:rStyle w:val="Heading6Char"/>
          <w:rFonts w:ascii="Arial" w:hAnsi="Arial" w:cs="Arial"/>
          <w:u w:val="none"/>
        </w:rPr>
        <w:t>cleaves and activates isoform type 5</w:t>
      </w:r>
      <w:r w:rsidR="0093088E" w:rsidRPr="008B7686">
        <w:rPr>
          <w:rStyle w:val="Heading6Char"/>
          <w:rFonts w:ascii="Arial" w:hAnsi="Arial" w:cs="Arial"/>
          <w:u w:val="none"/>
        </w:rPr>
        <w:t xml:space="preserve">b. </w:t>
      </w:r>
      <w:r w:rsidR="00653196" w:rsidRPr="008B7686">
        <w:rPr>
          <w:rFonts w:ascii="Arial" w:hAnsi="Arial" w:cs="Arial"/>
        </w:rPr>
        <w:t xml:space="preserve">It </w:t>
      </w:r>
      <w:r w:rsidR="00CF757C" w:rsidRPr="008B7686">
        <w:rPr>
          <w:rFonts w:ascii="Arial" w:hAnsi="Arial" w:cs="Arial"/>
        </w:rPr>
        <w:t>is a member of the cysteine protease family</w:t>
      </w:r>
      <w:r w:rsidR="0093088E" w:rsidRPr="008B7686">
        <w:rPr>
          <w:rFonts w:ascii="Arial" w:hAnsi="Arial" w:cs="Arial"/>
        </w:rPr>
        <w:t xml:space="preserve"> of which 11 have been identified in humans</w:t>
      </w:r>
      <w:r w:rsidR="0073063B" w:rsidRPr="008B7686">
        <w:rPr>
          <w:rFonts w:ascii="Arial" w:hAnsi="Arial" w:cs="Arial"/>
        </w:rPr>
        <w:t xml:space="preserve"> </w:t>
      </w:r>
      <w:r w:rsidR="0073063B" w:rsidRPr="008B7686">
        <w:rPr>
          <w:rFonts w:ascii="Arial" w:hAnsi="Arial" w:cs="Arial"/>
        </w:rPr>
        <w:fldChar w:fldCharType="begin"/>
      </w:r>
      <w:r w:rsidR="005A347B">
        <w:rPr>
          <w:rFonts w:ascii="Arial" w:hAnsi="Arial" w:cs="Arial"/>
        </w:rPr>
        <w:instrText xml:space="preserve"> ADDIN EN.CITE &lt;EndNote&gt;&lt;Cite&gt;&lt;Author&gt;Rossi&lt;/Author&gt;&lt;Year&gt;2004&lt;/Year&gt;&lt;RecNum&gt;121&lt;/RecNum&gt;&lt;DisplayText&gt;(187)&lt;/DisplayText&gt;&lt;record&gt;&lt;rec-number&gt;121&lt;/rec-number&gt;&lt;foreign-keys&gt;&lt;key app="EN" db-id="p9a5ttsvyvde9me5aw2x05fp5p55axf0wr90" timestamp="1417715007"&gt;121&lt;/key&gt;&lt;/foreign-keys&gt;&lt;ref-type name="Journal Article"&gt;17&lt;/ref-type&gt;&lt;contributors&gt;&lt;authors&gt;&lt;author&gt;Rossi, A.&lt;/author&gt;&lt;author&gt;Deveraux, Q.&lt;/author&gt;&lt;author&gt;Turk, B.&lt;/author&gt;&lt;author&gt;Sali, A.&lt;/author&gt;&lt;/authors&gt;&lt;/contributors&gt;&lt;auth-address&gt;Department of Biopharmaceutical Sciences, California Institute for Quantitative Biomedical Research, University of California at San Francisco, San Francisco, CA 94143-2240, USA.&lt;/auth-address&gt;&lt;titles&gt;&lt;title&gt;Comprehensive search for cysteine cathepsins in the human genome&lt;/title&gt;&lt;secondary-title&gt;Biol Chem&lt;/secondary-title&gt;&lt;alt-title&gt;Biological chemistry&lt;/alt-title&gt;&lt;/titles&gt;&lt;periodical&gt;&lt;full-title&gt;Biol Chem&lt;/full-title&gt;&lt;abbr-1&gt;Biological chemistry&lt;/abbr-1&gt;&lt;/periodical&gt;&lt;alt-periodical&gt;&lt;full-title&gt;Biol Chem&lt;/full-title&gt;&lt;abbr-1&gt;Biological chemistry&lt;/abbr-1&gt;&lt;/alt-periodical&gt;&lt;pages&gt;363-72&lt;/pages&gt;&lt;volume&gt;385&lt;/volume&gt;&lt;number&gt;5&lt;/number&gt;&lt;edition&gt;2004/06/16&lt;/edition&gt;&lt;keywords&gt;&lt;keyword&gt;Cathepsins/ genetics/metabolism&lt;/keyword&gt;&lt;keyword&gt;Cysteine/analysis/metabolism&lt;/keyword&gt;&lt;keyword&gt;Cysteine Endopeptidases/ genetics/metabolism&lt;/keyword&gt;&lt;keyword&gt;Databases, Protein&lt;/keyword&gt;&lt;keyword&gt;Genome, Human&lt;/keyword&gt;&lt;keyword&gt;Human Genome Project&lt;/keyword&gt;&lt;keyword&gt;Humans&lt;/keyword&gt;&lt;keyword&gt;RNA, Messenger/metabolism&lt;/keyword&gt;&lt;keyword&gt;Sequence Alignment&lt;/keyword&gt;&lt;keyword&gt;Sequence Homology&lt;/keyword&gt;&lt;/keywords&gt;&lt;dates&gt;&lt;year&gt;2004&lt;/year&gt;&lt;pub-dates&gt;&lt;date&gt;May&lt;/date&gt;&lt;/pub-dates&gt;&lt;/dates&gt;&lt;isbn&gt;1431-6730 (Print)&amp;#xD;1431-6730 (Linking)&lt;/isbn&gt;&lt;accession-num&gt;15195995&lt;/accession-num&gt;&lt;urls&gt;&lt;/urls&gt;&lt;electronic-resource-num&gt;10.1515/bc.2004.040&lt;/electronic-resource-num&gt;&lt;remote-database-provider&gt;NLM&lt;/remote-database-provider&gt;&lt;language&gt;eng&lt;/language&gt;&lt;/record&gt;&lt;/Cite&gt;&lt;/EndNote&gt;</w:instrText>
      </w:r>
      <w:r w:rsidR="0073063B" w:rsidRPr="008B7686">
        <w:rPr>
          <w:rFonts w:ascii="Arial" w:hAnsi="Arial" w:cs="Arial"/>
        </w:rPr>
        <w:fldChar w:fldCharType="separate"/>
      </w:r>
      <w:r w:rsidR="005A347B">
        <w:rPr>
          <w:rFonts w:ascii="Arial" w:hAnsi="Arial" w:cs="Arial"/>
          <w:noProof/>
        </w:rPr>
        <w:t>(</w:t>
      </w:r>
      <w:hyperlink w:anchor="_ENREF_187" w:tooltip="Rossi, 2004 #121" w:history="1">
        <w:r w:rsidR="003B725E">
          <w:rPr>
            <w:rFonts w:ascii="Arial" w:hAnsi="Arial" w:cs="Arial"/>
            <w:noProof/>
          </w:rPr>
          <w:t>187</w:t>
        </w:r>
      </w:hyperlink>
      <w:r w:rsidR="005A347B">
        <w:rPr>
          <w:rFonts w:ascii="Arial" w:hAnsi="Arial" w:cs="Arial"/>
          <w:noProof/>
        </w:rPr>
        <w:t>)</w:t>
      </w:r>
      <w:r w:rsidR="0073063B" w:rsidRPr="008B7686">
        <w:rPr>
          <w:rFonts w:ascii="Arial" w:hAnsi="Arial" w:cs="Arial"/>
        </w:rPr>
        <w:fldChar w:fldCharType="end"/>
      </w:r>
      <w:r w:rsidR="0093088E" w:rsidRPr="008B7686">
        <w:rPr>
          <w:rFonts w:ascii="Arial" w:hAnsi="Arial" w:cs="Arial"/>
        </w:rPr>
        <w:t xml:space="preserve">. </w:t>
      </w:r>
      <w:r w:rsidR="0073063B" w:rsidRPr="008B7686">
        <w:rPr>
          <w:rFonts w:ascii="Arial" w:hAnsi="Arial" w:cs="Arial"/>
        </w:rPr>
        <w:t>It is monomeric endopeptidase secreted predominan</w:t>
      </w:r>
      <w:r w:rsidR="00AD38D5">
        <w:rPr>
          <w:rFonts w:ascii="Arial" w:hAnsi="Arial" w:cs="Arial"/>
        </w:rPr>
        <w:t xml:space="preserve">tly by the osteoclasts and may be present </w:t>
      </w:r>
      <w:r w:rsidR="0073063B" w:rsidRPr="008B7686">
        <w:rPr>
          <w:rFonts w:ascii="Arial" w:hAnsi="Arial" w:cs="Arial"/>
        </w:rPr>
        <w:t xml:space="preserve">the synovial fluid </w:t>
      </w:r>
      <w:r w:rsidR="0073063B" w:rsidRPr="008B7686">
        <w:rPr>
          <w:rFonts w:ascii="Arial" w:hAnsi="Arial" w:cs="Arial"/>
        </w:rPr>
        <w:fldChar w:fldCharType="begin">
          <w:fldData xml:space="preserve">PEVuZE5vdGU+PENpdGU+PEF1dGhvcj5UdXJrPC9BdXRob3I+PFllYXI+MjAxMjwvWWVhcj48UmVj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PEVuZE5vdGU+PENpdGU+PEF1dGhvcj5UdXJrPC9BdXRob3I+PFllYXI+MjAxMjwvWWVhcj48UmVj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73063B" w:rsidRPr="008B7686">
        <w:rPr>
          <w:rFonts w:ascii="Arial" w:hAnsi="Arial" w:cs="Arial"/>
        </w:rPr>
      </w:r>
      <w:r w:rsidR="0073063B" w:rsidRPr="008B7686">
        <w:rPr>
          <w:rFonts w:ascii="Arial" w:hAnsi="Arial" w:cs="Arial"/>
        </w:rPr>
        <w:fldChar w:fldCharType="separate"/>
      </w:r>
      <w:r w:rsidR="005A347B">
        <w:rPr>
          <w:rFonts w:ascii="Arial" w:hAnsi="Arial" w:cs="Arial"/>
          <w:noProof/>
        </w:rPr>
        <w:t>(</w:t>
      </w:r>
      <w:hyperlink w:anchor="_ENREF_188" w:tooltip="Turk, 2012 #122" w:history="1">
        <w:r w:rsidR="003B725E">
          <w:rPr>
            <w:rFonts w:ascii="Arial" w:hAnsi="Arial" w:cs="Arial"/>
            <w:noProof/>
          </w:rPr>
          <w:t>188</w:t>
        </w:r>
      </w:hyperlink>
      <w:r w:rsidR="005A347B">
        <w:rPr>
          <w:rFonts w:ascii="Arial" w:hAnsi="Arial" w:cs="Arial"/>
          <w:noProof/>
        </w:rPr>
        <w:t>)</w:t>
      </w:r>
      <w:r w:rsidR="0073063B" w:rsidRPr="008B7686">
        <w:rPr>
          <w:rFonts w:ascii="Arial" w:hAnsi="Arial" w:cs="Arial"/>
        </w:rPr>
        <w:fldChar w:fldCharType="end"/>
      </w:r>
      <w:r w:rsidR="0073063B" w:rsidRPr="008B7686">
        <w:rPr>
          <w:rFonts w:ascii="Arial" w:hAnsi="Arial" w:cs="Arial"/>
        </w:rPr>
        <w:t>.</w:t>
      </w:r>
      <w:r w:rsidR="00CF757C" w:rsidRPr="008B7686">
        <w:rPr>
          <w:rFonts w:ascii="Arial" w:hAnsi="Arial" w:cs="Arial"/>
        </w:rPr>
        <w:t xml:space="preserve"> </w:t>
      </w:r>
      <w:r w:rsidR="00653196" w:rsidRPr="008B7686">
        <w:rPr>
          <w:rFonts w:ascii="Arial" w:hAnsi="Arial" w:cs="Arial"/>
        </w:rPr>
        <w:t>I</w:t>
      </w:r>
      <w:r w:rsidR="0073063B" w:rsidRPr="008B7686">
        <w:rPr>
          <w:rFonts w:ascii="Arial" w:hAnsi="Arial" w:cs="Arial"/>
        </w:rPr>
        <w:t>nitially</w:t>
      </w:r>
      <w:r w:rsidR="00653196" w:rsidRPr="008B7686">
        <w:rPr>
          <w:rFonts w:ascii="Arial" w:hAnsi="Arial" w:cs="Arial"/>
        </w:rPr>
        <w:t>, it</w:t>
      </w:r>
      <w:r w:rsidR="0073063B" w:rsidRPr="008B7686">
        <w:rPr>
          <w:rFonts w:ascii="Arial" w:hAnsi="Arial" w:cs="Arial"/>
        </w:rPr>
        <w:t xml:space="preserve"> </w:t>
      </w:r>
      <w:r w:rsidR="00AD38D5">
        <w:rPr>
          <w:rFonts w:ascii="Arial" w:hAnsi="Arial" w:cs="Arial"/>
        </w:rPr>
        <w:t xml:space="preserve">is </w:t>
      </w:r>
      <w:r w:rsidR="0073063B" w:rsidRPr="008B7686">
        <w:rPr>
          <w:rFonts w:ascii="Arial" w:hAnsi="Arial" w:cs="Arial"/>
        </w:rPr>
        <w:t xml:space="preserve">synthesised as a 329 amino </w:t>
      </w:r>
      <w:r w:rsidR="00102D9F" w:rsidRPr="008B7686">
        <w:rPr>
          <w:rFonts w:ascii="Arial" w:hAnsi="Arial" w:cs="Arial"/>
        </w:rPr>
        <w:t>acid proenzyme,</w:t>
      </w:r>
      <w:r w:rsidR="0073063B" w:rsidRPr="008B7686">
        <w:rPr>
          <w:rFonts w:ascii="Arial" w:hAnsi="Arial" w:cs="Arial"/>
        </w:rPr>
        <w:t xml:space="preserve"> which is subsequently </w:t>
      </w:r>
      <w:r w:rsidR="00102D9F" w:rsidRPr="008B7686">
        <w:rPr>
          <w:rFonts w:ascii="Arial" w:hAnsi="Arial" w:cs="Arial"/>
        </w:rPr>
        <w:t xml:space="preserve">catalytically </w:t>
      </w:r>
      <w:r w:rsidR="0073063B" w:rsidRPr="008B7686">
        <w:rPr>
          <w:rFonts w:ascii="Arial" w:hAnsi="Arial" w:cs="Arial"/>
        </w:rPr>
        <w:t xml:space="preserve">cleaved </w:t>
      </w:r>
      <w:r w:rsidR="00102D9F" w:rsidRPr="008B7686">
        <w:rPr>
          <w:rFonts w:ascii="Arial" w:hAnsi="Arial" w:cs="Arial"/>
        </w:rPr>
        <w:t>in</w:t>
      </w:r>
      <w:r w:rsidR="0073063B" w:rsidRPr="008B7686">
        <w:rPr>
          <w:rFonts w:ascii="Arial" w:hAnsi="Arial" w:cs="Arial"/>
        </w:rPr>
        <w:t xml:space="preserve">to its active form of 215 amino acids. </w:t>
      </w:r>
      <w:r w:rsidR="00A66ACB" w:rsidRPr="008B7686">
        <w:rPr>
          <w:rFonts w:ascii="Arial" w:hAnsi="Arial" w:cs="Arial"/>
        </w:rPr>
        <w:t>Cathepsin K and TRAP 5b</w:t>
      </w:r>
      <w:r w:rsidR="00102D9F" w:rsidRPr="008B7686">
        <w:rPr>
          <w:rFonts w:ascii="Arial" w:hAnsi="Arial" w:cs="Arial"/>
        </w:rPr>
        <w:t xml:space="preserve"> </w:t>
      </w:r>
      <w:r w:rsidR="00A66ACB" w:rsidRPr="008B7686">
        <w:rPr>
          <w:rFonts w:ascii="Arial" w:hAnsi="Arial" w:cs="Arial"/>
        </w:rPr>
        <w:t xml:space="preserve">are </w:t>
      </w:r>
      <w:r w:rsidR="00102D9F" w:rsidRPr="008B7686">
        <w:rPr>
          <w:rFonts w:ascii="Arial" w:hAnsi="Arial" w:cs="Arial"/>
        </w:rPr>
        <w:t xml:space="preserve">releases in the resorption </w:t>
      </w:r>
      <w:r w:rsidR="005471C1" w:rsidRPr="008B7686">
        <w:rPr>
          <w:rFonts w:ascii="Arial" w:hAnsi="Arial" w:cs="Arial"/>
        </w:rPr>
        <w:t>lacunae</w:t>
      </w:r>
      <w:r w:rsidR="00102D9F" w:rsidRPr="008B7686">
        <w:rPr>
          <w:rFonts w:ascii="Arial" w:hAnsi="Arial" w:cs="Arial"/>
        </w:rPr>
        <w:t xml:space="preserve"> and in circulation where levels can be used to detect osteoclast activity </w:t>
      </w:r>
      <w:r w:rsidR="00FB4066">
        <w:rPr>
          <w:rFonts w:ascii="Arial" w:hAnsi="Arial" w:cs="Arial"/>
        </w:rPr>
        <w:fldChar w:fldCharType="begin">
          <w:fldData xml:space="preserve">PEVuZE5vdGU+PENpdGU+PEF1dGhvcj5Eb2RkczwvQXV0aG9yPjxZZWFyPjIwMDE8L1llYXI+PFJl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ci0xPjwvYWx0LXBlcmlvZGljYWw+PHBhZ2VzPjQ3OC04NjwvcGFnZXM+PHZvbHVtZT4xNjwvdm9s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ZXJpb2RpY2FsPjxwYWdlcz4xMjUxNy0yNDwvcGFnZXM+PHZvbHVtZT4yNzE8L3ZvbHVtZT48bnVt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PEVuZE5vdGU+PENpdGU+PEF1dGhvcj5Eb2RkczwvQXV0aG9yPjxZZWFyPjIwMDE8L1llYXI+PFJl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ci0xPjwvYWx0LXBlcmlvZGljYWw+PHBhZ2VzPjQ3OC04NjwvcGFnZXM+PHZvbHVtZT4xNjwvdm9s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ZXJpb2RpY2FsPjxwYWdlcz4xMjUxNy0yNDwvcGFnZXM+PHZvbHVtZT4yNzE8L3ZvbHVtZT48bnVt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FB4066">
        <w:rPr>
          <w:rFonts w:ascii="Arial" w:hAnsi="Arial" w:cs="Arial"/>
        </w:rPr>
      </w:r>
      <w:r w:rsidR="00FB4066">
        <w:rPr>
          <w:rFonts w:ascii="Arial" w:hAnsi="Arial" w:cs="Arial"/>
        </w:rPr>
        <w:fldChar w:fldCharType="separate"/>
      </w:r>
      <w:r w:rsidR="005A347B">
        <w:rPr>
          <w:rFonts w:ascii="Arial" w:hAnsi="Arial" w:cs="Arial"/>
          <w:noProof/>
        </w:rPr>
        <w:t>(</w:t>
      </w:r>
      <w:hyperlink w:anchor="_ENREF_189" w:tooltip="Dodds, 2001 #123" w:history="1">
        <w:r w:rsidR="003B725E">
          <w:rPr>
            <w:rFonts w:ascii="Arial" w:hAnsi="Arial" w:cs="Arial"/>
            <w:noProof/>
          </w:rPr>
          <w:t>189</w:t>
        </w:r>
      </w:hyperlink>
      <w:r w:rsidR="005A347B">
        <w:rPr>
          <w:rFonts w:ascii="Arial" w:hAnsi="Arial" w:cs="Arial"/>
          <w:noProof/>
        </w:rPr>
        <w:t xml:space="preserve">, </w:t>
      </w:r>
      <w:hyperlink w:anchor="_ENREF_190" w:tooltip="Bossard, 1996 #124" w:history="1">
        <w:r w:rsidR="003B725E">
          <w:rPr>
            <w:rFonts w:ascii="Arial" w:hAnsi="Arial" w:cs="Arial"/>
            <w:noProof/>
          </w:rPr>
          <w:t>190</w:t>
        </w:r>
      </w:hyperlink>
      <w:r w:rsidR="005A347B">
        <w:rPr>
          <w:rFonts w:ascii="Arial" w:hAnsi="Arial" w:cs="Arial"/>
          <w:noProof/>
        </w:rPr>
        <w:t>)</w:t>
      </w:r>
      <w:r w:rsidR="00FB4066">
        <w:rPr>
          <w:rFonts w:ascii="Arial" w:hAnsi="Arial" w:cs="Arial"/>
        </w:rPr>
        <w:fldChar w:fldCharType="end"/>
      </w:r>
      <w:r w:rsidR="00FB4066">
        <w:rPr>
          <w:rFonts w:ascii="Arial" w:hAnsi="Arial" w:cs="Arial"/>
        </w:rPr>
        <w:t>.</w:t>
      </w:r>
      <w:r w:rsidR="00102D9F" w:rsidRPr="008B7686">
        <w:rPr>
          <w:rFonts w:ascii="Arial" w:hAnsi="Arial" w:cs="Arial"/>
        </w:rPr>
        <w:t xml:space="preserve"> </w:t>
      </w:r>
      <w:r w:rsidR="0073063B" w:rsidRPr="008B7686">
        <w:rPr>
          <w:rFonts w:ascii="Arial" w:hAnsi="Arial" w:cs="Arial"/>
        </w:rPr>
        <w:t xml:space="preserve">It </w:t>
      </w:r>
      <w:r w:rsidR="00CF757C" w:rsidRPr="008B7686">
        <w:rPr>
          <w:rFonts w:ascii="Arial" w:hAnsi="Arial" w:cs="Arial"/>
        </w:rPr>
        <w:t xml:space="preserve">has a unique and critical role in degradation of type I collagen at both helical and telopeptide </w:t>
      </w:r>
      <w:r w:rsidR="00C66235" w:rsidRPr="008B7686">
        <w:rPr>
          <w:rFonts w:ascii="Arial" w:hAnsi="Arial" w:cs="Arial"/>
        </w:rPr>
        <w:t>regions,</w:t>
      </w:r>
      <w:r w:rsidR="00E854C2">
        <w:rPr>
          <w:rFonts w:ascii="Arial" w:hAnsi="Arial" w:cs="Arial"/>
        </w:rPr>
        <w:t xml:space="preserve"> (F</w:t>
      </w:r>
      <w:r w:rsidR="00CF757C" w:rsidRPr="008B7686">
        <w:rPr>
          <w:rFonts w:ascii="Arial" w:hAnsi="Arial" w:cs="Arial"/>
        </w:rPr>
        <w:t xml:space="preserve">igure </w:t>
      </w:r>
      <w:r w:rsidR="005471C1">
        <w:rPr>
          <w:rFonts w:ascii="Arial" w:hAnsi="Arial" w:cs="Arial"/>
        </w:rPr>
        <w:t>15</w:t>
      </w:r>
      <w:r w:rsidR="00E854C2">
        <w:rPr>
          <w:rFonts w:ascii="Arial" w:hAnsi="Arial" w:cs="Arial"/>
        </w:rPr>
        <w:t>)</w:t>
      </w:r>
      <w:r w:rsidR="00CF757C" w:rsidRPr="008B7686">
        <w:rPr>
          <w:rFonts w:ascii="Arial" w:hAnsi="Arial" w:cs="Arial"/>
        </w:rPr>
        <w:t xml:space="preserve">. </w:t>
      </w:r>
      <w:r w:rsidR="00653196" w:rsidRPr="008B7686">
        <w:rPr>
          <w:rFonts w:ascii="Arial" w:hAnsi="Arial" w:cs="Arial"/>
        </w:rPr>
        <w:t xml:space="preserve">Current assays are available for measuring levels cathepsin K in circulation, these may detect the proenzyme, the active form or both. Levels of cathepsin K are increased in postmenopausal osteoporosis </w:t>
      </w:r>
      <w:r w:rsidR="00FB4066">
        <w:rPr>
          <w:rFonts w:ascii="Arial" w:hAnsi="Arial" w:cs="Arial"/>
        </w:rPr>
        <w:fldChar w:fldCharType="begin"/>
      </w:r>
      <w:r w:rsidR="005A347B">
        <w:rPr>
          <w:rFonts w:ascii="Arial" w:hAnsi="Arial" w:cs="Arial"/>
        </w:rPr>
        <w:instrText xml:space="preserve"> ADDIN EN.CITE &lt;EndNote&gt;&lt;Cite&gt;&lt;Author&gt;Meier&lt;/Author&gt;&lt;Year&gt;2006&lt;/Year&gt;&lt;RecNum&gt;125&lt;/RecNum&gt;&lt;DisplayText&gt;(191)&lt;/DisplayText&gt;&lt;record&gt;&lt;rec-number&gt;125&lt;/rec-number&gt;&lt;foreign-keys&gt;&lt;key app="EN" db-id="p9a5ttsvyvde9me5aw2x05fp5p55axf0wr90" timestamp="1417715008"&gt;125&lt;/key&gt;&lt;/foreign-keys&gt;&lt;ref-type name="Journal Article"&gt;17&lt;/ref-type&gt;&lt;contributors&gt;&lt;authors&gt;&lt;author&gt;Meier, C.&lt;/author&gt;&lt;author&gt;Meinhardt, U.&lt;/author&gt;&lt;author&gt;Greenfield, J. R.&lt;/author&gt;&lt;author&gt;De Winter, J.&lt;/author&gt;&lt;author&gt;Nguyen, T. V.&lt;/author&gt;&lt;author&gt;Dunstan, C. R.&lt;/author&gt;&lt;author&gt;Seibel, M. J.&lt;/author&gt;&lt;/authors&gt;&lt;/contributors&gt;&lt;auth-address&gt;Bone Research Program, ANZAC Research Institute, University of Sydney, Australia.&lt;/auth-address&gt;&lt;titles&gt;&lt;title&gt;Serum cathepsin K concentrations reflect osteoclastic activity in women with postmenopausal osteoporosis and patients with Paget&amp;apos;s disease&lt;/title&gt;&lt;secondary-title&gt;Clin Lab&lt;/secondary-title&gt;&lt;alt-title&gt;Clinical laboratory&lt;/alt-title&gt;&lt;/titles&gt;&lt;periodical&gt;&lt;full-title&gt;Clin Lab&lt;/full-title&gt;&lt;abbr-1&gt;Clinical laboratory&lt;/abbr-1&gt;&lt;/periodical&gt;&lt;alt-periodical&gt;&lt;full-title&gt;Clin Lab&lt;/full-title&gt;&lt;abbr-1&gt;Clinical laboratory&lt;/abbr-1&gt;&lt;/alt-periodical&gt;&lt;pages&gt;1-10&lt;/pages&gt;&lt;volume&gt;52&lt;/volume&gt;&lt;number&gt;1-2&lt;/number&gt;&lt;edition&gt;2006/03/02&lt;/edition&gt;&lt;keywords&gt;&lt;keyword&gt;Aged&lt;/keyword&gt;&lt;keyword&gt;Alkaline Phosphatase/blood&lt;/keyword&gt;&lt;keyword&gt;Bone Resorption/ blood&lt;/keyword&gt;&lt;keyword&gt;Cathepsin K&lt;/keyword&gt;&lt;keyword&gt;Cathepsins/ blood&lt;/keyword&gt;&lt;keyword&gt;Ciguatoxins/blood&lt;/keyword&gt;&lt;keyword&gt;Female&lt;/keyword&gt;&lt;keyword&gt;Humans&lt;/keyword&gt;&lt;keyword&gt;Immunoassay/methods&lt;/keyword&gt;&lt;keyword&gt;Middle Aged&lt;/keyword&gt;&lt;keyword&gt;Osteitis Deformans/ blood&lt;/keyword&gt;&lt;keyword&gt;Osteoporosis, Postmenopausal/ blood&lt;/keyword&gt;&lt;keyword&gt;Statistics, Nonparametric&lt;/keyword&gt;&lt;/keywords&gt;&lt;dates&gt;&lt;year&gt;2006&lt;/year&gt;&lt;/dates&gt;&lt;isbn&gt;1433-6510 (Print)&amp;#xD;1433-6510 (Linking)&lt;/isbn&gt;&lt;accession-num&gt;16506358&lt;/accession-num&gt;&lt;urls&gt;&lt;/urls&gt;&lt;remote-database-provider&gt;NLM&lt;/remote-database-provider&gt;&lt;language&gt;eng&lt;/language&gt;&lt;/record&gt;&lt;/Cite&gt;&lt;/EndNote&gt;</w:instrText>
      </w:r>
      <w:r w:rsidR="00FB4066">
        <w:rPr>
          <w:rFonts w:ascii="Arial" w:hAnsi="Arial" w:cs="Arial"/>
        </w:rPr>
        <w:fldChar w:fldCharType="separate"/>
      </w:r>
      <w:r w:rsidR="005A347B">
        <w:rPr>
          <w:rFonts w:ascii="Arial" w:hAnsi="Arial" w:cs="Arial"/>
          <w:noProof/>
        </w:rPr>
        <w:t>(</w:t>
      </w:r>
      <w:hyperlink w:anchor="_ENREF_191" w:tooltip="Meier, 2006 #125" w:history="1">
        <w:r w:rsidR="003B725E">
          <w:rPr>
            <w:rFonts w:ascii="Arial" w:hAnsi="Arial" w:cs="Arial"/>
            <w:noProof/>
          </w:rPr>
          <w:t>191</w:t>
        </w:r>
      </w:hyperlink>
      <w:r w:rsidR="005A347B">
        <w:rPr>
          <w:rFonts w:ascii="Arial" w:hAnsi="Arial" w:cs="Arial"/>
          <w:noProof/>
        </w:rPr>
        <w:t>)</w:t>
      </w:r>
      <w:r w:rsidR="00FB4066">
        <w:rPr>
          <w:rFonts w:ascii="Arial" w:hAnsi="Arial" w:cs="Arial"/>
        </w:rPr>
        <w:fldChar w:fldCharType="end"/>
      </w:r>
      <w:r w:rsidR="00653196" w:rsidRPr="008B7686">
        <w:rPr>
          <w:rFonts w:ascii="Arial" w:hAnsi="Arial" w:cs="Arial"/>
        </w:rPr>
        <w:t>, where they are associated with an increase in bone loss and are decreased with alendronate treatment</w:t>
      </w:r>
      <w:r w:rsidR="0028599A" w:rsidRPr="008B7686">
        <w:rPr>
          <w:rFonts w:ascii="Arial" w:hAnsi="Arial" w:cs="Arial"/>
        </w:rPr>
        <w:t xml:space="preserve"> </w:t>
      </w:r>
      <w:r w:rsidR="00FB4066">
        <w:rPr>
          <w:rFonts w:ascii="Arial" w:hAnsi="Arial" w:cs="Arial"/>
        </w:rPr>
        <w:fldChar w:fldCharType="begin">
          <w:fldData xml:space="preserve">PEVuZE5vdGU+PENpdGU+PEF1dGhvcj5NdW5vei1Ub3JyZXM8L0F1dGhvcj48WWVhcj4yMDA5PC9Z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PEVuZE5vdGU+PENpdGU+PEF1dGhvcj5NdW5vei1Ub3JyZXM8L0F1dGhvcj48WWVhcj4yMDA5PC9Z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FB4066">
        <w:rPr>
          <w:rFonts w:ascii="Arial" w:hAnsi="Arial" w:cs="Arial"/>
        </w:rPr>
      </w:r>
      <w:r w:rsidR="00FB4066">
        <w:rPr>
          <w:rFonts w:ascii="Arial" w:hAnsi="Arial" w:cs="Arial"/>
        </w:rPr>
        <w:fldChar w:fldCharType="separate"/>
      </w:r>
      <w:r w:rsidR="005A347B">
        <w:rPr>
          <w:rFonts w:ascii="Arial" w:hAnsi="Arial" w:cs="Arial"/>
          <w:noProof/>
        </w:rPr>
        <w:t>(</w:t>
      </w:r>
      <w:hyperlink w:anchor="_ENREF_192" w:tooltip="Munoz-Torres, 2009 #126" w:history="1">
        <w:r w:rsidR="003B725E">
          <w:rPr>
            <w:rFonts w:ascii="Arial" w:hAnsi="Arial" w:cs="Arial"/>
            <w:noProof/>
          </w:rPr>
          <w:t>192</w:t>
        </w:r>
      </w:hyperlink>
      <w:r w:rsidR="005A347B">
        <w:rPr>
          <w:rFonts w:ascii="Arial" w:hAnsi="Arial" w:cs="Arial"/>
          <w:noProof/>
        </w:rPr>
        <w:t>)</w:t>
      </w:r>
      <w:r w:rsidR="00FB4066">
        <w:rPr>
          <w:rFonts w:ascii="Arial" w:hAnsi="Arial" w:cs="Arial"/>
        </w:rPr>
        <w:fldChar w:fldCharType="end"/>
      </w:r>
      <w:r w:rsidR="00FB4066">
        <w:rPr>
          <w:rFonts w:ascii="Arial" w:hAnsi="Arial" w:cs="Arial"/>
        </w:rPr>
        <w:t>.</w:t>
      </w:r>
      <w:r w:rsidR="00BC0CC2" w:rsidRPr="008B7686">
        <w:rPr>
          <w:rFonts w:ascii="Arial" w:hAnsi="Arial" w:cs="Arial"/>
        </w:rPr>
        <w:t xml:space="preserve"> Peptid</w:t>
      </w:r>
      <w:r w:rsidR="00BD2714" w:rsidRPr="008B7686">
        <w:rPr>
          <w:rFonts w:ascii="Arial" w:hAnsi="Arial" w:cs="Arial"/>
        </w:rPr>
        <w:t>e inhibitors may</w:t>
      </w:r>
      <w:r w:rsidR="0028599A" w:rsidRPr="008B7686">
        <w:rPr>
          <w:rFonts w:ascii="Arial" w:hAnsi="Arial" w:cs="Arial"/>
        </w:rPr>
        <w:t xml:space="preserve"> inhibit cysteine proteases</w:t>
      </w:r>
      <w:r w:rsidR="00BC0CC2" w:rsidRPr="008B7686">
        <w:rPr>
          <w:rFonts w:ascii="Arial" w:hAnsi="Arial" w:cs="Arial"/>
        </w:rPr>
        <w:t xml:space="preserve"> such</w:t>
      </w:r>
      <w:r w:rsidR="00BD2714" w:rsidRPr="008B7686">
        <w:rPr>
          <w:rFonts w:ascii="Arial" w:hAnsi="Arial" w:cs="Arial"/>
        </w:rPr>
        <w:t xml:space="preserve"> as cathepsin K</w:t>
      </w:r>
      <w:r w:rsidR="00BC0CC2" w:rsidRPr="008B7686">
        <w:rPr>
          <w:rFonts w:ascii="Arial" w:hAnsi="Arial" w:cs="Arial"/>
        </w:rPr>
        <w:t xml:space="preserve"> by binding the substrate and mimicking the cathepsin K-substrate complex</w:t>
      </w:r>
      <w:r w:rsidR="00BD2714" w:rsidRPr="008B7686">
        <w:rPr>
          <w:rFonts w:ascii="Arial" w:hAnsi="Arial" w:cs="Arial"/>
        </w:rPr>
        <w:t xml:space="preserve"> and inhibit bone resorption</w:t>
      </w:r>
      <w:r w:rsidR="00BC0CC2" w:rsidRPr="008B7686">
        <w:rPr>
          <w:rFonts w:ascii="Arial" w:hAnsi="Arial" w:cs="Arial"/>
        </w:rPr>
        <w:t>. These compounds are currently being developed</w:t>
      </w:r>
      <w:r w:rsidR="00BD2714" w:rsidRPr="008B7686">
        <w:rPr>
          <w:rFonts w:ascii="Arial" w:hAnsi="Arial" w:cs="Arial"/>
        </w:rPr>
        <w:t xml:space="preserve"> as antiresorptives</w:t>
      </w:r>
      <w:r w:rsidR="00BC0CC2" w:rsidRPr="008B7686">
        <w:rPr>
          <w:rFonts w:ascii="Arial" w:hAnsi="Arial" w:cs="Arial"/>
        </w:rPr>
        <w:t xml:space="preserve"> as a possible treatment for postmenopausal osteoporosis. </w:t>
      </w:r>
    </w:p>
    <w:p w:rsidR="00206D7D" w:rsidRPr="00CF757C" w:rsidRDefault="00206D7D" w:rsidP="003E6719">
      <w:pPr>
        <w:pStyle w:val="Heading4"/>
        <w:jc w:val="both"/>
      </w:pPr>
      <w:r>
        <w:t>Bone formation markers</w:t>
      </w:r>
    </w:p>
    <w:p w:rsidR="00B67149" w:rsidRDefault="00CF757C" w:rsidP="003B725E">
      <w:pPr>
        <w:spacing w:line="360" w:lineRule="auto"/>
        <w:jc w:val="both"/>
        <w:rPr>
          <w:rFonts w:ascii="Arial" w:hAnsi="Arial" w:cs="Arial"/>
        </w:rPr>
      </w:pPr>
      <w:r w:rsidRPr="00CF757C">
        <w:rPr>
          <w:rFonts w:ascii="Arial" w:hAnsi="Arial" w:cs="Arial"/>
        </w:rPr>
        <w:t>Bone formation markers</w:t>
      </w:r>
      <w:r w:rsidR="000000B8">
        <w:rPr>
          <w:rFonts w:ascii="Arial" w:hAnsi="Arial" w:cs="Arial"/>
        </w:rPr>
        <w:t xml:space="preserve"> are the products synthesised by the osteoblasts during any stag</w:t>
      </w:r>
      <w:r w:rsidR="00F227DF">
        <w:rPr>
          <w:rFonts w:ascii="Arial" w:hAnsi="Arial" w:cs="Arial"/>
        </w:rPr>
        <w:t>e of their development and the</w:t>
      </w:r>
      <w:r w:rsidR="000000B8">
        <w:rPr>
          <w:rFonts w:ascii="Arial" w:hAnsi="Arial" w:cs="Arial"/>
        </w:rPr>
        <w:t xml:space="preserve"> enzymes</w:t>
      </w:r>
      <w:r w:rsidR="00F227DF">
        <w:rPr>
          <w:rFonts w:ascii="Arial" w:hAnsi="Arial" w:cs="Arial"/>
        </w:rPr>
        <w:t xml:space="preserve"> involved in their synthesis</w:t>
      </w:r>
      <w:r w:rsidR="000000B8">
        <w:rPr>
          <w:rFonts w:ascii="Arial" w:hAnsi="Arial" w:cs="Arial"/>
        </w:rPr>
        <w:t>. They</w:t>
      </w:r>
      <w:r w:rsidRPr="00CF757C">
        <w:rPr>
          <w:rFonts w:ascii="Arial" w:hAnsi="Arial" w:cs="Arial"/>
        </w:rPr>
        <w:t xml:space="preserve"> include the bone matrix protein markers osteocalcin and procollagen type I C- and N- termi</w:t>
      </w:r>
      <w:r w:rsidR="0001649E">
        <w:rPr>
          <w:rFonts w:ascii="Arial" w:hAnsi="Arial" w:cs="Arial"/>
        </w:rPr>
        <w:t>n</w:t>
      </w:r>
      <w:r w:rsidR="00B67149">
        <w:rPr>
          <w:rFonts w:ascii="Arial" w:hAnsi="Arial" w:cs="Arial"/>
        </w:rPr>
        <w:t>al propeptides (PICP and PINP),</w:t>
      </w:r>
      <w:r w:rsidR="0001649E">
        <w:rPr>
          <w:rFonts w:ascii="Arial" w:hAnsi="Arial" w:cs="Arial"/>
        </w:rPr>
        <w:t xml:space="preserve"> o</w:t>
      </w:r>
      <w:r w:rsidRPr="00CF757C">
        <w:rPr>
          <w:rFonts w:ascii="Arial" w:hAnsi="Arial" w:cs="Arial"/>
        </w:rPr>
        <w:t xml:space="preserve">steocalcin </w:t>
      </w:r>
      <w:r w:rsidR="00B67149">
        <w:rPr>
          <w:rFonts w:ascii="Arial" w:hAnsi="Arial" w:cs="Arial"/>
        </w:rPr>
        <w:t>and the bone specific isoform of alkaline phosphatase</w:t>
      </w:r>
      <w:r w:rsidR="00D319DB">
        <w:rPr>
          <w:rFonts w:ascii="Arial" w:hAnsi="Arial" w:cs="Arial"/>
        </w:rPr>
        <w:t xml:space="preserve"> </w:t>
      </w:r>
      <w:r w:rsidR="00D319DB">
        <w:rPr>
          <w:rFonts w:ascii="Arial" w:hAnsi="Arial" w:cs="Arial"/>
        </w:rPr>
        <w:fldChar w:fldCharType="begin">
          <w:fldData xml:space="preserve">PEVuZE5vdGU+PENpdGU+PEF1dGhvcj5Lb2l2dWxhPC9BdXRob3I+PFllYXI+MjAxMjwvWWVhcj48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PEVuZE5vdGU+PENpdGU+PEF1dGhvcj5Lb2l2dWxhPC9BdXRob3I+PFllYXI+MjAxMjwvWWVhcj48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D319DB">
        <w:rPr>
          <w:rFonts w:ascii="Arial" w:hAnsi="Arial" w:cs="Arial"/>
        </w:rPr>
      </w:r>
      <w:r w:rsidR="00D319DB">
        <w:rPr>
          <w:rFonts w:ascii="Arial" w:hAnsi="Arial" w:cs="Arial"/>
        </w:rPr>
        <w:fldChar w:fldCharType="separate"/>
      </w:r>
      <w:r w:rsidR="005A347B">
        <w:rPr>
          <w:rFonts w:ascii="Arial" w:hAnsi="Arial" w:cs="Arial"/>
          <w:noProof/>
        </w:rPr>
        <w:t>(</w:t>
      </w:r>
      <w:hyperlink w:anchor="_ENREF_165" w:tooltip="Garnero, 2014 #388" w:history="1">
        <w:r w:rsidR="003B725E">
          <w:rPr>
            <w:rFonts w:ascii="Arial" w:hAnsi="Arial" w:cs="Arial"/>
            <w:noProof/>
          </w:rPr>
          <w:t>165</w:t>
        </w:r>
      </w:hyperlink>
      <w:r w:rsidR="005A347B">
        <w:rPr>
          <w:rFonts w:ascii="Arial" w:hAnsi="Arial" w:cs="Arial"/>
          <w:noProof/>
        </w:rPr>
        <w:t xml:space="preserve">, </w:t>
      </w:r>
      <w:hyperlink w:anchor="_ENREF_193" w:tooltip="Koivula, 2012 #403" w:history="1">
        <w:r w:rsidR="003B725E">
          <w:rPr>
            <w:rFonts w:ascii="Arial" w:hAnsi="Arial" w:cs="Arial"/>
            <w:noProof/>
          </w:rPr>
          <w:t>193</w:t>
        </w:r>
      </w:hyperlink>
      <w:r w:rsidR="005A347B">
        <w:rPr>
          <w:rFonts w:ascii="Arial" w:hAnsi="Arial" w:cs="Arial"/>
          <w:noProof/>
        </w:rPr>
        <w:t>)</w:t>
      </w:r>
      <w:r w:rsidR="00D319DB">
        <w:rPr>
          <w:rFonts w:ascii="Arial" w:hAnsi="Arial" w:cs="Arial"/>
        </w:rPr>
        <w:fldChar w:fldCharType="end"/>
      </w:r>
      <w:r w:rsidR="00B67149">
        <w:rPr>
          <w:rFonts w:ascii="Arial" w:hAnsi="Arial" w:cs="Arial"/>
        </w:rPr>
        <w:t>.</w:t>
      </w:r>
    </w:p>
    <w:p w:rsidR="003E57C7" w:rsidRDefault="003E57C7" w:rsidP="003E6719">
      <w:pPr>
        <w:pStyle w:val="Heading5"/>
        <w:jc w:val="both"/>
      </w:pPr>
      <w:r>
        <w:t>N-terminal propeptide of type I procollagen</w:t>
      </w:r>
    </w:p>
    <w:p w:rsidR="00582644" w:rsidRPr="00566A6A" w:rsidRDefault="00FA6311" w:rsidP="003B725E">
      <w:pPr>
        <w:spacing w:line="360" w:lineRule="auto"/>
        <w:jc w:val="both"/>
        <w:rPr>
          <w:rFonts w:ascii="Arial" w:hAnsi="Arial" w:cs="Arial"/>
        </w:rPr>
      </w:pPr>
      <w:r w:rsidRPr="00566A6A">
        <w:rPr>
          <w:rFonts w:ascii="Arial" w:hAnsi="Arial" w:cs="Arial"/>
        </w:rPr>
        <w:t xml:space="preserve">At either ends of type I procollagen are </w:t>
      </w:r>
      <w:r w:rsidR="00737104" w:rsidRPr="00566A6A">
        <w:rPr>
          <w:rFonts w:ascii="Arial" w:hAnsi="Arial" w:cs="Arial"/>
        </w:rPr>
        <w:t xml:space="preserve">two different </w:t>
      </w:r>
      <w:r w:rsidRPr="00566A6A">
        <w:rPr>
          <w:rFonts w:ascii="Arial" w:hAnsi="Arial" w:cs="Arial"/>
        </w:rPr>
        <w:t>large propeptide domains</w:t>
      </w:r>
      <w:r w:rsidR="00737104" w:rsidRPr="00566A6A">
        <w:rPr>
          <w:rFonts w:ascii="Arial" w:hAnsi="Arial" w:cs="Arial"/>
        </w:rPr>
        <w:t xml:space="preserve"> that are produced in equal amounts</w:t>
      </w:r>
      <w:r w:rsidR="009D35C5" w:rsidRPr="00566A6A">
        <w:rPr>
          <w:rFonts w:ascii="Arial" w:hAnsi="Arial" w:cs="Arial"/>
        </w:rPr>
        <w:t xml:space="preserve"> </w:t>
      </w:r>
      <w:r w:rsidR="00C7565E">
        <w:rPr>
          <w:rFonts w:ascii="Arial" w:hAnsi="Arial" w:cs="Arial"/>
        </w:rPr>
        <w:fldChar w:fldCharType="begin"/>
      </w:r>
      <w:r w:rsidR="005A347B">
        <w:rPr>
          <w:rFonts w:ascii="Arial" w:hAnsi="Arial" w:cs="Arial"/>
        </w:rPr>
        <w:instrText xml:space="preserve"> ADDIN EN.CITE &lt;EndNote&gt;&lt;Cite&gt;&lt;Author&gt;Melkko&lt;/Author&gt;&lt;Year&gt;1996&lt;/Year&gt;&lt;RecNum&gt;515&lt;/RecNum&gt;&lt;DisplayText&gt;(194)&lt;/DisplayText&gt;&lt;record&gt;&lt;rec-number&gt;515&lt;/rec-number&gt;&lt;foreign-keys&gt;&lt;key app="EN" db-id="p9a5ttsvyvde9me5aw2x05fp5p55axf0wr90" timestamp="1437049749"&gt;515&lt;/key&gt;&lt;/foreign-keys&gt;&lt;ref-type name="Journal Article"&gt;17&lt;/ref-type&gt;&lt;contributors&gt;&lt;authors&gt;&lt;author&gt;Melkko, J.&lt;/author&gt;&lt;author&gt;Kauppila, S.&lt;/author&gt;&lt;author&gt;Niemi, S.&lt;/author&gt;&lt;author&gt;Risteli, L.&lt;/author&gt;&lt;author&gt;Haukipuro, K.&lt;/author&gt;&lt;author&gt;Jukkola, A.&lt;/author&gt;&lt;author&gt;Risteli, J.&lt;/author&gt;&lt;/authors&gt;&lt;/contributors&gt;&lt;auth-address&gt;Department of Medical Biochemistry, University of Oulu, Finland.&lt;/auth-address&gt;&lt;titles&gt;&lt;title&gt;Immunoassay for intact amino-terminal propeptide of human type I procollagen&lt;/title&gt;&lt;secondary-title&gt;Clin Chem&lt;/secondary-title&gt;&lt;/titles&gt;&lt;periodical&gt;&lt;full-title&gt;Clin Chem&lt;/full-title&gt;&lt;abbr-1&gt;Clinical chemistry&lt;/abbr-1&gt;&lt;/periodical&gt;&lt;pages&gt;947-54&lt;/pages&gt;&lt;volume&gt;42&lt;/volume&gt;&lt;number&gt;6 Pt 1&lt;/number&gt;&lt;edition&gt;1996/06/01&lt;/edition&gt;&lt;keywords&gt;&lt;keyword&gt;Adult&lt;/keyword&gt;&lt;keyword&gt;Aged&lt;/keyword&gt;&lt;keyword&gt;Chromatography, Gel&lt;/keyword&gt;&lt;keyword&gt;Chromatography, High Pressure Liquid&lt;/keyword&gt;&lt;keyword&gt;Chromatography, Ion Exchange&lt;/keyword&gt;&lt;keyword&gt;Collagenases/metabolism&lt;/keyword&gt;&lt;keyword&gt;Female&lt;/keyword&gt;&lt;keyword&gt;Humans&lt;/keyword&gt;&lt;keyword&gt;Male&lt;/keyword&gt;&lt;keyword&gt;Middle Aged&lt;/keyword&gt;&lt;keyword&gt;Neoplasms/metabolism&lt;/keyword&gt;&lt;keyword&gt;Pleural Effusion/chemistry&lt;/keyword&gt;&lt;keyword&gt;Procollagen/ blood&lt;/keyword&gt;&lt;keyword&gt;Radioimmunoassay/ methods/statistics &amp;amp; numerical data&lt;/keyword&gt;&lt;keyword&gt;Reference Values&lt;/keyword&gt;&lt;keyword&gt;Wound Healing&lt;/keyword&gt;&lt;/keywords&gt;&lt;dates&gt;&lt;year&gt;1996&lt;/year&gt;&lt;pub-dates&gt;&lt;date&gt;Jun&lt;/date&gt;&lt;/pub-dates&gt;&lt;/dates&gt;&lt;isbn&gt;0009-9147 (Print)&amp;#xD;0009-9147 (Linking)&lt;/isbn&gt;&lt;accession-num&gt;8665688&lt;/accession-num&gt;&lt;urls&gt;&lt;/urls&gt;&lt;remote-database-provider&gt;NLM&lt;/remote-database-provider&gt;&lt;language&gt;eng&lt;/language&gt;&lt;/record&gt;&lt;/Cite&gt;&lt;/EndNote&gt;</w:instrText>
      </w:r>
      <w:r w:rsidR="00C7565E">
        <w:rPr>
          <w:rFonts w:ascii="Arial" w:hAnsi="Arial" w:cs="Arial"/>
        </w:rPr>
        <w:fldChar w:fldCharType="separate"/>
      </w:r>
      <w:r w:rsidR="005A347B">
        <w:rPr>
          <w:rFonts w:ascii="Arial" w:hAnsi="Arial" w:cs="Arial"/>
          <w:noProof/>
        </w:rPr>
        <w:t>(</w:t>
      </w:r>
      <w:hyperlink w:anchor="_ENREF_194" w:tooltip="Melkko, 1996 #515" w:history="1">
        <w:r w:rsidR="003B725E">
          <w:rPr>
            <w:rFonts w:ascii="Arial" w:hAnsi="Arial" w:cs="Arial"/>
            <w:noProof/>
          </w:rPr>
          <w:t>194</w:t>
        </w:r>
      </w:hyperlink>
      <w:r w:rsidR="005A347B">
        <w:rPr>
          <w:rFonts w:ascii="Arial" w:hAnsi="Arial" w:cs="Arial"/>
          <w:noProof/>
        </w:rPr>
        <w:t>)</w:t>
      </w:r>
      <w:r w:rsidR="00C7565E">
        <w:rPr>
          <w:rFonts w:ascii="Arial" w:hAnsi="Arial" w:cs="Arial"/>
        </w:rPr>
        <w:fldChar w:fldCharType="end"/>
      </w:r>
      <w:r w:rsidR="0026430E">
        <w:rPr>
          <w:rFonts w:ascii="Arial" w:hAnsi="Arial" w:cs="Arial"/>
        </w:rPr>
        <w:t>, (Figure 14</w:t>
      </w:r>
      <w:r w:rsidR="0012747F" w:rsidRPr="00566A6A">
        <w:rPr>
          <w:rFonts w:ascii="Arial" w:hAnsi="Arial" w:cs="Arial"/>
        </w:rPr>
        <w:t>)</w:t>
      </w:r>
      <w:r w:rsidRPr="00566A6A">
        <w:rPr>
          <w:rFonts w:ascii="Arial" w:hAnsi="Arial" w:cs="Arial"/>
        </w:rPr>
        <w:t xml:space="preserve">. The domain at the amino terminal </w:t>
      </w:r>
      <w:r w:rsidR="009D35C5" w:rsidRPr="00566A6A">
        <w:rPr>
          <w:rFonts w:ascii="Arial" w:hAnsi="Arial" w:cs="Arial"/>
        </w:rPr>
        <w:t xml:space="preserve">(PINP) </w:t>
      </w:r>
      <w:r w:rsidRPr="00566A6A">
        <w:rPr>
          <w:rFonts w:ascii="Arial" w:hAnsi="Arial" w:cs="Arial"/>
        </w:rPr>
        <w:t xml:space="preserve">is less globular </w:t>
      </w:r>
      <w:r w:rsidR="00737104" w:rsidRPr="00566A6A">
        <w:rPr>
          <w:rFonts w:ascii="Arial" w:hAnsi="Arial" w:cs="Arial"/>
        </w:rPr>
        <w:t>than the domain at the carboxy terminal</w:t>
      </w:r>
      <w:r w:rsidR="0012747F" w:rsidRPr="00566A6A">
        <w:rPr>
          <w:rFonts w:ascii="Arial" w:hAnsi="Arial" w:cs="Arial"/>
        </w:rPr>
        <w:t xml:space="preserve"> (PICP)</w:t>
      </w:r>
      <w:r w:rsidR="00737104" w:rsidRPr="00566A6A">
        <w:rPr>
          <w:rFonts w:ascii="Arial" w:hAnsi="Arial" w:cs="Arial"/>
        </w:rPr>
        <w:t>. It is</w:t>
      </w:r>
      <w:r w:rsidRPr="00566A6A">
        <w:rPr>
          <w:rFonts w:ascii="Arial" w:hAnsi="Arial" w:cs="Arial"/>
        </w:rPr>
        <w:t xml:space="preserve"> cleaved</w:t>
      </w:r>
      <w:r w:rsidR="00737104" w:rsidRPr="00566A6A">
        <w:rPr>
          <w:rFonts w:ascii="Arial" w:hAnsi="Arial" w:cs="Arial"/>
        </w:rPr>
        <w:t xml:space="preserve"> from the propeptide by proteolytic enzymes and released into circulation as the fibril increases in thickness</w:t>
      </w:r>
      <w:r w:rsidR="009D35C5" w:rsidRPr="00566A6A">
        <w:rPr>
          <w:rFonts w:ascii="Arial" w:hAnsi="Arial" w:cs="Arial"/>
        </w:rPr>
        <w:t xml:space="preserve">. PINP is made up from three subunits, two from the procollagen α1 chain and </w:t>
      </w:r>
      <w:r w:rsidR="009D35C5" w:rsidRPr="00566A6A">
        <w:rPr>
          <w:rFonts w:ascii="Arial" w:hAnsi="Arial" w:cs="Arial"/>
        </w:rPr>
        <w:lastRenderedPageBreak/>
        <w:t>one from the procollogen α2 chain bonded together non-covalently</w:t>
      </w:r>
      <w:r w:rsidR="00831915">
        <w:rPr>
          <w:rFonts w:ascii="Arial" w:hAnsi="Arial" w:cs="Arial"/>
        </w:rPr>
        <w:t xml:space="preserve"> </w:t>
      </w:r>
      <w:r w:rsidR="00831915">
        <w:rPr>
          <w:rFonts w:ascii="Arial" w:hAnsi="Arial" w:cs="Arial"/>
        </w:rPr>
        <w:fldChar w:fldCharType="begin"/>
      </w:r>
      <w:r w:rsidR="005A347B">
        <w:rPr>
          <w:rFonts w:ascii="Arial" w:hAnsi="Arial" w:cs="Arial"/>
        </w:rPr>
        <w:instrText xml:space="preserve"> ADDIN EN.CITE &lt;EndNote&gt;&lt;Cite&gt;&lt;Author&gt;Koivula&lt;/Author&gt;&lt;Year&gt;2012&lt;/Year&gt;&lt;RecNum&gt;403&lt;/RecNum&gt;&lt;DisplayText&gt;(193)&lt;/DisplayText&gt;&lt;record&gt;&lt;rec-number&gt;403&lt;/rec-number&gt;&lt;foreign-keys&gt;&lt;key app="EN" db-id="p9a5ttsvyvde9me5aw2x05fp5p55axf0wr90" timestamp="1435768265"&gt;403&lt;/key&gt;&lt;/foreign-keys&gt;&lt;ref-type name="Journal Article"&gt;17&lt;/ref-type&gt;&lt;contributors&gt;&lt;authors&gt;&lt;author&gt;Koivula, M. K.&lt;/author&gt;&lt;author&gt;Risteli, L.&lt;/author&gt;&lt;author&gt;Risteli, J.&lt;/author&gt;&lt;/authors&gt;&lt;/contributors&gt;&lt;auth-address&gt;Institute of Diagnostics, Department of Clinical Chemistry, P.O. Box 5000, 90014 University of Oulu, Finland.&lt;/auth-address&gt;&lt;titles&gt;&lt;title&gt;Measurement of aminoterminal propeptide of type I procollagen (PINP) in serum&lt;/title&gt;&lt;secondary-title&gt;Clin Biochem&lt;/secondary-title&gt;&lt;/titles&gt;&lt;periodical&gt;&lt;full-title&gt;Clin Biochem&lt;/full-title&gt;&lt;abbr-1&gt;Clinical biochemistry&lt;/abbr-1&gt;&lt;/periodical&gt;&lt;pages&gt;920-7&lt;/pages&gt;&lt;volume&gt;45&lt;/volume&gt;&lt;number&gt;12&lt;/number&gt;&lt;edition&gt;2012/04/07&lt;/edition&gt;&lt;keywords&gt;&lt;keyword&gt;Animals&lt;/keyword&gt;&lt;keyword&gt;Biological Markers/blood&lt;/keyword&gt;&lt;keyword&gt;Blood Chemical Analysis&lt;/keyword&gt;&lt;keyword&gt;Chromatography, Gel&lt;/keyword&gt;&lt;keyword&gt;Collagen Type I/biosynthesis&lt;/keyword&gt;&lt;keyword&gt;Humans&lt;/keyword&gt;&lt;keyword&gt;Immunoassay&lt;/keyword&gt;&lt;keyword&gt;Molecular Weight&lt;/keyword&gt;&lt;keyword&gt;Osteitis Deformans/blood/diagnosis&lt;/keyword&gt;&lt;keyword&gt;Osteoporosis/blood/diagnosis&lt;/keyword&gt;&lt;keyword&gt;Peptide Fragments/ blood/isolation &amp;amp; purification/metabolism&lt;/keyword&gt;&lt;keyword&gt;Procollagen/ blood/isolation &amp;amp; purification/metabolism&lt;/keyword&gt;&lt;/keywords&gt;&lt;dates&gt;&lt;year&gt;2012&lt;/year&gt;&lt;pub-dates&gt;&lt;date&gt;Aug&lt;/date&gt;&lt;/pub-dates&gt;&lt;/dates&gt;&lt;isbn&gt;1873-2933 (Electronic)&amp;#xD;0009-9120 (Linking)&lt;/isbn&gt;&lt;accession-num&gt;22480789&lt;/accession-num&gt;&lt;urls&gt;&lt;/urls&gt;&lt;electronic-resource-num&gt;10.1016/j.clinbiochem.2012.03.023&lt;/electronic-resource-num&gt;&lt;remote-database-provider&gt;NLM&lt;/remote-database-provider&gt;&lt;language&gt;eng&lt;/language&gt;&lt;/record&gt;&lt;/Cite&gt;&lt;/EndNote&gt;</w:instrText>
      </w:r>
      <w:r w:rsidR="00831915">
        <w:rPr>
          <w:rFonts w:ascii="Arial" w:hAnsi="Arial" w:cs="Arial"/>
        </w:rPr>
        <w:fldChar w:fldCharType="separate"/>
      </w:r>
      <w:r w:rsidR="005A347B">
        <w:rPr>
          <w:rFonts w:ascii="Arial" w:hAnsi="Arial" w:cs="Arial"/>
          <w:noProof/>
        </w:rPr>
        <w:t>(</w:t>
      </w:r>
      <w:hyperlink w:anchor="_ENREF_193" w:tooltip="Koivula, 2012 #403" w:history="1">
        <w:r w:rsidR="003B725E">
          <w:rPr>
            <w:rFonts w:ascii="Arial" w:hAnsi="Arial" w:cs="Arial"/>
            <w:noProof/>
          </w:rPr>
          <w:t>193</w:t>
        </w:r>
      </w:hyperlink>
      <w:r w:rsidR="005A347B">
        <w:rPr>
          <w:rFonts w:ascii="Arial" w:hAnsi="Arial" w:cs="Arial"/>
          <w:noProof/>
        </w:rPr>
        <w:t>)</w:t>
      </w:r>
      <w:r w:rsidR="00831915">
        <w:rPr>
          <w:rFonts w:ascii="Arial" w:hAnsi="Arial" w:cs="Arial"/>
        </w:rPr>
        <w:fldChar w:fldCharType="end"/>
      </w:r>
      <w:r w:rsidR="00831915">
        <w:rPr>
          <w:rFonts w:ascii="Arial" w:hAnsi="Arial" w:cs="Arial"/>
        </w:rPr>
        <w:t xml:space="preserve">. </w:t>
      </w:r>
      <w:r w:rsidR="0012747F" w:rsidRPr="00566A6A">
        <w:rPr>
          <w:rFonts w:ascii="Arial" w:hAnsi="Arial" w:cs="Arial"/>
        </w:rPr>
        <w:t>PINP</w:t>
      </w:r>
      <w:r w:rsidR="009D35C5" w:rsidRPr="00566A6A">
        <w:rPr>
          <w:rFonts w:ascii="Arial" w:hAnsi="Arial" w:cs="Arial"/>
        </w:rPr>
        <w:t xml:space="preserve"> has a molecular mass of</w:t>
      </w:r>
      <w:r w:rsidR="0012747F" w:rsidRPr="00566A6A">
        <w:rPr>
          <w:rFonts w:ascii="Arial" w:hAnsi="Arial" w:cs="Arial"/>
        </w:rPr>
        <w:t xml:space="preserve"> approximately 35,000 (14,250 is from α1 and 5500 from α2</w:t>
      </w:r>
      <w:r w:rsidR="00831915">
        <w:rPr>
          <w:rFonts w:ascii="Arial" w:hAnsi="Arial" w:cs="Arial"/>
        </w:rPr>
        <w:t xml:space="preserve">) </w:t>
      </w:r>
      <w:r w:rsidR="00831915">
        <w:rPr>
          <w:rFonts w:ascii="Arial" w:hAnsi="Arial" w:cs="Arial"/>
        </w:rPr>
        <w:fldChar w:fldCharType="begin"/>
      </w:r>
      <w:r w:rsidR="005A347B">
        <w:rPr>
          <w:rFonts w:ascii="Arial" w:hAnsi="Arial" w:cs="Arial"/>
        </w:rPr>
        <w:instrText xml:space="preserve"> ADDIN EN.CITE &lt;EndNote&gt;&lt;Cite&gt;&lt;Author&gt;Koivula&lt;/Author&gt;&lt;Year&gt;2012&lt;/Year&gt;&lt;RecNum&gt;403&lt;/RecNum&gt;&lt;DisplayText&gt;(193)&lt;/DisplayText&gt;&lt;record&gt;&lt;rec-number&gt;403&lt;/rec-number&gt;&lt;foreign-keys&gt;&lt;key app="EN" db-id="p9a5ttsvyvde9me5aw2x05fp5p55axf0wr90" timestamp="1435768265"&gt;403&lt;/key&gt;&lt;/foreign-keys&gt;&lt;ref-type name="Journal Article"&gt;17&lt;/ref-type&gt;&lt;contributors&gt;&lt;authors&gt;&lt;author&gt;Koivula, M. K.&lt;/author&gt;&lt;author&gt;Risteli, L.&lt;/author&gt;&lt;author&gt;Risteli, J.&lt;/author&gt;&lt;/authors&gt;&lt;/contributors&gt;&lt;auth-address&gt;Institute of Diagnostics, Department of Clinical Chemistry, P.O. Box 5000, 90014 University of Oulu, Finland.&lt;/auth-address&gt;&lt;titles&gt;&lt;title&gt;Measurement of aminoterminal propeptide of type I procollagen (PINP) in serum&lt;/title&gt;&lt;secondary-title&gt;Clin Biochem&lt;/secondary-title&gt;&lt;/titles&gt;&lt;periodical&gt;&lt;full-title&gt;Clin Biochem&lt;/full-title&gt;&lt;abbr-1&gt;Clinical biochemistry&lt;/abbr-1&gt;&lt;/periodical&gt;&lt;pages&gt;920-7&lt;/pages&gt;&lt;volume&gt;45&lt;/volume&gt;&lt;number&gt;12&lt;/number&gt;&lt;edition&gt;2012/04/07&lt;/edition&gt;&lt;keywords&gt;&lt;keyword&gt;Animals&lt;/keyword&gt;&lt;keyword&gt;Biological Markers/blood&lt;/keyword&gt;&lt;keyword&gt;Blood Chemical Analysis&lt;/keyword&gt;&lt;keyword&gt;Chromatography, Gel&lt;/keyword&gt;&lt;keyword&gt;Collagen Type I/biosynthesis&lt;/keyword&gt;&lt;keyword&gt;Humans&lt;/keyword&gt;&lt;keyword&gt;Immunoassay&lt;/keyword&gt;&lt;keyword&gt;Molecular Weight&lt;/keyword&gt;&lt;keyword&gt;Osteitis Deformans/blood/diagnosis&lt;/keyword&gt;&lt;keyword&gt;Osteoporosis/blood/diagnosis&lt;/keyword&gt;&lt;keyword&gt;Peptide Fragments/ blood/isolation &amp;amp; purification/metabolism&lt;/keyword&gt;&lt;keyword&gt;Procollagen/ blood/isolation &amp;amp; purification/metabolism&lt;/keyword&gt;&lt;/keywords&gt;&lt;dates&gt;&lt;year&gt;2012&lt;/year&gt;&lt;pub-dates&gt;&lt;date&gt;Aug&lt;/date&gt;&lt;/pub-dates&gt;&lt;/dates&gt;&lt;isbn&gt;1873-2933 (Electronic)&amp;#xD;0009-9120 (Linking)&lt;/isbn&gt;&lt;accession-num&gt;22480789&lt;/accession-num&gt;&lt;urls&gt;&lt;/urls&gt;&lt;electronic-resource-num&gt;10.1016/j.clinbiochem.2012.03.023&lt;/electronic-resource-num&gt;&lt;remote-database-provider&gt;NLM&lt;/remote-database-provider&gt;&lt;language&gt;eng&lt;/language&gt;&lt;/record&gt;&lt;/Cite&gt;&lt;/EndNote&gt;</w:instrText>
      </w:r>
      <w:r w:rsidR="00831915">
        <w:rPr>
          <w:rFonts w:ascii="Arial" w:hAnsi="Arial" w:cs="Arial"/>
        </w:rPr>
        <w:fldChar w:fldCharType="separate"/>
      </w:r>
      <w:r w:rsidR="005A347B">
        <w:rPr>
          <w:rFonts w:ascii="Arial" w:hAnsi="Arial" w:cs="Arial"/>
          <w:noProof/>
        </w:rPr>
        <w:t>(</w:t>
      </w:r>
      <w:hyperlink w:anchor="_ENREF_193" w:tooltip="Koivula, 2012 #403" w:history="1">
        <w:r w:rsidR="003B725E">
          <w:rPr>
            <w:rFonts w:ascii="Arial" w:hAnsi="Arial" w:cs="Arial"/>
            <w:noProof/>
          </w:rPr>
          <w:t>193</w:t>
        </w:r>
      </w:hyperlink>
      <w:r w:rsidR="005A347B">
        <w:rPr>
          <w:rFonts w:ascii="Arial" w:hAnsi="Arial" w:cs="Arial"/>
          <w:noProof/>
        </w:rPr>
        <w:t>)</w:t>
      </w:r>
      <w:r w:rsidR="00831915">
        <w:rPr>
          <w:rFonts w:ascii="Arial" w:hAnsi="Arial" w:cs="Arial"/>
        </w:rPr>
        <w:fldChar w:fldCharType="end"/>
      </w:r>
      <w:r w:rsidR="0012747F" w:rsidRPr="00566A6A">
        <w:rPr>
          <w:rFonts w:ascii="Arial" w:hAnsi="Arial" w:cs="Arial"/>
        </w:rPr>
        <w:t>. During bone formation PINP is released in to the blood as the osteoid is being deposited into the resorption cavity and is thus a good measure of the rate of synthesis of type I collagen.</w:t>
      </w:r>
      <w:r w:rsidR="009D35C5" w:rsidRPr="00566A6A">
        <w:rPr>
          <w:rFonts w:ascii="Arial" w:hAnsi="Arial" w:cs="Arial"/>
        </w:rPr>
        <w:t xml:space="preserve"> </w:t>
      </w:r>
      <w:r w:rsidR="00C4034E" w:rsidRPr="00566A6A">
        <w:rPr>
          <w:rFonts w:ascii="Arial" w:hAnsi="Arial" w:cs="Arial"/>
        </w:rPr>
        <w:t>Once in circulation PINP is rapidly bound and internalised by the endothelial cells of the liver</w:t>
      </w:r>
      <w:r w:rsidR="00B47D3B">
        <w:rPr>
          <w:rFonts w:ascii="Arial" w:hAnsi="Arial" w:cs="Arial"/>
        </w:rPr>
        <w:t xml:space="preserve"> </w:t>
      </w:r>
      <w:r w:rsidR="00B47D3B">
        <w:rPr>
          <w:rFonts w:ascii="Arial" w:hAnsi="Arial" w:cs="Arial"/>
        </w:rPr>
        <w:fldChar w:fldCharType="begin"/>
      </w:r>
      <w:r w:rsidR="005A347B">
        <w:rPr>
          <w:rFonts w:ascii="Arial" w:hAnsi="Arial" w:cs="Arial"/>
        </w:rPr>
        <w:instrText xml:space="preserve"> ADDIN EN.CITE &lt;EndNote&gt;&lt;Cite&gt;&lt;Author&gt;Melkko&lt;/Author&gt;&lt;Year&gt;1994&lt;/Year&gt;&lt;RecNum&gt;405&lt;/RecNum&gt;&lt;DisplayText&gt;(195)&lt;/DisplayText&gt;&lt;record&gt;&lt;rec-number&gt;405&lt;/rec-number&gt;&lt;foreign-keys&gt;&lt;key app="EN" db-id="p9a5ttsvyvde9me5aw2x05fp5p55axf0wr90" timestamp="1435769070"&gt;405&lt;/key&gt;&lt;/foreign-keys&gt;&lt;ref-type name="Journal Article"&gt;17&lt;/ref-type&gt;&lt;contributors&gt;&lt;authors&gt;&lt;author&gt;Melkko, J.&lt;/author&gt;&lt;author&gt;Hellevik, T.&lt;/author&gt;&lt;author&gt;Risteli, L.&lt;/author&gt;&lt;author&gt;Risteli, J.&lt;/author&gt;&lt;author&gt;Smedsrod, B.&lt;/author&gt;&lt;/authors&gt;&lt;/contributors&gt;&lt;auth-address&gt;Department of Medical Biochemistry, University of Oulu, Finland.&lt;/auth-address&gt;&lt;titles&gt;&lt;title&gt;Clearance of NH2-terminal propeptides of types I and III procollagen is a physiological function of the scavenger receptor in liver endothelial cells&lt;/title&gt;&lt;secondary-title&gt;J Exp Med&lt;/secondary-title&gt;&lt;/titles&gt;&lt;periodical&gt;&lt;full-title&gt;J Exp Med&lt;/full-title&gt;&lt;abbr-1&gt;The Journal of experimental medicine&lt;/abbr-1&gt;&lt;/periodical&gt;&lt;pages&gt;405-12&lt;/pages&gt;&lt;volume&gt;179&lt;/volume&gt;&lt;number&gt;2&lt;/number&gt;&lt;edition&gt;1994/02/01&lt;/edition&gt;&lt;keywords&gt;&lt;keyword&gt;Animals&lt;/keyword&gt;&lt;keyword&gt;Biological Transport&lt;/keyword&gt;&lt;keyword&gt;Cattle&lt;/keyword&gt;&lt;keyword&gt;Cell Line&lt;/keyword&gt;&lt;keyword&gt;Endocytosis&lt;/keyword&gt;&lt;keyword&gt;Endothelium/cytology/metabolism&lt;/keyword&gt;&lt;keyword&gt;Humans&lt;/keyword&gt;&lt;keyword&gt;Kinetics&lt;/keyword&gt;&lt;keyword&gt;Liver/cytology/ metabolism&lt;/keyword&gt;&lt;keyword&gt;Membrane Proteins&lt;/keyword&gt;&lt;keyword&gt;Procollagen/ metabolism&lt;/keyword&gt;&lt;keyword&gt;Rats&lt;/keyword&gt;&lt;keyword&gt;Receptors, Immunologic/ metabolism/physiology&lt;/keyword&gt;&lt;keyword&gt;Receptors, Lipoprotein&lt;/keyword&gt;&lt;keyword&gt;Receptors, Scavenger&lt;/keyword&gt;&lt;keyword&gt;Scavenger Receptors, Class B&lt;/keyword&gt;&lt;keyword&gt;Swine&lt;/keyword&gt;&lt;keyword&gt;Tumor Cells, Cultured&lt;/keyword&gt;&lt;/keywords&gt;&lt;dates&gt;&lt;year&gt;1994&lt;/year&gt;&lt;pub-dates&gt;&lt;date&gt;Feb 1&lt;/date&gt;&lt;/pub-dates&gt;&lt;/dates&gt;&lt;isbn&gt;0022-1007 (Print)&amp;#xD;0022-1007 (Linking)&lt;/isbn&gt;&lt;accession-num&gt;8294857&lt;/accession-num&gt;&lt;urls&gt;&lt;/urls&gt;&lt;custom2&gt;PMC2191385&lt;/custom2&gt;&lt;remote-database-provider&gt;NLM&lt;/remote-database-provider&gt;&lt;language&gt;eng&lt;/language&gt;&lt;/record&gt;&lt;/Cite&gt;&lt;/EndNote&gt;</w:instrText>
      </w:r>
      <w:r w:rsidR="00B47D3B">
        <w:rPr>
          <w:rFonts w:ascii="Arial" w:hAnsi="Arial" w:cs="Arial"/>
        </w:rPr>
        <w:fldChar w:fldCharType="separate"/>
      </w:r>
      <w:r w:rsidR="005A347B">
        <w:rPr>
          <w:rFonts w:ascii="Arial" w:hAnsi="Arial" w:cs="Arial"/>
          <w:noProof/>
        </w:rPr>
        <w:t>(</w:t>
      </w:r>
      <w:hyperlink w:anchor="_ENREF_195" w:tooltip="Melkko, 1994 #405" w:history="1">
        <w:r w:rsidR="003B725E">
          <w:rPr>
            <w:rFonts w:ascii="Arial" w:hAnsi="Arial" w:cs="Arial"/>
            <w:noProof/>
          </w:rPr>
          <w:t>195</w:t>
        </w:r>
      </w:hyperlink>
      <w:r w:rsidR="005A347B">
        <w:rPr>
          <w:rFonts w:ascii="Arial" w:hAnsi="Arial" w:cs="Arial"/>
          <w:noProof/>
        </w:rPr>
        <w:t>)</w:t>
      </w:r>
      <w:r w:rsidR="00B47D3B">
        <w:rPr>
          <w:rFonts w:ascii="Arial" w:hAnsi="Arial" w:cs="Arial"/>
        </w:rPr>
        <w:fldChar w:fldCharType="end"/>
      </w:r>
      <w:r w:rsidR="00856C2A" w:rsidRPr="00566A6A">
        <w:rPr>
          <w:rFonts w:ascii="Arial" w:hAnsi="Arial" w:cs="Arial"/>
        </w:rPr>
        <w:t xml:space="preserve">. The </w:t>
      </w:r>
      <w:r w:rsidR="00534998">
        <w:rPr>
          <w:rFonts w:ascii="Arial" w:hAnsi="Arial" w:cs="Arial"/>
        </w:rPr>
        <w:t>main</w:t>
      </w:r>
      <w:r w:rsidR="002C4993" w:rsidRPr="00566A6A">
        <w:rPr>
          <w:rFonts w:ascii="Arial" w:hAnsi="Arial" w:cs="Arial"/>
        </w:rPr>
        <w:t xml:space="preserve"> </w:t>
      </w:r>
      <w:r w:rsidR="00856C2A" w:rsidRPr="00566A6A">
        <w:rPr>
          <w:rFonts w:ascii="Arial" w:hAnsi="Arial" w:cs="Arial"/>
        </w:rPr>
        <w:t>PINP antigen in ser</w:t>
      </w:r>
      <w:r w:rsidR="002C4993" w:rsidRPr="00566A6A">
        <w:rPr>
          <w:rFonts w:ascii="Arial" w:hAnsi="Arial" w:cs="Arial"/>
        </w:rPr>
        <w:t>um corresponds to the domain that has been cleaved and released from procollagen</w:t>
      </w:r>
      <w:r w:rsidR="00831915">
        <w:rPr>
          <w:rFonts w:ascii="Arial" w:hAnsi="Arial" w:cs="Arial"/>
        </w:rPr>
        <w:t xml:space="preserve"> </w:t>
      </w:r>
      <w:r w:rsidR="00831915">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831915">
        <w:rPr>
          <w:rFonts w:ascii="Arial" w:hAnsi="Arial" w:cs="Arial"/>
        </w:rPr>
      </w:r>
      <w:r w:rsidR="00831915">
        <w:rPr>
          <w:rFonts w:ascii="Arial" w:hAnsi="Arial" w:cs="Arial"/>
        </w:rPr>
        <w:fldChar w:fldCharType="separate"/>
      </w:r>
      <w:r w:rsidR="005A347B">
        <w:rPr>
          <w:rFonts w:ascii="Arial" w:hAnsi="Arial" w:cs="Arial"/>
          <w:noProof/>
        </w:rPr>
        <w:t>(</w:t>
      </w:r>
      <w:hyperlink w:anchor="_ENREF_196" w:tooltip="Koivula, 2010 #500" w:history="1">
        <w:r w:rsidR="003B725E">
          <w:rPr>
            <w:rFonts w:ascii="Arial" w:hAnsi="Arial" w:cs="Arial"/>
            <w:noProof/>
          </w:rPr>
          <w:t>196</w:t>
        </w:r>
      </w:hyperlink>
      <w:r w:rsidR="005A347B">
        <w:rPr>
          <w:rFonts w:ascii="Arial" w:hAnsi="Arial" w:cs="Arial"/>
          <w:noProof/>
        </w:rPr>
        <w:t>)</w:t>
      </w:r>
      <w:r w:rsidR="00831915">
        <w:rPr>
          <w:rFonts w:ascii="Arial" w:hAnsi="Arial" w:cs="Arial"/>
        </w:rPr>
        <w:fldChar w:fldCharType="end"/>
      </w:r>
      <w:r w:rsidR="002C4993" w:rsidRPr="00566A6A">
        <w:rPr>
          <w:rFonts w:ascii="Arial" w:hAnsi="Arial" w:cs="Arial"/>
        </w:rPr>
        <w:t>. There is also a smaller antigen that appears to correspond to the monomer (from a single α1 chain) from the trimeric PINP</w:t>
      </w:r>
      <w:r w:rsidR="00E5688C" w:rsidRPr="00566A6A">
        <w:rPr>
          <w:rFonts w:ascii="Arial" w:hAnsi="Arial" w:cs="Arial"/>
        </w:rPr>
        <w:t xml:space="preserve"> </w:t>
      </w:r>
      <w:r w:rsidR="00831915">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831915">
        <w:rPr>
          <w:rFonts w:ascii="Arial" w:hAnsi="Arial" w:cs="Arial"/>
        </w:rPr>
      </w:r>
      <w:r w:rsidR="00831915">
        <w:rPr>
          <w:rFonts w:ascii="Arial" w:hAnsi="Arial" w:cs="Arial"/>
        </w:rPr>
        <w:fldChar w:fldCharType="separate"/>
      </w:r>
      <w:r w:rsidR="005A347B">
        <w:rPr>
          <w:rFonts w:ascii="Arial" w:hAnsi="Arial" w:cs="Arial"/>
          <w:noProof/>
        </w:rPr>
        <w:t>(</w:t>
      </w:r>
      <w:hyperlink w:anchor="_ENREF_196" w:tooltip="Koivula, 2010 #500" w:history="1">
        <w:r w:rsidR="003B725E">
          <w:rPr>
            <w:rFonts w:ascii="Arial" w:hAnsi="Arial" w:cs="Arial"/>
            <w:noProof/>
          </w:rPr>
          <w:t>196</w:t>
        </w:r>
      </w:hyperlink>
      <w:r w:rsidR="005A347B">
        <w:rPr>
          <w:rFonts w:ascii="Arial" w:hAnsi="Arial" w:cs="Arial"/>
          <w:noProof/>
        </w:rPr>
        <w:t>)</w:t>
      </w:r>
      <w:r w:rsidR="00831915">
        <w:rPr>
          <w:rFonts w:ascii="Arial" w:hAnsi="Arial" w:cs="Arial"/>
        </w:rPr>
        <w:fldChar w:fldCharType="end"/>
      </w:r>
      <w:r w:rsidR="002C4993" w:rsidRPr="00566A6A">
        <w:rPr>
          <w:rFonts w:ascii="Arial" w:hAnsi="Arial" w:cs="Arial"/>
        </w:rPr>
        <w:t xml:space="preserve">. </w:t>
      </w:r>
      <w:r w:rsidR="00582644" w:rsidRPr="00566A6A">
        <w:rPr>
          <w:rFonts w:ascii="Arial" w:hAnsi="Arial" w:cs="Arial"/>
        </w:rPr>
        <w:t xml:space="preserve">It is has been demonstrated that this smaller monomer may be a product of the trimer as a result of heat denaturation </w:t>
      </w:r>
      <w:r w:rsidR="00B47D3B">
        <w:rPr>
          <w:rFonts w:ascii="Arial" w:hAnsi="Arial" w:cs="Arial"/>
        </w:rPr>
        <w:fldChar w:fldCharType="begin"/>
      </w:r>
      <w:r w:rsidR="005A347B">
        <w:rPr>
          <w:rFonts w:ascii="Arial" w:hAnsi="Arial" w:cs="Arial"/>
        </w:rPr>
        <w:instrText xml:space="preserve"> ADDIN EN.CITE &lt;EndNote&gt;&lt;Cite&gt;&lt;Author&gt;Brandt&lt;/Author&gt;&lt;Year&gt;1999&lt;/Year&gt;&lt;RecNum&gt;404&lt;/RecNum&gt;&lt;DisplayText&gt;(197)&lt;/DisplayText&gt;&lt;record&gt;&lt;rec-number&gt;404&lt;/rec-number&gt;&lt;foreign-keys&gt;&lt;key app="EN" db-id="p9a5ttsvyvde9me5aw2x05fp5p55axf0wr90" timestamp="1435768949"&gt;404&lt;/key&gt;&lt;/foreign-keys&gt;&lt;ref-type name="Journal Article"&gt;17&lt;/ref-type&gt;&lt;contributors&gt;&lt;authors&gt;&lt;author&gt;Brandt, J.&lt;/author&gt;&lt;author&gt;Krogh, T. N.&lt;/author&gt;&lt;author&gt;Jensen, C. H.&lt;/author&gt;&lt;author&gt;Frederiksen, J. K.&lt;/author&gt;&lt;author&gt;Teisner, B.&lt;/author&gt;&lt;/authors&gt;&lt;/contributors&gt;&lt;auth-address&gt;Department of Medical Microbiology, University of Odense, Denmark.&lt;/auth-address&gt;&lt;titles&gt;&lt;title&gt;Thermal instability of the trimeric structure of the N-terminal propeptide of human procollagen type I in relation to assay technology&lt;/title&gt;&lt;secondary-title&gt;Clin Chem&lt;/secondary-title&gt;&lt;/titles&gt;&lt;periodical&gt;&lt;full-title&gt;Clin Chem&lt;/full-title&gt;&lt;abbr-1&gt;Clinical chemistry&lt;/abbr-1&gt;&lt;/periodical&gt;&lt;pages&gt;47-53&lt;/pages&gt;&lt;volume&gt;45&lt;/volume&gt;&lt;number&gt;1&lt;/number&gt;&lt;edition&gt;1999/01/23&lt;/edition&gt;&lt;keywords&gt;&lt;keyword&gt;Amniotic Fluid/chemistry&lt;/keyword&gt;&lt;keyword&gt;Child&lt;/keyword&gt;&lt;keyword&gt;Electrophoresis, Polyacrylamide Gel&lt;/keyword&gt;&lt;keyword&gt;Enzyme-Linked Immunosorbent Assay&lt;/keyword&gt;&lt;keyword&gt;Female&lt;/keyword&gt;&lt;keyword&gt;Hot Temperature&lt;/keyword&gt;&lt;keyword&gt;Humans&lt;/keyword&gt;&lt;keyword&gt;Immunoelectrophoresis&lt;/keyword&gt;&lt;keyword&gt;Mass Spectrometry&lt;/keyword&gt;&lt;keyword&gt;Molecular Weight&lt;/keyword&gt;&lt;keyword&gt;Peptide Fragments/blood/ chemistry&lt;/keyword&gt;&lt;keyword&gt;Pregnancy&lt;/keyword&gt;&lt;keyword&gt;Procollagen/blood/ chemistry&lt;/keyword&gt;&lt;keyword&gt;Protein Conformation&lt;/keyword&gt;&lt;keyword&gt;Radioimmunoassay&lt;/keyword&gt;&lt;/keywords&gt;&lt;dates&gt;&lt;year&gt;1999&lt;/year&gt;&lt;pub-dates&gt;&lt;date&gt;Jan&lt;/date&gt;&lt;/pub-dates&gt;&lt;/dates&gt;&lt;isbn&gt;0009-9147 (Print)&amp;#xD;0009-9147 (Linking)&lt;/isbn&gt;&lt;accession-num&gt;9895337&lt;/accession-num&gt;&lt;urls&gt;&lt;/urls&gt;&lt;remote-database-provider&gt;NLM&lt;/remote-database-provider&gt;&lt;language&gt;eng&lt;/language&gt;&lt;/record&gt;&lt;/Cite&gt;&lt;/EndNote&gt;</w:instrText>
      </w:r>
      <w:r w:rsidR="00B47D3B">
        <w:rPr>
          <w:rFonts w:ascii="Arial" w:hAnsi="Arial" w:cs="Arial"/>
        </w:rPr>
        <w:fldChar w:fldCharType="separate"/>
      </w:r>
      <w:r w:rsidR="005A347B">
        <w:rPr>
          <w:rFonts w:ascii="Arial" w:hAnsi="Arial" w:cs="Arial"/>
          <w:noProof/>
        </w:rPr>
        <w:t>(</w:t>
      </w:r>
      <w:hyperlink w:anchor="_ENREF_197" w:tooltip="Brandt, 1999 #404" w:history="1">
        <w:r w:rsidR="003B725E">
          <w:rPr>
            <w:rFonts w:ascii="Arial" w:hAnsi="Arial" w:cs="Arial"/>
            <w:noProof/>
          </w:rPr>
          <w:t>197</w:t>
        </w:r>
      </w:hyperlink>
      <w:r w:rsidR="005A347B">
        <w:rPr>
          <w:rFonts w:ascii="Arial" w:hAnsi="Arial" w:cs="Arial"/>
          <w:noProof/>
        </w:rPr>
        <w:t>)</w:t>
      </w:r>
      <w:r w:rsidR="00B47D3B">
        <w:rPr>
          <w:rFonts w:ascii="Arial" w:hAnsi="Arial" w:cs="Arial"/>
        </w:rPr>
        <w:fldChar w:fldCharType="end"/>
      </w:r>
      <w:r w:rsidR="00582644" w:rsidRPr="00566A6A">
        <w:rPr>
          <w:rFonts w:ascii="Arial" w:hAnsi="Arial" w:cs="Arial"/>
        </w:rPr>
        <w:t xml:space="preserve">. </w:t>
      </w:r>
      <w:r w:rsidR="002C4993" w:rsidRPr="00566A6A">
        <w:rPr>
          <w:rFonts w:ascii="Arial" w:hAnsi="Arial" w:cs="Arial"/>
        </w:rPr>
        <w:t>This monomer is more evident in some diseases such as renal failure and</w:t>
      </w:r>
      <w:r w:rsidR="00E5688C" w:rsidRPr="00566A6A">
        <w:rPr>
          <w:rFonts w:ascii="Arial" w:hAnsi="Arial" w:cs="Arial"/>
        </w:rPr>
        <w:t xml:space="preserve"> metastatic bone disease</w:t>
      </w:r>
      <w:r w:rsidR="00534998">
        <w:rPr>
          <w:rFonts w:ascii="Arial" w:hAnsi="Arial" w:cs="Arial"/>
        </w:rPr>
        <w:t xml:space="preserve"> </w:t>
      </w:r>
      <w:r w:rsidR="00534998" w:rsidRPr="00566A6A">
        <w:rPr>
          <w:rFonts w:ascii="Arial" w:hAnsi="Arial" w:cs="Arial"/>
        </w:rPr>
        <w:t>compared to the trimer</w:t>
      </w:r>
      <w:r w:rsidR="00E5688C" w:rsidRPr="00566A6A">
        <w:rPr>
          <w:rFonts w:ascii="Arial" w:hAnsi="Arial" w:cs="Arial"/>
        </w:rPr>
        <w:t xml:space="preserve"> </w:t>
      </w:r>
      <w:r w:rsidR="00B47D3B">
        <w:rPr>
          <w:rFonts w:ascii="Arial" w:hAnsi="Arial" w:cs="Arial"/>
        </w:rPr>
        <w:fldChar w:fldCharType="begin">
          <w:fldData xml:space="preserve">PEVuZE5vdGU+PENpdGU+PEF1dGhvcj5KZW5zZW48L0F1dGhvcj48WWVhcj4xOTk3PC9ZZWFyPjxS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PEVuZE5vdGU+PENpdGU+PEF1dGhvcj5KZW5zZW48L0F1dGhvcj48WWVhcj4xOTk3PC9ZZWFyPjxS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B47D3B">
        <w:rPr>
          <w:rFonts w:ascii="Arial" w:hAnsi="Arial" w:cs="Arial"/>
        </w:rPr>
      </w:r>
      <w:r w:rsidR="00B47D3B">
        <w:rPr>
          <w:rFonts w:ascii="Arial" w:hAnsi="Arial" w:cs="Arial"/>
        </w:rPr>
        <w:fldChar w:fldCharType="separate"/>
      </w:r>
      <w:r w:rsidR="005A347B">
        <w:rPr>
          <w:rFonts w:ascii="Arial" w:hAnsi="Arial" w:cs="Arial"/>
          <w:noProof/>
        </w:rPr>
        <w:t>(</w:t>
      </w:r>
      <w:hyperlink w:anchor="_ENREF_198" w:tooltip="Jensen, 1997 #406" w:history="1">
        <w:r w:rsidR="003B725E">
          <w:rPr>
            <w:rFonts w:ascii="Arial" w:hAnsi="Arial" w:cs="Arial"/>
            <w:noProof/>
          </w:rPr>
          <w:t>198-200</w:t>
        </w:r>
      </w:hyperlink>
      <w:r w:rsidR="005A347B">
        <w:rPr>
          <w:rFonts w:ascii="Arial" w:hAnsi="Arial" w:cs="Arial"/>
          <w:noProof/>
        </w:rPr>
        <w:t>)</w:t>
      </w:r>
      <w:r w:rsidR="00B47D3B">
        <w:rPr>
          <w:rFonts w:ascii="Arial" w:hAnsi="Arial" w:cs="Arial"/>
        </w:rPr>
        <w:fldChar w:fldCharType="end"/>
      </w:r>
      <w:r w:rsidR="00E5688C" w:rsidRPr="00566A6A">
        <w:rPr>
          <w:rFonts w:ascii="Arial" w:hAnsi="Arial" w:cs="Arial"/>
        </w:rPr>
        <w:t>.</w:t>
      </w:r>
      <w:r w:rsidR="00582644" w:rsidRPr="00566A6A">
        <w:rPr>
          <w:rFonts w:ascii="Arial" w:hAnsi="Arial" w:cs="Arial"/>
        </w:rPr>
        <w:t xml:space="preserve"> </w:t>
      </w:r>
    </w:p>
    <w:p w:rsidR="00AA1C7C" w:rsidRDefault="00AA1C7C" w:rsidP="003E6719">
      <w:pPr>
        <w:pStyle w:val="Heading5"/>
        <w:jc w:val="both"/>
      </w:pPr>
      <w:r>
        <w:t>Osteocalcin</w:t>
      </w:r>
    </w:p>
    <w:p w:rsidR="00E73616" w:rsidRDefault="00B67149" w:rsidP="003B725E">
      <w:pPr>
        <w:spacing w:line="360" w:lineRule="auto"/>
        <w:jc w:val="both"/>
        <w:rPr>
          <w:rFonts w:ascii="Arial" w:hAnsi="Arial" w:cs="Arial"/>
        </w:rPr>
      </w:pPr>
      <w:r>
        <w:rPr>
          <w:rFonts w:ascii="Arial" w:hAnsi="Arial" w:cs="Arial"/>
        </w:rPr>
        <w:t xml:space="preserve">Osteocalcin </w:t>
      </w:r>
      <w:r w:rsidRPr="00CF757C">
        <w:rPr>
          <w:rFonts w:ascii="Arial" w:hAnsi="Arial" w:cs="Arial"/>
        </w:rPr>
        <w:t>is</w:t>
      </w:r>
      <w:r>
        <w:rPr>
          <w:rFonts w:ascii="Arial" w:hAnsi="Arial" w:cs="Arial"/>
        </w:rPr>
        <w:t xml:space="preserve"> a non-collagenous </w:t>
      </w:r>
      <w:r w:rsidR="00A533B9">
        <w:rPr>
          <w:rFonts w:ascii="Arial" w:hAnsi="Arial" w:cs="Arial"/>
        </w:rPr>
        <w:t>protein</w:t>
      </w:r>
      <w:r>
        <w:rPr>
          <w:rFonts w:ascii="Arial" w:hAnsi="Arial" w:cs="Arial"/>
        </w:rPr>
        <w:t xml:space="preserve"> synthesised </w:t>
      </w:r>
      <w:r w:rsidR="0047605B">
        <w:rPr>
          <w:rFonts w:ascii="Arial" w:hAnsi="Arial" w:cs="Arial"/>
        </w:rPr>
        <w:t>by osteoblasts</w:t>
      </w:r>
      <w:r w:rsidR="00411E04">
        <w:rPr>
          <w:rFonts w:ascii="Arial" w:hAnsi="Arial" w:cs="Arial"/>
        </w:rPr>
        <w:t xml:space="preserve"> </w:t>
      </w:r>
      <w:r>
        <w:rPr>
          <w:rFonts w:ascii="Arial" w:hAnsi="Arial" w:cs="Arial"/>
        </w:rPr>
        <w:t>and secreted</w:t>
      </w:r>
      <w:r w:rsidRPr="00CF757C">
        <w:rPr>
          <w:rFonts w:ascii="Arial" w:hAnsi="Arial" w:cs="Arial"/>
        </w:rPr>
        <w:t xml:space="preserve"> by </w:t>
      </w:r>
      <w:r>
        <w:rPr>
          <w:rFonts w:ascii="Arial" w:hAnsi="Arial" w:cs="Arial"/>
        </w:rPr>
        <w:t xml:space="preserve">mature </w:t>
      </w:r>
      <w:r w:rsidRPr="00CF757C">
        <w:rPr>
          <w:rFonts w:ascii="Arial" w:hAnsi="Arial" w:cs="Arial"/>
        </w:rPr>
        <w:t>osteoblasts</w:t>
      </w:r>
      <w:r w:rsidR="00411E04">
        <w:rPr>
          <w:rFonts w:ascii="Arial" w:hAnsi="Arial" w:cs="Arial"/>
        </w:rPr>
        <w:t xml:space="preserve"> </w:t>
      </w:r>
      <w:r w:rsidR="0078494F">
        <w:rPr>
          <w:rFonts w:ascii="Arial" w:hAnsi="Arial" w:cs="Arial"/>
        </w:rPr>
        <w:t>during bone formation</w:t>
      </w:r>
      <w:r w:rsidR="00D319DB">
        <w:rPr>
          <w:rFonts w:ascii="Arial" w:hAnsi="Arial" w:cs="Arial"/>
        </w:rPr>
        <w:t xml:space="preserve"> </w:t>
      </w:r>
      <w:r w:rsidR="00D319DB">
        <w:rPr>
          <w:rFonts w:ascii="Arial" w:hAnsi="Arial" w:cs="Arial"/>
        </w:rPr>
        <w:fldChar w:fldCharType="begin"/>
      </w:r>
      <w:r w:rsidR="005A347B">
        <w:rPr>
          <w:rFonts w:ascii="Arial" w:hAnsi="Arial" w:cs="Arial"/>
        </w:rPr>
        <w:instrText xml:space="preserve"> ADDIN EN.CITE &lt;EndNote&gt;&lt;Cite&gt;&lt;Author&gt;Zoch&lt;/Author&gt;&lt;Year&gt;2015&lt;/Year&gt;&lt;RecNum&gt;389&lt;/RecNum&gt;&lt;DisplayText&gt;(201)&lt;/DisplayText&gt;&lt;record&gt;&lt;rec-number&gt;389&lt;/rec-number&gt;&lt;foreign-keys&gt;&lt;key app="EN" db-id="p9a5ttsvyvde9me5aw2x05fp5p55axf0wr90" timestamp="1435765482"&gt;389&lt;/key&gt;&lt;/foreign-keys&gt;&lt;ref-type name="Journal Article"&gt;17&lt;/ref-type&gt;&lt;contributors&gt;&lt;authors&gt;&lt;author&gt;Zoch, M. L.&lt;/author&gt;&lt;author&gt;Clemens, T. L.&lt;/author&gt;&lt;author&gt;Riddle, R. C.&lt;/author&gt;&lt;/authors&gt;&lt;/contributors&gt;&lt;auth-address&gt;Department of Orthopaedic Surgery, Johns Hopkins University School of Medicine, Baltimore, MD, USA.&amp;#xD;Department of Orthopaedic Surgery, Johns Hopkins University School of Medicine, Baltimore, MD, USA; Baltimore Veterans Administration Medical Center, Baltimore, MD, USA.&amp;#xD;Department of Orthopaedic Surgery, Johns Hopkins University School of Medicine, Baltimore, MD, USA; Baltimore Veterans Administration Medical Center, Baltimore, MD, USA. Electronic address: rriddle1@jhmi.edu.&lt;/auth-address&gt;&lt;titles&gt;&lt;title&gt;New insights into the biology of osteocalcin&lt;/title&gt;&lt;secondary-title&gt;Bone&lt;/secondary-title&gt;&lt;/titles&gt;&lt;periodical&gt;&lt;full-title&gt;Bone&lt;/full-title&gt;&lt;abbr-1&gt;Bone&lt;/abbr-1&gt;&lt;/periodical&gt;&lt;edition&gt;2015/06/10&lt;/edition&gt;&lt;keywords&gt;&lt;keyword&gt;Diabetes&lt;/keyword&gt;&lt;keyword&gt;Metabolism&lt;/keyword&gt;&lt;keyword&gt;Osteoblast&lt;/keyword&gt;&lt;keyword&gt;Osteocalcin&lt;/keyword&gt;&lt;/keywords&gt;&lt;dates&gt;&lt;year&gt;2015&lt;/year&gt;&lt;pub-dates&gt;&lt;date&gt;Jun 6&lt;/date&gt;&lt;/pub-dates&gt;&lt;/dates&gt;&lt;isbn&gt;1873-2763 (Electronic)&amp;#xD;1873-2763 (Linking)&lt;/isbn&gt;&lt;accession-num&gt;26055108&lt;/accession-num&gt;&lt;urls&gt;&lt;/urls&gt;&lt;electronic-resource-num&gt;10.1016/j.bone.2015.05.046&lt;/electronic-resource-num&gt;&lt;remote-database-provider&gt;NLM&lt;/remote-database-provider&gt;&lt;language&gt;Eng&lt;/language&gt;&lt;/record&gt;&lt;/Cite&gt;&lt;/EndNote&gt;</w:instrText>
      </w:r>
      <w:r w:rsidR="00D319DB">
        <w:rPr>
          <w:rFonts w:ascii="Arial" w:hAnsi="Arial" w:cs="Arial"/>
        </w:rPr>
        <w:fldChar w:fldCharType="separate"/>
      </w:r>
      <w:r w:rsidR="005A347B">
        <w:rPr>
          <w:rFonts w:ascii="Arial" w:hAnsi="Arial" w:cs="Arial"/>
          <w:noProof/>
        </w:rPr>
        <w:t>(</w:t>
      </w:r>
      <w:hyperlink w:anchor="_ENREF_201" w:tooltip="Zoch, 2015 #389" w:history="1">
        <w:r w:rsidR="003B725E">
          <w:rPr>
            <w:rFonts w:ascii="Arial" w:hAnsi="Arial" w:cs="Arial"/>
            <w:noProof/>
          </w:rPr>
          <w:t>201</w:t>
        </w:r>
      </w:hyperlink>
      <w:r w:rsidR="005A347B">
        <w:rPr>
          <w:rFonts w:ascii="Arial" w:hAnsi="Arial" w:cs="Arial"/>
          <w:noProof/>
        </w:rPr>
        <w:t>)</w:t>
      </w:r>
      <w:r w:rsidR="00D319DB">
        <w:rPr>
          <w:rFonts w:ascii="Arial" w:hAnsi="Arial" w:cs="Arial"/>
        </w:rPr>
        <w:fldChar w:fldCharType="end"/>
      </w:r>
      <w:r w:rsidR="0047605B">
        <w:rPr>
          <w:rFonts w:ascii="Arial" w:hAnsi="Arial" w:cs="Arial"/>
        </w:rPr>
        <w:t>, (Figure 6</w:t>
      </w:r>
      <w:r w:rsidR="00BD18FE">
        <w:rPr>
          <w:rFonts w:ascii="Arial" w:hAnsi="Arial" w:cs="Arial"/>
        </w:rPr>
        <w:t>) and excreted by the kidneys</w:t>
      </w:r>
      <w:r w:rsidR="00411E04">
        <w:rPr>
          <w:rFonts w:ascii="Arial" w:hAnsi="Arial" w:cs="Arial"/>
        </w:rPr>
        <w:t>. The genes encode a non-</w:t>
      </w:r>
      <w:r w:rsidRPr="00CF757C">
        <w:rPr>
          <w:rFonts w:ascii="Arial" w:hAnsi="Arial" w:cs="Arial"/>
        </w:rPr>
        <w:t xml:space="preserve">collagenous protein of the bone </w:t>
      </w:r>
      <w:r w:rsidR="00E73616">
        <w:rPr>
          <w:rFonts w:ascii="Arial" w:hAnsi="Arial" w:cs="Arial"/>
        </w:rPr>
        <w:t>matrix</w:t>
      </w:r>
      <w:r w:rsidR="001A3F16">
        <w:rPr>
          <w:rFonts w:ascii="Arial" w:hAnsi="Arial" w:cs="Arial"/>
        </w:rPr>
        <w:t>, with a molecular weight of 5800 Daltons, com</w:t>
      </w:r>
      <w:r w:rsidR="00E73616">
        <w:rPr>
          <w:rFonts w:ascii="Arial" w:hAnsi="Arial" w:cs="Arial"/>
        </w:rPr>
        <w:t>prising of a 49 amino acid peptide</w:t>
      </w:r>
      <w:r w:rsidR="001462B0">
        <w:rPr>
          <w:rFonts w:ascii="Arial" w:hAnsi="Arial" w:cs="Arial"/>
        </w:rPr>
        <w:t xml:space="preserve"> w</w:t>
      </w:r>
      <w:r w:rsidR="00B650D6">
        <w:rPr>
          <w:rFonts w:ascii="Arial" w:hAnsi="Arial" w:cs="Arial"/>
        </w:rPr>
        <w:t>ith a short half-life (minutes)</w:t>
      </w:r>
      <w:r w:rsidR="00110EE4">
        <w:rPr>
          <w:rFonts w:ascii="Arial" w:hAnsi="Arial" w:cs="Arial"/>
        </w:rPr>
        <w:t xml:space="preserve"> </w:t>
      </w:r>
      <w:r w:rsidR="00110EE4">
        <w:rPr>
          <w:rFonts w:ascii="Arial" w:hAnsi="Arial" w:cs="Arial"/>
        </w:rPr>
        <w:fldChar w:fldCharType="begin"/>
      </w:r>
      <w:r w:rsidR="005A347B">
        <w:rPr>
          <w:rFonts w:ascii="Arial" w:hAnsi="Arial" w:cs="Arial"/>
        </w:rPr>
        <w:instrText xml:space="preserve"> ADDIN EN.CITE &lt;EndNote&gt;&lt;Cite&gt;&lt;Author&gt;Hauschka&lt;/Author&gt;&lt;Year&gt;1989&lt;/Year&gt;&lt;RecNum&gt;390&lt;/RecNum&gt;&lt;DisplayText&gt;(202)&lt;/DisplayText&gt;&lt;record&gt;&lt;rec-number&gt;390&lt;/rec-number&gt;&lt;foreign-keys&gt;&lt;key app="EN" db-id="p9a5ttsvyvde9me5aw2x05fp5p55axf0wr90" timestamp="1435765791"&gt;390&lt;/key&gt;&lt;/foreign-keys&gt;&lt;ref-type name="Journal Article"&gt;17&lt;/ref-type&gt;&lt;contributors&gt;&lt;authors&gt;&lt;author&gt;Hauschka, P. V.&lt;/author&gt;&lt;author&gt;Lian, J. B.&lt;/author&gt;&lt;author&gt;Cole, D. E.&lt;/author&gt;&lt;author&gt;Gundberg, C. M.&lt;/author&gt;&lt;/authors&gt;&lt;/contributors&gt;&lt;auth-address&gt;Department of Oral Biology, Harvard School of Dental Medicine, Boston, Massachusetts.&lt;/auth-address&gt;&lt;titles&gt;&lt;title&gt;Osteocalcin and matrix Gla protein: vitamin K-dependent proteins in bone&lt;/title&gt;&lt;secondary-title&gt;Physiol Rev&lt;/secondary-title&gt;&lt;/titles&gt;&lt;periodical&gt;&lt;full-title&gt;Physiol Rev&lt;/full-title&gt;&lt;/periodical&gt;&lt;pages&gt;990-1047&lt;/pages&gt;&lt;volume&gt;69&lt;/volume&gt;&lt;number&gt;3&lt;/number&gt;&lt;edition&gt;1989/07/01&lt;/edition&gt;&lt;keywords&gt;&lt;keyword&gt;Animals&lt;/keyword&gt;&lt;keyword&gt;Bone and Bones/ physiology&lt;/keyword&gt;&lt;keyword&gt;Calcium-Binding Proteins/ physiology&lt;/keyword&gt;&lt;keyword&gt;Extracellular Matrix Proteins&lt;/keyword&gt;&lt;keyword&gt;Humans&lt;/keyword&gt;&lt;keyword&gt;Osteocalcin&lt;/keyword&gt;&lt;keyword&gt;Vitamin K/ physiology&lt;/keyword&gt;&lt;/keywords&gt;&lt;dates&gt;&lt;year&gt;1989&lt;/year&gt;&lt;pub-dates&gt;&lt;date&gt;Jul&lt;/date&gt;&lt;/pub-dates&gt;&lt;/dates&gt;&lt;isbn&gt;0031-9333 (Print)&amp;#xD;0031-9333 (Linking)&lt;/isbn&gt;&lt;accession-num&gt;2664828&lt;/accession-num&gt;&lt;urls&gt;&lt;/urls&gt;&lt;remote-database-provider&gt;NLM&lt;/remote-database-provider&gt;&lt;language&gt;eng&lt;/language&gt;&lt;/record&gt;&lt;/Cite&gt;&lt;/EndNote&gt;</w:instrText>
      </w:r>
      <w:r w:rsidR="00110EE4">
        <w:rPr>
          <w:rFonts w:ascii="Arial" w:hAnsi="Arial" w:cs="Arial"/>
        </w:rPr>
        <w:fldChar w:fldCharType="separate"/>
      </w:r>
      <w:r w:rsidR="005A347B">
        <w:rPr>
          <w:rFonts w:ascii="Arial" w:hAnsi="Arial" w:cs="Arial"/>
          <w:noProof/>
        </w:rPr>
        <w:t>(</w:t>
      </w:r>
      <w:hyperlink w:anchor="_ENREF_202" w:tooltip="Hauschka, 1989 #390" w:history="1">
        <w:r w:rsidR="003B725E">
          <w:rPr>
            <w:rFonts w:ascii="Arial" w:hAnsi="Arial" w:cs="Arial"/>
            <w:noProof/>
          </w:rPr>
          <w:t>202</w:t>
        </w:r>
      </w:hyperlink>
      <w:r w:rsidR="005A347B">
        <w:rPr>
          <w:rFonts w:ascii="Arial" w:hAnsi="Arial" w:cs="Arial"/>
          <w:noProof/>
        </w:rPr>
        <w:t>)</w:t>
      </w:r>
      <w:r w:rsidR="00110EE4">
        <w:rPr>
          <w:rFonts w:ascii="Arial" w:hAnsi="Arial" w:cs="Arial"/>
        </w:rPr>
        <w:fldChar w:fldCharType="end"/>
      </w:r>
      <w:r w:rsidR="00B650D6">
        <w:rPr>
          <w:rFonts w:ascii="Arial" w:hAnsi="Arial" w:cs="Arial"/>
        </w:rPr>
        <w:t xml:space="preserve">. </w:t>
      </w:r>
      <w:r w:rsidR="00E73616">
        <w:rPr>
          <w:rFonts w:ascii="Arial" w:hAnsi="Arial" w:cs="Arial"/>
        </w:rPr>
        <w:t xml:space="preserve">Once synthesised </w:t>
      </w:r>
      <w:r w:rsidR="002D3123">
        <w:rPr>
          <w:rFonts w:ascii="Arial" w:hAnsi="Arial" w:cs="Arial"/>
        </w:rPr>
        <w:t>o</w:t>
      </w:r>
      <w:r w:rsidR="00E73616">
        <w:rPr>
          <w:rFonts w:ascii="Arial" w:hAnsi="Arial" w:cs="Arial"/>
        </w:rPr>
        <w:t xml:space="preserve">steocalcin undergoes vitamin-K-dependent posttranslational modification </w:t>
      </w:r>
      <w:r w:rsidR="00CE7614">
        <w:rPr>
          <w:rFonts w:ascii="Arial" w:hAnsi="Arial" w:cs="Arial"/>
        </w:rPr>
        <w:t xml:space="preserve">where </w:t>
      </w:r>
      <w:r w:rsidR="00C2259D">
        <w:rPr>
          <w:rFonts w:ascii="Arial" w:hAnsi="Arial" w:cs="Arial"/>
        </w:rPr>
        <w:t xml:space="preserve">three </w:t>
      </w:r>
      <w:r w:rsidR="00CE7614">
        <w:rPr>
          <w:rFonts w:ascii="Arial" w:hAnsi="Arial" w:cs="Arial"/>
        </w:rPr>
        <w:t>glu</w:t>
      </w:r>
      <w:r w:rsidR="00C2259D">
        <w:rPr>
          <w:rFonts w:ascii="Arial" w:hAnsi="Arial" w:cs="Arial"/>
        </w:rPr>
        <w:t>tamic acid residues are</w:t>
      </w:r>
      <w:r w:rsidR="00CE7614">
        <w:rPr>
          <w:rFonts w:ascii="Arial" w:hAnsi="Arial" w:cs="Arial"/>
        </w:rPr>
        <w:t xml:space="preserve"> gamma-carboxylated (Gla)</w:t>
      </w:r>
      <w:r w:rsidR="002973EE">
        <w:rPr>
          <w:rFonts w:ascii="Arial" w:hAnsi="Arial" w:cs="Arial"/>
        </w:rPr>
        <w:t xml:space="preserve"> </w:t>
      </w:r>
      <w:r w:rsidR="002973EE">
        <w:rPr>
          <w:rFonts w:ascii="Arial" w:hAnsi="Arial" w:cs="Arial"/>
        </w:rPr>
        <w:fldChar w:fldCharType="begin"/>
      </w:r>
      <w:r w:rsidR="005A347B">
        <w:rPr>
          <w:rFonts w:ascii="Arial" w:hAnsi="Arial" w:cs="Arial"/>
        </w:rPr>
        <w:instrText xml:space="preserve"> ADDIN EN.CITE &lt;EndNote&gt;&lt;Cite&gt;&lt;Author&gt;Price&lt;/Author&gt;&lt;Year&gt;1976&lt;/Year&gt;&lt;RecNum&gt;397&lt;/RecNum&gt;&lt;DisplayText&gt;(203)&lt;/DisplayText&gt;&lt;record&gt;&lt;rec-number&gt;397&lt;/rec-number&gt;&lt;foreign-keys&gt;&lt;key app="EN" db-id="p9a5ttsvyvde9me5aw2x05fp5p55axf0wr90" timestamp="1435767573"&gt;397&lt;/key&gt;&lt;/foreign-keys&gt;&lt;ref-type name="Journal Article"&gt;17&lt;/ref-type&gt;&lt;contributors&gt;&lt;authors&gt;&lt;author&gt;Price, P. A.&lt;/author&gt;&lt;author&gt;Otsuka, A. A.&lt;/author&gt;&lt;author&gt;Poser, J. W.&lt;/author&gt;&lt;author&gt;Kristaponis, J.&lt;/author&gt;&lt;author&gt;Raman, N.&lt;/author&gt;&lt;/authors&gt;&lt;/contributors&gt;&lt;titles&gt;&lt;title&gt;Characterization of a gamma-carboxyglutamic acid-containing protein from bone&lt;/title&gt;&lt;secondary-title&gt;Proc Natl Acad Sci U S A&lt;/secondary-title&gt;&lt;/titles&gt;&lt;periodical&gt;&lt;full-title&gt;Proc Natl Acad Sci U S A&lt;/full-title&gt;&lt;abbr-1&gt;Proceedings of the National Academy of Sciences of the United States of America&lt;/abbr-1&gt;&lt;/periodical&gt;&lt;pages&gt;1447-51&lt;/pages&gt;&lt;volume&gt;73&lt;/volume&gt;&lt;number&gt;5&lt;/number&gt;&lt;edition&gt;1976/05/01&lt;/edition&gt;&lt;keywords&gt;&lt;keyword&gt;Age Factors&lt;/keyword&gt;&lt;keyword&gt;Amino Acid Sequence&lt;/keyword&gt;&lt;keyword&gt;Animals&lt;/keyword&gt;&lt;keyword&gt;Calcification, Physiologic/drug effects&lt;/keyword&gt;&lt;keyword&gt;Cattle&lt;/keyword&gt;&lt;keyword&gt;Dentin/analysis&lt;/keyword&gt;&lt;keyword&gt;Depression, Chemical&lt;/keyword&gt;&lt;keyword&gt;Female&lt;/keyword&gt;&lt;keyword&gt;Femur/ analysis&lt;/keyword&gt;&lt;keyword&gt;Fishes&lt;/keyword&gt;&lt;keyword&gt;Humans&lt;/keyword&gt;&lt;keyword&gt;Hydroxyapatites/metabolism&lt;/keyword&gt;&lt;keyword&gt;Lipoproteins/ biosynthesis&lt;/keyword&gt;&lt;keyword&gt;Male&lt;/keyword&gt;&lt;keyword&gt;Proteins/ analysis/isolation &amp;amp; purification/metabolism/pharmacology&lt;/keyword&gt;&lt;keyword&gt;Tricarboxylic Acids&lt;/keyword&gt;&lt;keyword&gt;Vitellogenins/ biosynthesis/blood&lt;/keyword&gt;&lt;/keywords&gt;&lt;dates&gt;&lt;year&gt;1976&lt;/year&gt;&lt;pub-dates&gt;&lt;date&gt;May&lt;/date&gt;&lt;/pub-dates&gt;&lt;/dates&gt;&lt;isbn&gt;0027-8424 (Print)&amp;#xD;0027-8424 (Linking)&lt;/isbn&gt;&lt;accession-num&gt;1064018&lt;/accession-num&gt;&lt;urls&gt;&lt;/urls&gt;&lt;custom2&gt;PMC430313&lt;/custom2&gt;&lt;remote-database-provider&gt;NLM&lt;/remote-database-provider&gt;&lt;language&gt;eng&lt;/language&gt;&lt;/record&gt;&lt;/Cite&gt;&lt;/EndNote&gt;</w:instrText>
      </w:r>
      <w:r w:rsidR="002973EE">
        <w:rPr>
          <w:rFonts w:ascii="Arial" w:hAnsi="Arial" w:cs="Arial"/>
        </w:rPr>
        <w:fldChar w:fldCharType="separate"/>
      </w:r>
      <w:r w:rsidR="005A347B">
        <w:rPr>
          <w:rFonts w:ascii="Arial" w:hAnsi="Arial" w:cs="Arial"/>
          <w:noProof/>
        </w:rPr>
        <w:t>(</w:t>
      </w:r>
      <w:hyperlink w:anchor="_ENREF_203" w:tooltip="Price, 1976 #397" w:history="1">
        <w:r w:rsidR="003B725E">
          <w:rPr>
            <w:rFonts w:ascii="Arial" w:hAnsi="Arial" w:cs="Arial"/>
            <w:noProof/>
          </w:rPr>
          <w:t>203</w:t>
        </w:r>
      </w:hyperlink>
      <w:r w:rsidR="005A347B">
        <w:rPr>
          <w:rFonts w:ascii="Arial" w:hAnsi="Arial" w:cs="Arial"/>
          <w:noProof/>
        </w:rPr>
        <w:t>)</w:t>
      </w:r>
      <w:r w:rsidR="002973EE">
        <w:rPr>
          <w:rFonts w:ascii="Arial" w:hAnsi="Arial" w:cs="Arial"/>
        </w:rPr>
        <w:fldChar w:fldCharType="end"/>
      </w:r>
      <w:r w:rsidR="002973EE">
        <w:rPr>
          <w:rFonts w:ascii="Arial" w:hAnsi="Arial" w:cs="Arial"/>
        </w:rPr>
        <w:t xml:space="preserve"> </w:t>
      </w:r>
      <w:r w:rsidR="00CE7614">
        <w:rPr>
          <w:rFonts w:ascii="Arial" w:hAnsi="Arial" w:cs="Arial"/>
        </w:rPr>
        <w:t xml:space="preserve">and secreted in serum </w:t>
      </w:r>
      <w:r w:rsidR="002973EE">
        <w:rPr>
          <w:rFonts w:ascii="Arial" w:hAnsi="Arial" w:cs="Arial"/>
        </w:rPr>
        <w:fldChar w:fldCharType="begin"/>
      </w:r>
      <w:r w:rsidR="005A347B">
        <w:rPr>
          <w:rFonts w:ascii="Arial" w:hAnsi="Arial" w:cs="Arial"/>
        </w:rPr>
        <w:instrText xml:space="preserve"> ADDIN EN.CITE &lt;EndNote&gt;&lt;Cite&gt;&lt;Author&gt;Hauschka&lt;/Author&gt;&lt;Year&gt;1989&lt;/Year&gt;&lt;RecNum&gt;398&lt;/RecNum&gt;&lt;DisplayText&gt;(204)&lt;/DisplayText&gt;&lt;record&gt;&lt;rec-number&gt;398&lt;/rec-number&gt;&lt;foreign-keys&gt;&lt;key app="EN" db-id="p9a5ttsvyvde9me5aw2x05fp5p55axf0wr90" timestamp="1435767716"&gt;398&lt;/key&gt;&lt;/foreign-keys&gt;&lt;ref-type name="Journal Article"&gt;17&lt;/ref-type&gt;&lt;contributors&gt;&lt;authors&gt;&lt;author&gt;Hauschka, P. V.&lt;/author&gt;&lt;author&gt;Wians, F. H., Jr.&lt;/author&gt;&lt;/authors&gt;&lt;/contributors&gt;&lt;auth-address&gt;Harvard School of Dental Medicine, Boston, Massachusetts.&lt;/auth-address&gt;&lt;titles&gt;&lt;title&gt;Osteocalcin-hydroxyapatite interaction in the extracellular organic matrix of bone&lt;/title&gt;&lt;secondary-title&gt;Anat Rec&lt;/secondary-title&gt;&lt;/titles&gt;&lt;periodical&gt;&lt;full-title&gt;Anat Rec&lt;/full-title&gt;&lt;/periodical&gt;&lt;pages&gt;180-8&lt;/pages&gt;&lt;volume&gt;224&lt;/volume&gt;&lt;number&gt;2&lt;/number&gt;&lt;edition&gt;1989/06/01&lt;/edition&gt;&lt;keywords&gt;&lt;keyword&gt;1-Carboxyglutamic Acid/metabolism&lt;/keyword&gt;&lt;keyword&gt;Amino Acid Sequence&lt;/keyword&gt;&lt;keyword&gt;Animals&lt;/keyword&gt;&lt;keyword&gt;Bone Matrix/ metabolism&lt;/keyword&gt;&lt;keyword&gt;Calcium-Binding Proteins/ metabolism&lt;/keyword&gt;&lt;keyword&gt;Durapatite&lt;/keyword&gt;&lt;keyword&gt;Humans&lt;/keyword&gt;&lt;keyword&gt;Hydroxyapatites/ metabolism&lt;/keyword&gt;&lt;keyword&gt;Minerals/metabolism&lt;/keyword&gt;&lt;keyword&gt;Molecular Sequence Data&lt;/keyword&gt;&lt;keyword&gt;Osteocalcin&lt;/keyword&gt;&lt;/keywords&gt;&lt;dates&gt;&lt;year&gt;1989&lt;/year&gt;&lt;pub-dates&gt;&lt;date&gt;Jun&lt;/date&gt;&lt;/pub-dates&gt;&lt;/dates&gt;&lt;isbn&gt;0003-276X (Print)&amp;#xD;0003-276X (Linking)&lt;/isbn&gt;&lt;accession-num&gt;2549810&lt;/accession-num&gt;&lt;urls&gt;&lt;/urls&gt;&lt;electronic-resource-num&gt;10.1002/ar.1092240208&lt;/electronic-resource-num&gt;&lt;remote-database-provider&gt;NLM&lt;/remote-database-provider&gt;&lt;language&gt;eng&lt;/language&gt;&lt;/record&gt;&lt;/Cite&gt;&lt;/EndNote&gt;</w:instrText>
      </w:r>
      <w:r w:rsidR="002973EE">
        <w:rPr>
          <w:rFonts w:ascii="Arial" w:hAnsi="Arial" w:cs="Arial"/>
        </w:rPr>
        <w:fldChar w:fldCharType="separate"/>
      </w:r>
      <w:r w:rsidR="005A347B">
        <w:rPr>
          <w:rFonts w:ascii="Arial" w:hAnsi="Arial" w:cs="Arial"/>
          <w:noProof/>
        </w:rPr>
        <w:t>(</w:t>
      </w:r>
      <w:hyperlink w:anchor="_ENREF_204" w:tooltip="Hauschka, 1989 #398" w:history="1">
        <w:r w:rsidR="003B725E">
          <w:rPr>
            <w:rFonts w:ascii="Arial" w:hAnsi="Arial" w:cs="Arial"/>
            <w:noProof/>
          </w:rPr>
          <w:t>204</w:t>
        </w:r>
      </w:hyperlink>
      <w:r w:rsidR="005A347B">
        <w:rPr>
          <w:rFonts w:ascii="Arial" w:hAnsi="Arial" w:cs="Arial"/>
          <w:noProof/>
        </w:rPr>
        <w:t>)</w:t>
      </w:r>
      <w:r w:rsidR="002973EE">
        <w:rPr>
          <w:rFonts w:ascii="Arial" w:hAnsi="Arial" w:cs="Arial"/>
        </w:rPr>
        <w:fldChar w:fldCharType="end"/>
      </w:r>
      <w:r w:rsidR="002973EE">
        <w:rPr>
          <w:rFonts w:ascii="Arial" w:hAnsi="Arial" w:cs="Arial"/>
        </w:rPr>
        <w:t xml:space="preserve">. </w:t>
      </w:r>
      <w:r w:rsidR="002D3123">
        <w:rPr>
          <w:rFonts w:ascii="Arial" w:hAnsi="Arial" w:cs="Arial"/>
        </w:rPr>
        <w:t xml:space="preserve">The carboxylated osteocalcin has a negatively charged gamma-carboxyglutamic acid group allowing it to bind to the positively charged </w:t>
      </w:r>
      <w:r w:rsidR="00C2259D">
        <w:rPr>
          <w:rFonts w:ascii="Arial" w:hAnsi="Arial" w:cs="Arial"/>
        </w:rPr>
        <w:t>mineral ions such as calcium. This property allows it to therefore to bind to the</w:t>
      </w:r>
      <w:r w:rsidR="00754767">
        <w:rPr>
          <w:rFonts w:ascii="Arial" w:hAnsi="Arial" w:cs="Arial"/>
        </w:rPr>
        <w:t xml:space="preserve"> h</w:t>
      </w:r>
      <w:r w:rsidR="001462B0">
        <w:rPr>
          <w:rFonts w:ascii="Arial" w:hAnsi="Arial" w:cs="Arial"/>
        </w:rPr>
        <w:t>ydroxyapatite in</w:t>
      </w:r>
      <w:r w:rsidR="00BD6A52">
        <w:rPr>
          <w:rFonts w:ascii="Arial" w:hAnsi="Arial" w:cs="Arial"/>
        </w:rPr>
        <w:t xml:space="preserve"> the mineralised bone, </w:t>
      </w:r>
      <w:r w:rsidR="002D3123">
        <w:rPr>
          <w:rFonts w:ascii="Arial" w:hAnsi="Arial" w:cs="Arial"/>
        </w:rPr>
        <w:t>with high affinity.</w:t>
      </w:r>
      <w:r w:rsidR="00E73616">
        <w:rPr>
          <w:rFonts w:ascii="Arial" w:hAnsi="Arial" w:cs="Arial"/>
        </w:rPr>
        <w:t xml:space="preserve"> </w:t>
      </w:r>
      <w:r w:rsidR="00754767">
        <w:rPr>
          <w:rFonts w:ascii="Arial" w:hAnsi="Arial" w:cs="Arial"/>
        </w:rPr>
        <w:t>This process alters the structure of the peptide by forming a compact α-helical globular conformation</w:t>
      </w:r>
      <w:r w:rsidR="002973EE">
        <w:rPr>
          <w:rFonts w:ascii="Arial" w:hAnsi="Arial" w:cs="Arial"/>
        </w:rPr>
        <w:t xml:space="preserve"> </w:t>
      </w:r>
      <w:r w:rsidR="002973EE">
        <w:rPr>
          <w:rFonts w:ascii="Arial" w:hAnsi="Arial" w:cs="Arial"/>
        </w:rPr>
        <w:fldChar w:fldCharType="begin"/>
      </w:r>
      <w:r w:rsidR="005A347B">
        <w:rPr>
          <w:rFonts w:ascii="Arial" w:hAnsi="Arial" w:cs="Arial"/>
        </w:rPr>
        <w:instrText xml:space="preserve"> ADDIN EN.CITE &lt;EndNote&gt;&lt;Cite&gt;&lt;Author&gt;Lombardi&lt;/Author&gt;&lt;Year&gt;2015&lt;/Year&gt;&lt;RecNum&gt;402&lt;/RecNum&gt;&lt;DisplayText&gt;(205)&lt;/DisplayText&gt;&lt;record&gt;&lt;rec-number&gt;402&lt;/rec-number&gt;&lt;foreign-keys&gt;&lt;key app="EN" db-id="p9a5ttsvyvde9me5aw2x05fp5p55axf0wr90" timestamp="1435767950"&gt;402&lt;/key&gt;&lt;/foreign-keys&gt;&lt;ref-type name="Journal Article"&gt;17&lt;/ref-type&gt;&lt;contributors&gt;&lt;authors&gt;&lt;author&gt;Lombardi, G.&lt;/author&gt;&lt;author&gt;Perego, S.&lt;/author&gt;&lt;author&gt;Luzi, L.&lt;/author&gt;&lt;author&gt;Banfi, G.&lt;/author&gt;&lt;/authors&gt;&lt;/contributors&gt;&lt;auth-address&gt;Laboratory of Experimental Biochemistry &amp;amp; Molecular Biology, I.R.C.C.S. Istituto Ortopedico Galeazzi, Via R. Galeazzi 4, 20161, Milan, Italy, giovanni.lombardi@grupposandonato.it.&lt;/auth-address&gt;&lt;titles&gt;&lt;title&gt;A four-season molecule: osteocalcin. Updates in its physiological roles&lt;/title&gt;&lt;secondary-title&gt;Endocrine&lt;/secondary-title&gt;&lt;/titles&gt;&lt;periodical&gt;&lt;full-title&gt;Endocrine&lt;/full-title&gt;&lt;abbr-1&gt;Endocrine&lt;/abbr-1&gt;&lt;/periodical&gt;&lt;pages&gt;394-404&lt;/pages&gt;&lt;volume&gt;48&lt;/volume&gt;&lt;number&gt;2&lt;/number&gt;&lt;edition&gt;2014/08/28&lt;/edition&gt;&lt;dates&gt;&lt;year&gt;2015&lt;/year&gt;&lt;pub-dates&gt;&lt;date&gt;Mar&lt;/date&gt;&lt;/pub-dates&gt;&lt;/dates&gt;&lt;isbn&gt;1559-0100 (Electronic)&amp;#xD;1355-008X (Linking)&lt;/isbn&gt;&lt;accession-num&gt;25158976&lt;/accession-num&gt;&lt;urls&gt;&lt;/urls&gt;&lt;electronic-resource-num&gt;10.1007/s12020-014-0401-0&lt;/electronic-resource-num&gt;&lt;remote-database-provider&gt;NLM&lt;/remote-database-provider&gt;&lt;language&gt;eng&lt;/language&gt;&lt;/record&gt;&lt;/Cite&gt;&lt;/EndNote&gt;</w:instrText>
      </w:r>
      <w:r w:rsidR="002973EE">
        <w:rPr>
          <w:rFonts w:ascii="Arial" w:hAnsi="Arial" w:cs="Arial"/>
        </w:rPr>
        <w:fldChar w:fldCharType="separate"/>
      </w:r>
      <w:r w:rsidR="005A347B">
        <w:rPr>
          <w:rFonts w:ascii="Arial" w:hAnsi="Arial" w:cs="Arial"/>
          <w:noProof/>
        </w:rPr>
        <w:t>(</w:t>
      </w:r>
      <w:hyperlink w:anchor="_ENREF_205" w:tooltip="Lombardi, 2015 #402" w:history="1">
        <w:r w:rsidR="003B725E">
          <w:rPr>
            <w:rFonts w:ascii="Arial" w:hAnsi="Arial" w:cs="Arial"/>
            <w:noProof/>
          </w:rPr>
          <w:t>205</w:t>
        </w:r>
      </w:hyperlink>
      <w:r w:rsidR="005A347B">
        <w:rPr>
          <w:rFonts w:ascii="Arial" w:hAnsi="Arial" w:cs="Arial"/>
          <w:noProof/>
        </w:rPr>
        <w:t>)</w:t>
      </w:r>
      <w:r w:rsidR="002973EE">
        <w:rPr>
          <w:rFonts w:ascii="Arial" w:hAnsi="Arial" w:cs="Arial"/>
        </w:rPr>
        <w:fldChar w:fldCharType="end"/>
      </w:r>
      <w:r w:rsidR="00754767">
        <w:rPr>
          <w:rFonts w:ascii="Arial" w:hAnsi="Arial" w:cs="Arial"/>
        </w:rPr>
        <w:t>.</w:t>
      </w:r>
    </w:p>
    <w:p w:rsidR="003E57C7" w:rsidRDefault="00A533B9" w:rsidP="003B725E">
      <w:pPr>
        <w:spacing w:before="240" w:line="360" w:lineRule="auto"/>
        <w:jc w:val="both"/>
        <w:rPr>
          <w:rFonts w:ascii="Arial" w:hAnsi="Arial" w:cs="Arial"/>
        </w:rPr>
      </w:pPr>
      <w:r>
        <w:rPr>
          <w:rFonts w:ascii="Arial" w:hAnsi="Arial" w:cs="Arial"/>
        </w:rPr>
        <w:t xml:space="preserve">Undercarboxylated </w:t>
      </w:r>
      <w:r w:rsidR="000726D7" w:rsidRPr="0078494F">
        <w:rPr>
          <w:rFonts w:ascii="Arial" w:hAnsi="Arial" w:cs="Arial"/>
        </w:rPr>
        <w:t>osteocalcin</w:t>
      </w:r>
      <w:r>
        <w:rPr>
          <w:rFonts w:ascii="Arial" w:hAnsi="Arial" w:cs="Arial"/>
        </w:rPr>
        <w:t xml:space="preserve"> has a role</w:t>
      </w:r>
      <w:r w:rsidR="000726D7" w:rsidRPr="0078494F">
        <w:rPr>
          <w:rFonts w:ascii="Arial" w:hAnsi="Arial" w:cs="Arial"/>
        </w:rPr>
        <w:t xml:space="preserve"> </w:t>
      </w:r>
      <w:r>
        <w:rPr>
          <w:rFonts w:ascii="Arial" w:hAnsi="Arial" w:cs="Arial"/>
        </w:rPr>
        <w:t>in energy metabolism, i</w:t>
      </w:r>
      <w:r w:rsidR="00303D5E" w:rsidRPr="0078494F">
        <w:rPr>
          <w:rFonts w:ascii="Arial" w:hAnsi="Arial" w:cs="Arial"/>
        </w:rPr>
        <w:t xml:space="preserve">n particular it appears to act as a hormone in regulating such pathways </w:t>
      </w:r>
      <w:r w:rsidR="002D7C96">
        <w:rPr>
          <w:rFonts w:ascii="Arial" w:hAnsi="Arial" w:cs="Arial"/>
        </w:rPr>
        <w:fldChar w:fldCharType="begin"/>
      </w:r>
      <w:r w:rsidR="005A347B">
        <w:rPr>
          <w:rFonts w:ascii="Arial" w:hAnsi="Arial" w:cs="Arial"/>
        </w:rPr>
        <w:instrText xml:space="preserve"> ADDIN EN.CITE &lt;EndNote&gt;&lt;Cite&gt;&lt;Author&gt;Vella&lt;/Author&gt;&lt;Year&gt;2013&lt;/Year&gt;&lt;RecNum&gt;391&lt;/RecNum&gt;&lt;DisplayText&gt;(206)&lt;/DisplayText&gt;&lt;record&gt;&lt;rec-number&gt;391&lt;/rec-number&gt;&lt;foreign-keys&gt;&lt;key app="EN" db-id="p9a5ttsvyvde9me5aw2x05fp5p55axf0wr90" timestamp="1435766323"&gt;391&lt;/key&gt;&lt;/foreign-keys&gt;&lt;ref-type name="Journal Article"&gt;17&lt;/ref-type&gt;&lt;contributors&gt;&lt;authors&gt;&lt;author&gt;Vella, A.&lt;/author&gt;&lt;author&gt;Kumar, R.&lt;/author&gt;&lt;/authors&gt;&lt;/contributors&gt;&lt;titles&gt;&lt;title&gt;Osteocalcin and the Regulation of Glucose Metabolism&lt;/title&gt;&lt;secondary-title&gt;Clin Rev Bone Miner Metab&lt;/secondary-title&gt;&lt;/titles&gt;&lt;periodical&gt;&lt;full-title&gt;Clin Rev Bone Miner Metab&lt;/full-title&gt;&lt;/periodical&gt;&lt;pages&gt;11-16&lt;/pages&gt;&lt;volume&gt;11&lt;/volume&gt;&lt;number&gt;1&lt;/number&gt;&lt;edition&gt;2013/03/01&lt;/edition&gt;&lt;keywords&gt;&lt;keyword&gt;Adiponectin&lt;/keyword&gt;&lt;keyword&gt;Glucose&lt;/keyword&gt;&lt;keyword&gt;Insulin&lt;/keyword&gt;&lt;keyword&gt;Osteocalcin&lt;/keyword&gt;&lt;keyword&gt;Undercarboxylated osteocalcin&lt;/keyword&gt;&lt;/keywords&gt;&lt;dates&gt;&lt;year&gt;2013&lt;/year&gt;&lt;pub-dates&gt;&lt;date&gt;Mar&lt;/date&gt;&lt;/pub-dates&gt;&lt;/dates&gt;&lt;isbn&gt;1534-8644 (Print)&amp;#xD;1534-8644 (Linking)&lt;/isbn&gt;&lt;accession-num&gt;26109922&lt;/accession-num&gt;&lt;urls&gt;&lt;/urls&gt;&lt;custom2&gt;PMC4476242&lt;/custom2&gt;&lt;custom6&gt;Nihms699860&lt;/custom6&gt;&lt;electronic-resource-num&gt;10.1007/s12018-012-9126-x&lt;/electronic-resource-num&gt;&lt;remote-database-provider&gt;NLM&lt;/remote-database-provider&gt;&lt;language&gt;Eng&lt;/language&gt;&lt;/record&gt;&lt;/Cite&gt;&lt;/EndNote&gt;</w:instrText>
      </w:r>
      <w:r w:rsidR="002D7C96">
        <w:rPr>
          <w:rFonts w:ascii="Arial" w:hAnsi="Arial" w:cs="Arial"/>
        </w:rPr>
        <w:fldChar w:fldCharType="separate"/>
      </w:r>
      <w:r w:rsidR="005A347B">
        <w:rPr>
          <w:rFonts w:ascii="Arial" w:hAnsi="Arial" w:cs="Arial"/>
          <w:noProof/>
        </w:rPr>
        <w:t>(</w:t>
      </w:r>
      <w:hyperlink w:anchor="_ENREF_206" w:tooltip="Vella, 2013 #391" w:history="1">
        <w:r w:rsidR="003B725E">
          <w:rPr>
            <w:rFonts w:ascii="Arial" w:hAnsi="Arial" w:cs="Arial"/>
            <w:noProof/>
          </w:rPr>
          <w:t>206</w:t>
        </w:r>
      </w:hyperlink>
      <w:r w:rsidR="005A347B">
        <w:rPr>
          <w:rFonts w:ascii="Arial" w:hAnsi="Arial" w:cs="Arial"/>
          <w:noProof/>
        </w:rPr>
        <w:t>)</w:t>
      </w:r>
      <w:r w:rsidR="002D7C96">
        <w:rPr>
          <w:rFonts w:ascii="Arial" w:hAnsi="Arial" w:cs="Arial"/>
        </w:rPr>
        <w:fldChar w:fldCharType="end"/>
      </w:r>
      <w:r w:rsidR="00303D5E" w:rsidRPr="0078494F">
        <w:rPr>
          <w:rFonts w:ascii="Arial" w:hAnsi="Arial" w:cs="Arial"/>
        </w:rPr>
        <w:t>.</w:t>
      </w:r>
      <w:r w:rsidR="008E761B">
        <w:rPr>
          <w:rFonts w:ascii="Arial" w:hAnsi="Arial" w:cs="Arial"/>
        </w:rPr>
        <w:t xml:space="preserve"> This may be due to a defect in the gammacarboxylation of pro-osteocalcin during its synthesis </w:t>
      </w:r>
      <w:r w:rsidR="008E761B">
        <w:rPr>
          <w:rFonts w:ascii="Arial" w:hAnsi="Arial" w:cs="Arial"/>
        </w:rPr>
        <w:fldChar w:fldCharType="begin"/>
      </w:r>
      <w:r w:rsidR="008E761B">
        <w:rPr>
          <w:rFonts w:ascii="Arial" w:hAnsi="Arial" w:cs="Arial"/>
        </w:rPr>
        <w:instrText xml:space="preserve"> ADDIN EN.CITE &lt;EndNote&gt;&lt;Cite&gt;&lt;Author&gt;Price&lt;/Author&gt;&lt;Year&gt;1981&lt;/Year&gt;&lt;RecNum&gt;595&lt;/RecNum&gt;&lt;DisplayText&gt;(207)&lt;/DisplayText&gt;&lt;record&gt;&lt;rec-number&gt;595&lt;/rec-number&gt;&lt;foreign-keys&gt;&lt;key app="EN" db-id="p9a5ttsvyvde9me5aw2x05fp5p55axf0wr90" timestamp="1488448009"&gt;595&lt;/key&gt;&lt;/foreign-keys&gt;&lt;ref-type name="Journal Article"&gt;17&lt;/ref-type&gt;&lt;contributors&gt;&lt;authors&gt;&lt;author&gt;Price, P. A.&lt;/author&gt;&lt;author&gt;Williamson, M. K.&lt;/author&gt;&lt;author&gt;Lothringer, J. W.&lt;/author&gt;&lt;/authors&gt;&lt;/contributors&gt;&lt;titles&gt;&lt;title&gt;Origin of the vitamin K-dependent bone protein found in plasma and its clearance by kidney and bone&lt;/title&gt;&lt;secondary-title&gt;J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chemistry&lt;/abbr-1&gt;&lt;/alt-periodical&gt;&lt;pages&gt;12760-6&lt;/pages&gt;&lt;volume&gt;256&lt;/volume&gt;&lt;number&gt;24&lt;/number&gt;&lt;edition&gt;1981/12/25&lt;/edition&gt;&lt;keywords&gt;&lt;keyword&gt;Animals&lt;/keyword&gt;&lt;keyword&gt;Bone and Bones/*metabolism&lt;/keyword&gt;&lt;keyword&gt;Calcium-Binding Proteins/*biosynthesis/blood&lt;/keyword&gt;&lt;keyword&gt;Hydroxyapatites&lt;/keyword&gt;&lt;keyword&gt;Kidney/*metabolism&lt;/keyword&gt;&lt;keyword&gt;Kinetics&lt;/keyword&gt;&lt;keyword&gt;Osteocalcin&lt;/keyword&gt;&lt;keyword&gt;Protein Binding&lt;/keyword&gt;&lt;keyword&gt;Rats&lt;/keyword&gt;&lt;keyword&gt;Rats, Inbred Strains&lt;/keyword&gt;&lt;keyword&gt;Tissue Distribution&lt;/keyword&gt;&lt;keyword&gt;Warfarin/pharmacology&lt;/keyword&gt;&lt;/keywords&gt;&lt;dates&gt;&lt;year&gt;1981&lt;/year&gt;&lt;pub-dates&gt;&lt;date&gt;Dec 25&lt;/date&gt;&lt;/pub-dates&gt;&lt;/dates&gt;&lt;isbn&gt;0021-9258 (Print)&amp;#xD;0021-9258&lt;/isbn&gt;&lt;accession-num&gt;6975778&lt;/accession-num&gt;&lt;urls&gt;&lt;/urls&gt;&lt;remote-database-provider&gt;NLM&lt;/remote-database-provider&gt;&lt;language&gt;eng&lt;/language&gt;&lt;/record&gt;&lt;/Cite&gt;&lt;/EndNote&gt;</w:instrText>
      </w:r>
      <w:r w:rsidR="008E761B">
        <w:rPr>
          <w:rFonts w:ascii="Arial" w:hAnsi="Arial" w:cs="Arial"/>
        </w:rPr>
        <w:fldChar w:fldCharType="separate"/>
      </w:r>
      <w:r w:rsidR="008E761B">
        <w:rPr>
          <w:rFonts w:ascii="Arial" w:hAnsi="Arial" w:cs="Arial"/>
          <w:noProof/>
        </w:rPr>
        <w:t>(</w:t>
      </w:r>
      <w:hyperlink w:anchor="_ENREF_207" w:tooltip="Price, 1981 #595" w:history="1">
        <w:r w:rsidR="003B725E">
          <w:rPr>
            <w:rFonts w:ascii="Arial" w:hAnsi="Arial" w:cs="Arial"/>
            <w:noProof/>
          </w:rPr>
          <w:t>207</w:t>
        </w:r>
      </w:hyperlink>
      <w:r w:rsidR="008E761B">
        <w:rPr>
          <w:rFonts w:ascii="Arial" w:hAnsi="Arial" w:cs="Arial"/>
          <w:noProof/>
        </w:rPr>
        <w:t>)</w:t>
      </w:r>
      <w:r w:rsidR="008E761B">
        <w:rPr>
          <w:rFonts w:ascii="Arial" w:hAnsi="Arial" w:cs="Arial"/>
        </w:rPr>
        <w:fldChar w:fldCharType="end"/>
      </w:r>
      <w:r w:rsidR="00303D5E" w:rsidRPr="0078494F">
        <w:rPr>
          <w:rFonts w:ascii="Arial" w:hAnsi="Arial" w:cs="Arial"/>
        </w:rPr>
        <w:t xml:space="preserve"> </w:t>
      </w:r>
      <w:r w:rsidR="00390F62" w:rsidRPr="0078494F">
        <w:rPr>
          <w:rFonts w:ascii="Arial" w:hAnsi="Arial" w:cs="Arial"/>
        </w:rPr>
        <w:t xml:space="preserve">In vitro studies </w:t>
      </w:r>
      <w:r w:rsidR="00303D5E" w:rsidRPr="0078494F">
        <w:rPr>
          <w:rFonts w:ascii="Arial" w:hAnsi="Arial" w:cs="Arial"/>
        </w:rPr>
        <w:t>for example have demonstrated a</w:t>
      </w:r>
      <w:r w:rsidR="00CE6659" w:rsidRPr="0078494F">
        <w:rPr>
          <w:rFonts w:ascii="Arial" w:hAnsi="Arial" w:cs="Arial"/>
        </w:rPr>
        <w:t xml:space="preserve"> negative association between leptin and bone mass </w:t>
      </w:r>
      <w:r w:rsidR="002D7C96">
        <w:rPr>
          <w:rFonts w:ascii="Arial" w:hAnsi="Arial" w:cs="Arial"/>
        </w:rPr>
        <w:fldChar w:fldCharType="begin">
          <w:fldData xml:space="preserve">PEVuZE5vdGU+PENpdGU+PEF1dGhvcj5DZW50aTwvQXV0aG9yPjxZZWFyPjIwMTU8L1llYXI+PFJl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PEVuZE5vdGU+PENpdGU+PEF1dGhvcj5DZW50aTwvQXV0aG9yPjxZZWFyPjIwMTU8L1llYXI+PFJl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2D7C96">
        <w:rPr>
          <w:rFonts w:ascii="Arial" w:hAnsi="Arial" w:cs="Arial"/>
        </w:rPr>
      </w:r>
      <w:r w:rsidR="002D7C96">
        <w:rPr>
          <w:rFonts w:ascii="Arial" w:hAnsi="Arial" w:cs="Arial"/>
        </w:rPr>
        <w:fldChar w:fldCharType="separate"/>
      </w:r>
      <w:r w:rsidR="008E761B">
        <w:rPr>
          <w:rFonts w:ascii="Arial" w:hAnsi="Arial" w:cs="Arial"/>
          <w:noProof/>
        </w:rPr>
        <w:t>(</w:t>
      </w:r>
      <w:hyperlink w:anchor="_ENREF_208" w:tooltip="Centi, 2015 #392" w:history="1">
        <w:r w:rsidR="003B725E">
          <w:rPr>
            <w:rFonts w:ascii="Arial" w:hAnsi="Arial" w:cs="Arial"/>
            <w:noProof/>
          </w:rPr>
          <w:t>208</w:t>
        </w:r>
      </w:hyperlink>
      <w:r w:rsidR="008E761B">
        <w:rPr>
          <w:rFonts w:ascii="Arial" w:hAnsi="Arial" w:cs="Arial"/>
          <w:noProof/>
        </w:rPr>
        <w:t xml:space="preserve">, </w:t>
      </w:r>
      <w:hyperlink w:anchor="_ENREF_209" w:tooltip="Yadav, 2009 #393" w:history="1">
        <w:r w:rsidR="003B725E">
          <w:rPr>
            <w:rFonts w:ascii="Arial" w:hAnsi="Arial" w:cs="Arial"/>
            <w:noProof/>
          </w:rPr>
          <w:t>209</w:t>
        </w:r>
      </w:hyperlink>
      <w:r w:rsidR="008E761B">
        <w:rPr>
          <w:rFonts w:ascii="Arial" w:hAnsi="Arial" w:cs="Arial"/>
          <w:noProof/>
        </w:rPr>
        <w:t>)</w:t>
      </w:r>
      <w:r w:rsidR="002D7C96">
        <w:rPr>
          <w:rFonts w:ascii="Arial" w:hAnsi="Arial" w:cs="Arial"/>
        </w:rPr>
        <w:fldChar w:fldCharType="end"/>
      </w:r>
      <w:r w:rsidR="002908CB" w:rsidRPr="0078494F">
        <w:rPr>
          <w:rFonts w:ascii="Arial" w:hAnsi="Arial" w:cs="Arial"/>
        </w:rPr>
        <w:t>. In humans levels of circulating osteocalcin are negatively correlated with BMI, fat mass, glucose levels, insulin and insulin resistance</w:t>
      </w:r>
      <w:r w:rsidR="00E77FBD">
        <w:rPr>
          <w:rFonts w:ascii="Arial" w:hAnsi="Arial" w:cs="Arial"/>
        </w:rPr>
        <w:t xml:space="preserve"> </w:t>
      </w:r>
      <w:r w:rsidR="00E77FBD">
        <w:rPr>
          <w:rFonts w:ascii="Arial" w:hAnsi="Arial" w:cs="Arial"/>
        </w:rPr>
        <w:fldChar w:fldCharType="begin">
          <w:fldData xml:space="preserve">PEVuZE5vdGU+PENpdGU+PEF1dGhvcj5QaXR0YXM8L0F1dGhvcj48WWVhcj4yMDA5PC9ZZWFyPjxS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PEVuZE5vdGU+PENpdGU+PEF1dGhvcj5QaXR0YXM8L0F1dGhvcj48WWVhcj4yMDA5PC9ZZWFyPjxS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E77FBD">
        <w:rPr>
          <w:rFonts w:ascii="Arial" w:hAnsi="Arial" w:cs="Arial"/>
        </w:rPr>
      </w:r>
      <w:r w:rsidR="00E77FBD">
        <w:rPr>
          <w:rFonts w:ascii="Arial" w:hAnsi="Arial" w:cs="Arial"/>
        </w:rPr>
        <w:fldChar w:fldCharType="separate"/>
      </w:r>
      <w:r w:rsidR="008E761B">
        <w:rPr>
          <w:rFonts w:ascii="Arial" w:hAnsi="Arial" w:cs="Arial"/>
          <w:noProof/>
        </w:rPr>
        <w:t>(</w:t>
      </w:r>
      <w:hyperlink w:anchor="_ENREF_210" w:tooltip="Pittas, 2009 #394" w:history="1">
        <w:r w:rsidR="003B725E">
          <w:rPr>
            <w:rFonts w:ascii="Arial" w:hAnsi="Arial" w:cs="Arial"/>
            <w:noProof/>
          </w:rPr>
          <w:t>210-212</w:t>
        </w:r>
      </w:hyperlink>
      <w:r w:rsidR="008E761B">
        <w:rPr>
          <w:rFonts w:ascii="Arial" w:hAnsi="Arial" w:cs="Arial"/>
          <w:noProof/>
        </w:rPr>
        <w:t>)</w:t>
      </w:r>
      <w:r w:rsidR="00E77FBD">
        <w:rPr>
          <w:rFonts w:ascii="Arial" w:hAnsi="Arial" w:cs="Arial"/>
        </w:rPr>
        <w:fldChar w:fldCharType="end"/>
      </w:r>
      <w:r w:rsidR="002973EE">
        <w:rPr>
          <w:rFonts w:ascii="Arial" w:hAnsi="Arial" w:cs="Arial"/>
        </w:rPr>
        <w:t>.</w:t>
      </w:r>
    </w:p>
    <w:p w:rsidR="00BD18FE" w:rsidRDefault="00BD18FE" w:rsidP="003E6719">
      <w:pPr>
        <w:pStyle w:val="Heading5"/>
        <w:jc w:val="both"/>
      </w:pPr>
      <w:r>
        <w:t>Bone alkaline phosphatase (bone ALP)</w:t>
      </w:r>
    </w:p>
    <w:p w:rsidR="007D504C" w:rsidRDefault="0045250C" w:rsidP="003B725E">
      <w:pPr>
        <w:spacing w:line="360" w:lineRule="auto"/>
        <w:jc w:val="both"/>
        <w:rPr>
          <w:rFonts w:ascii="Arial" w:hAnsi="Arial" w:cs="Arial"/>
        </w:rPr>
      </w:pPr>
      <w:r>
        <w:rPr>
          <w:rFonts w:ascii="Arial" w:hAnsi="Arial" w:cs="Arial"/>
        </w:rPr>
        <w:t>Alkaline phosphatase</w:t>
      </w:r>
      <w:r w:rsidR="000D0536">
        <w:rPr>
          <w:rFonts w:ascii="Arial" w:hAnsi="Arial" w:cs="Arial"/>
        </w:rPr>
        <w:t xml:space="preserve"> (ALP)</w:t>
      </w:r>
      <w:r>
        <w:rPr>
          <w:rFonts w:ascii="Arial" w:hAnsi="Arial" w:cs="Arial"/>
        </w:rPr>
        <w:t xml:space="preserve"> is a group of membrane-bound </w:t>
      </w:r>
      <w:r w:rsidR="008909D2">
        <w:rPr>
          <w:rFonts w:ascii="Arial" w:hAnsi="Arial" w:cs="Arial"/>
        </w:rPr>
        <w:t xml:space="preserve">glycoprotein </w:t>
      </w:r>
      <w:r>
        <w:rPr>
          <w:rFonts w:ascii="Arial" w:hAnsi="Arial" w:cs="Arial"/>
        </w:rPr>
        <w:t>enzymes</w:t>
      </w:r>
      <w:r w:rsidR="0044320E" w:rsidRPr="0060488C">
        <w:rPr>
          <w:rFonts w:ascii="Arial" w:hAnsi="Arial" w:cs="Arial"/>
        </w:rPr>
        <w:t xml:space="preserve"> expressed by most organisms.</w:t>
      </w:r>
      <w:r w:rsidR="006A6CEB" w:rsidRPr="0060488C">
        <w:rPr>
          <w:rFonts w:ascii="Arial" w:hAnsi="Arial" w:cs="Arial"/>
        </w:rPr>
        <w:t xml:space="preserve"> </w:t>
      </w:r>
      <w:r>
        <w:rPr>
          <w:rFonts w:ascii="Arial" w:hAnsi="Arial" w:cs="Arial"/>
        </w:rPr>
        <w:t xml:space="preserve">Their function is to catalyse the hydrolysis of monophosphate esters. </w:t>
      </w:r>
      <w:r w:rsidR="0044320E" w:rsidRPr="0060488C">
        <w:rPr>
          <w:rFonts w:ascii="Arial" w:hAnsi="Arial" w:cs="Arial"/>
        </w:rPr>
        <w:t>In humans there are four forms of this enzyme each having similar catalytic properties</w:t>
      </w:r>
      <w:r w:rsidR="00985D0F" w:rsidRPr="0060488C">
        <w:rPr>
          <w:rFonts w:ascii="Arial" w:hAnsi="Arial" w:cs="Arial"/>
        </w:rPr>
        <w:t xml:space="preserve"> </w:t>
      </w:r>
      <w:r w:rsidR="00985D0F" w:rsidRPr="0060488C">
        <w:rPr>
          <w:rFonts w:ascii="Arial" w:hAnsi="Arial" w:cs="Arial"/>
        </w:rPr>
        <w:fldChar w:fldCharType="begin">
          <w:fldData xml:space="preserve">PEVuZE5vdGU+PENpdGU+PEF1dGhvcj5MZSBEdTwvQXV0aG9yPjxZZWFyPjIwMDE8L1llYXI+PFJl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Z2VzPjkxNTgtNjU8L3BhZ2VzPjx2b2x1bWU+Mjc2PC92b2x1bWU+PG51bWJlcj4xMjwvbnVtYmVy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PEVuZE5vdGU+PENpdGU+PEF1dGhvcj5MZSBEdTwvQXV0aG9yPjxZZWFyPjIwMDE8L1llYXI+PFJl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Z2VzPjkxNTgtNjU8L3BhZ2VzPjx2b2x1bWU+Mjc2PC92b2x1bWU+PG51bWJlcj4xMjwvbnVtYmVy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985D0F" w:rsidRPr="0060488C">
        <w:rPr>
          <w:rFonts w:ascii="Arial" w:hAnsi="Arial" w:cs="Arial"/>
        </w:rPr>
      </w:r>
      <w:r w:rsidR="00985D0F" w:rsidRPr="0060488C">
        <w:rPr>
          <w:rFonts w:ascii="Arial" w:hAnsi="Arial" w:cs="Arial"/>
        </w:rPr>
        <w:fldChar w:fldCharType="separate"/>
      </w:r>
      <w:r w:rsidR="008E761B">
        <w:rPr>
          <w:rFonts w:ascii="Arial" w:hAnsi="Arial" w:cs="Arial"/>
          <w:noProof/>
        </w:rPr>
        <w:t>(</w:t>
      </w:r>
      <w:hyperlink w:anchor="_ENREF_213" w:tooltip="Le Du, 2001 #244" w:history="1">
        <w:r w:rsidR="003B725E">
          <w:rPr>
            <w:rFonts w:ascii="Arial" w:hAnsi="Arial" w:cs="Arial"/>
            <w:noProof/>
          </w:rPr>
          <w:t>213</w:t>
        </w:r>
      </w:hyperlink>
      <w:r w:rsidR="008E761B">
        <w:rPr>
          <w:rFonts w:ascii="Arial" w:hAnsi="Arial" w:cs="Arial"/>
          <w:noProof/>
        </w:rPr>
        <w:t>)</w:t>
      </w:r>
      <w:r w:rsidR="00985D0F" w:rsidRPr="0060488C">
        <w:rPr>
          <w:rFonts w:ascii="Arial" w:hAnsi="Arial" w:cs="Arial"/>
        </w:rPr>
        <w:fldChar w:fldCharType="end"/>
      </w:r>
      <w:r w:rsidR="00985D0F" w:rsidRPr="0060488C">
        <w:rPr>
          <w:rFonts w:ascii="Arial" w:hAnsi="Arial" w:cs="Arial"/>
        </w:rPr>
        <w:t xml:space="preserve">. These four isoenzymes of </w:t>
      </w:r>
      <w:r w:rsidR="006A6CEB" w:rsidRPr="0060488C">
        <w:rPr>
          <w:rFonts w:ascii="Arial" w:hAnsi="Arial" w:cs="Arial"/>
        </w:rPr>
        <w:t xml:space="preserve">total </w:t>
      </w:r>
      <w:r w:rsidR="00985D0F" w:rsidRPr="0060488C">
        <w:rPr>
          <w:rFonts w:ascii="Arial" w:hAnsi="Arial" w:cs="Arial"/>
        </w:rPr>
        <w:t>alkaline pho</w:t>
      </w:r>
      <w:r>
        <w:rPr>
          <w:rFonts w:ascii="Arial" w:hAnsi="Arial" w:cs="Arial"/>
        </w:rPr>
        <w:t xml:space="preserve">sphatase are encoded </w:t>
      </w:r>
      <w:r w:rsidR="00985D0F" w:rsidRPr="0060488C">
        <w:rPr>
          <w:rFonts w:ascii="Arial" w:hAnsi="Arial" w:cs="Arial"/>
        </w:rPr>
        <w:t>by four different genes,</w:t>
      </w:r>
      <w:r w:rsidR="006A67A1" w:rsidRPr="0060488C">
        <w:rPr>
          <w:rFonts w:ascii="Arial" w:hAnsi="Arial" w:cs="Arial"/>
        </w:rPr>
        <w:t xml:space="preserve"> in different tissues types each with</w:t>
      </w:r>
      <w:r w:rsidR="00985D0F" w:rsidRPr="0060488C">
        <w:rPr>
          <w:rFonts w:ascii="Arial" w:hAnsi="Arial" w:cs="Arial"/>
        </w:rPr>
        <w:t xml:space="preserve"> specific physiological functions. Three of the isoenzymes are tissues specific</w:t>
      </w:r>
      <w:r w:rsidR="003F0234" w:rsidRPr="0060488C">
        <w:rPr>
          <w:rFonts w:ascii="Arial" w:hAnsi="Arial" w:cs="Arial"/>
        </w:rPr>
        <w:t xml:space="preserve"> and are expressed </w:t>
      </w:r>
      <w:r w:rsidR="003F0234" w:rsidRPr="0060488C">
        <w:rPr>
          <w:rFonts w:ascii="Arial" w:hAnsi="Arial" w:cs="Arial"/>
        </w:rPr>
        <w:lastRenderedPageBreak/>
        <w:t>in the intestines</w:t>
      </w:r>
      <w:r>
        <w:rPr>
          <w:rFonts w:ascii="Arial" w:hAnsi="Arial" w:cs="Arial"/>
        </w:rPr>
        <w:t xml:space="preserve"> (ALPP gene)</w:t>
      </w:r>
      <w:r w:rsidR="003F0234" w:rsidRPr="0060488C">
        <w:rPr>
          <w:rFonts w:ascii="Arial" w:hAnsi="Arial" w:cs="Arial"/>
        </w:rPr>
        <w:t>, placenta</w:t>
      </w:r>
      <w:r>
        <w:rPr>
          <w:rFonts w:ascii="Arial" w:hAnsi="Arial" w:cs="Arial"/>
        </w:rPr>
        <w:t xml:space="preserve"> (ALPP gene)</w:t>
      </w:r>
      <w:r w:rsidR="003F0234" w:rsidRPr="0060488C">
        <w:rPr>
          <w:rFonts w:ascii="Arial" w:hAnsi="Arial" w:cs="Arial"/>
        </w:rPr>
        <w:t xml:space="preserve"> and germ cells</w:t>
      </w:r>
      <w:r w:rsidR="00432F4C" w:rsidRPr="0060488C">
        <w:rPr>
          <w:rFonts w:ascii="Arial" w:hAnsi="Arial" w:cs="Arial"/>
        </w:rPr>
        <w:t xml:space="preserve"> </w:t>
      </w:r>
      <w:r>
        <w:rPr>
          <w:rFonts w:ascii="Arial" w:hAnsi="Arial" w:cs="Arial"/>
        </w:rPr>
        <w:t xml:space="preserve">(ALPPL2 gene) </w:t>
      </w:r>
      <w:r w:rsidR="00432F4C" w:rsidRPr="0060488C">
        <w:rPr>
          <w:rFonts w:ascii="Arial" w:hAnsi="Arial" w:cs="Arial"/>
        </w:rPr>
        <w:fldChar w:fldCharType="begin"/>
      </w:r>
      <w:r w:rsidR="008E761B">
        <w:rPr>
          <w:rFonts w:ascii="Arial" w:hAnsi="Arial" w:cs="Arial"/>
        </w:rPr>
        <w:instrText xml:space="preserve"> ADDIN EN.CITE &lt;EndNote&gt;&lt;Cite&gt;&lt;Author&gt;Stefkova&lt;/Author&gt;&lt;Year&gt;2015&lt;/Year&gt;&lt;RecNum&gt;245&lt;/RecNum&gt;&lt;DisplayText&gt;(214)&lt;/DisplayText&gt;&lt;record&gt;&lt;rec-number&gt;245&lt;/rec-number&gt;&lt;foreign-keys&gt;&lt;key app="EN" db-id="p9a5ttsvyvde9me5aw2x05fp5p55axf0wr90" timestamp="1426852100"&gt;245&lt;/key&gt;&lt;/foreign-keys&gt;&lt;ref-type name="Journal Article"&gt;17&lt;/ref-type&gt;&lt;contributors&gt;&lt;authors&gt;&lt;author&gt;Stefkova, K.&lt;/author&gt;&lt;author&gt;Prochazkova, J.&lt;/author&gt;&lt;author&gt;Pachernik, J.&lt;/author&gt;&lt;/authors&gt;&lt;/contributors&gt;&lt;auth-address&gt;Institute of Experimental Biology, Faculty of Science, Masaryk University, Kotlarska 2, 611 37 Brno, Czech Republic.&amp;#xD;Institute of Biophysics, Academy of Sciences of the Czech Republic, v.v.i., Kralovopolska 135, 612 65 Brno, Czech Republic ; Department of Histology and Embryology, Faculty of Medicine, Masaryk University, Kamenice 5, 625 00 Brno, Czech Republic.&amp;#xD;Institute of Experimental Biology, Faculty of Science, Masaryk University, Kotlarska 2, 611 37 Brno, Czech Republic ; International Clinical Research Center, Center of Biomolecular and Cellular Engineering, St. Anne&amp;apos;s University Hospital Brno, Pekarska 53, 656 91 Brno, Czech Republic.&lt;/auth-address&gt;&lt;titles&gt;&lt;title&gt;Alkaline phosphatase in stem cells&lt;/title&gt;&lt;secondary-title&gt;Stem Cells Int&lt;/secondary-title&gt;&lt;alt-title&gt;Stem cells international&lt;/alt-title&gt;&lt;/titles&gt;&lt;periodical&gt;&lt;full-title&gt;Stem Cells Int&lt;/full-title&gt;&lt;abbr-1&gt;Stem cells international&lt;/abbr-1&gt;&lt;/periodical&gt;&lt;alt-periodical&gt;&lt;full-title&gt;Stem Cells Int&lt;/full-title&gt;&lt;abbr-1&gt;Stem cells international&lt;/abbr-1&gt;&lt;/alt-periodical&gt;&lt;pages&gt;628368&lt;/pages&gt;&lt;volume&gt;2015&lt;/volume&gt;&lt;edition&gt;2015/03/15&lt;/edition&gt;&lt;dates&gt;&lt;year&gt;2015&lt;/year&gt;&lt;/dates&gt;&lt;isbn&gt;1687-966X (Print)&lt;/isbn&gt;&lt;accession-num&gt;25767512&lt;/accession-num&gt;&lt;urls&gt;&lt;/urls&gt;&lt;custom2&gt;Pmc4342173&lt;/custom2&gt;&lt;electronic-resource-num&gt;10.1155/2015/628368&lt;/electronic-resource-num&gt;&lt;remote-database-provider&gt;NLM&lt;/remote-database-provider&gt;&lt;language&gt;eng&lt;/language&gt;&lt;/record&gt;&lt;/Cite&gt;&lt;/EndNote&gt;</w:instrText>
      </w:r>
      <w:r w:rsidR="00432F4C" w:rsidRPr="0060488C">
        <w:rPr>
          <w:rFonts w:ascii="Arial" w:hAnsi="Arial" w:cs="Arial"/>
        </w:rPr>
        <w:fldChar w:fldCharType="separate"/>
      </w:r>
      <w:r w:rsidR="008E761B">
        <w:rPr>
          <w:rFonts w:ascii="Arial" w:hAnsi="Arial" w:cs="Arial"/>
          <w:noProof/>
        </w:rPr>
        <w:t>(</w:t>
      </w:r>
      <w:hyperlink w:anchor="_ENREF_214" w:tooltip="Stefkova, 2015 #245" w:history="1">
        <w:r w:rsidR="003B725E">
          <w:rPr>
            <w:rFonts w:ascii="Arial" w:hAnsi="Arial" w:cs="Arial"/>
            <w:noProof/>
          </w:rPr>
          <w:t>214</w:t>
        </w:r>
      </w:hyperlink>
      <w:r w:rsidR="008E761B">
        <w:rPr>
          <w:rFonts w:ascii="Arial" w:hAnsi="Arial" w:cs="Arial"/>
          <w:noProof/>
        </w:rPr>
        <w:t>)</w:t>
      </w:r>
      <w:r w:rsidR="00432F4C" w:rsidRPr="0060488C">
        <w:rPr>
          <w:rFonts w:ascii="Arial" w:hAnsi="Arial" w:cs="Arial"/>
        </w:rPr>
        <w:fldChar w:fldCharType="end"/>
      </w:r>
      <w:r w:rsidR="003F0234" w:rsidRPr="0060488C">
        <w:rPr>
          <w:rFonts w:ascii="Arial" w:hAnsi="Arial" w:cs="Arial"/>
        </w:rPr>
        <w:t xml:space="preserve">. </w:t>
      </w:r>
      <w:r w:rsidR="00205F26">
        <w:rPr>
          <w:rFonts w:ascii="Arial" w:hAnsi="Arial" w:cs="Arial"/>
        </w:rPr>
        <w:t xml:space="preserve">These tissue specific ALP genes are located on chromosome </w:t>
      </w:r>
      <w:r w:rsidR="00AB023D">
        <w:rPr>
          <w:rFonts w:ascii="Arial" w:hAnsi="Arial" w:cs="Arial"/>
        </w:rPr>
        <w:t xml:space="preserve">1 </w:t>
      </w:r>
      <w:r w:rsidR="00205F26">
        <w:rPr>
          <w:rFonts w:ascii="Arial" w:hAnsi="Arial" w:cs="Arial"/>
        </w:rPr>
        <w:t>and are about 90% homologous to each other. The fourth is ubiquitous and</w:t>
      </w:r>
      <w:r>
        <w:rPr>
          <w:rFonts w:ascii="Arial" w:hAnsi="Arial" w:cs="Arial"/>
        </w:rPr>
        <w:t xml:space="preserve"> </w:t>
      </w:r>
      <w:r w:rsidR="003F0234" w:rsidRPr="0060488C">
        <w:rPr>
          <w:rFonts w:ascii="Arial" w:hAnsi="Arial" w:cs="Arial"/>
        </w:rPr>
        <w:t>tissue non-specific</w:t>
      </w:r>
      <w:r w:rsidR="00205F26">
        <w:rPr>
          <w:rFonts w:ascii="Arial" w:hAnsi="Arial" w:cs="Arial"/>
        </w:rPr>
        <w:t>, encoded by the ALPL gene</w:t>
      </w:r>
      <w:r w:rsidR="00AB023D">
        <w:rPr>
          <w:rFonts w:ascii="Arial" w:hAnsi="Arial" w:cs="Arial"/>
        </w:rPr>
        <w:t xml:space="preserve"> on chromosome 2 </w:t>
      </w:r>
      <w:r w:rsidR="00205F26">
        <w:rPr>
          <w:rFonts w:ascii="Arial" w:hAnsi="Arial" w:cs="Arial"/>
        </w:rPr>
        <w:t>and is about 50% identical to the tissue-specific gene cluster</w:t>
      </w:r>
      <w:r w:rsidR="001F7812">
        <w:rPr>
          <w:rFonts w:ascii="Arial" w:hAnsi="Arial" w:cs="Arial"/>
        </w:rPr>
        <w:t>.</w:t>
      </w:r>
      <w:r w:rsidR="00205F26">
        <w:rPr>
          <w:rFonts w:ascii="Arial" w:hAnsi="Arial" w:cs="Arial"/>
        </w:rPr>
        <w:t xml:space="preserve"> </w:t>
      </w:r>
      <w:r w:rsidR="004D1B2C">
        <w:rPr>
          <w:rFonts w:ascii="Arial" w:hAnsi="Arial" w:cs="Arial"/>
        </w:rPr>
        <w:t>It exists in several isoforms differing mainly in the type of glycosylation they undertake</w:t>
      </w:r>
      <w:r w:rsidR="00824A5B">
        <w:rPr>
          <w:rFonts w:ascii="Arial" w:hAnsi="Arial" w:cs="Arial"/>
        </w:rPr>
        <w:t xml:space="preserve"> </w:t>
      </w:r>
      <w:r w:rsidR="00824A5B">
        <w:rPr>
          <w:rFonts w:ascii="Arial" w:hAnsi="Arial" w:cs="Arial"/>
        </w:rPr>
        <w:fldChar w:fldCharType="begin">
          <w:fldData xml:space="preserve">PEVuZE5vdGU+PENpdGU+PEF1dGhvcj5IYWxsaW5nIExpbmRlcjwvQXV0aG9yPjxZZWFyPjIwMDk8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PEVuZE5vdGU+PENpdGU+PEF1dGhvcj5IYWxsaW5nIExpbmRlcjwvQXV0aG9yPjxZZWFyPjIwMDk8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824A5B">
        <w:rPr>
          <w:rFonts w:ascii="Arial" w:hAnsi="Arial" w:cs="Arial"/>
        </w:rPr>
      </w:r>
      <w:r w:rsidR="00824A5B">
        <w:rPr>
          <w:rFonts w:ascii="Arial" w:hAnsi="Arial" w:cs="Arial"/>
        </w:rPr>
        <w:fldChar w:fldCharType="separate"/>
      </w:r>
      <w:r w:rsidR="008E761B">
        <w:rPr>
          <w:rFonts w:ascii="Arial" w:hAnsi="Arial" w:cs="Arial"/>
          <w:noProof/>
        </w:rPr>
        <w:t>(</w:t>
      </w:r>
      <w:hyperlink w:anchor="_ENREF_215" w:tooltip="Halling Linder, 2009 #413" w:history="1">
        <w:r w:rsidR="003B725E">
          <w:rPr>
            <w:rFonts w:ascii="Arial" w:hAnsi="Arial" w:cs="Arial"/>
            <w:noProof/>
          </w:rPr>
          <w:t>215</w:t>
        </w:r>
      </w:hyperlink>
      <w:r w:rsidR="008E761B">
        <w:rPr>
          <w:rFonts w:ascii="Arial" w:hAnsi="Arial" w:cs="Arial"/>
          <w:noProof/>
        </w:rPr>
        <w:t xml:space="preserve">, </w:t>
      </w:r>
      <w:hyperlink w:anchor="_ENREF_216" w:tooltip="Nosjean, 1997 #414" w:history="1">
        <w:r w:rsidR="003B725E">
          <w:rPr>
            <w:rFonts w:ascii="Arial" w:hAnsi="Arial" w:cs="Arial"/>
            <w:noProof/>
          </w:rPr>
          <w:t>216</w:t>
        </w:r>
      </w:hyperlink>
      <w:r w:rsidR="008E761B">
        <w:rPr>
          <w:rFonts w:ascii="Arial" w:hAnsi="Arial" w:cs="Arial"/>
          <w:noProof/>
        </w:rPr>
        <w:t>)</w:t>
      </w:r>
      <w:r w:rsidR="00824A5B">
        <w:rPr>
          <w:rFonts w:ascii="Arial" w:hAnsi="Arial" w:cs="Arial"/>
        </w:rPr>
        <w:fldChar w:fldCharType="end"/>
      </w:r>
      <w:r w:rsidR="004D1B2C">
        <w:rPr>
          <w:rFonts w:ascii="Arial" w:hAnsi="Arial" w:cs="Arial"/>
        </w:rPr>
        <w:t xml:space="preserve">.  </w:t>
      </w:r>
      <w:r w:rsidR="006939BD">
        <w:rPr>
          <w:rFonts w:ascii="Arial" w:hAnsi="Arial" w:cs="Arial"/>
        </w:rPr>
        <w:t xml:space="preserve">These can be identified by HPLC and three of the isoform peaks produced are bone specific, i.e. (B/I, B1 and B/2) </w:t>
      </w:r>
      <w:r w:rsidR="00824A5B">
        <w:rPr>
          <w:rFonts w:ascii="Arial" w:hAnsi="Arial" w:cs="Arial"/>
        </w:rPr>
        <w:fldChar w:fldCharType="begin"/>
      </w:r>
      <w:r w:rsidR="008E761B">
        <w:rPr>
          <w:rFonts w:ascii="Arial" w:hAnsi="Arial" w:cs="Arial"/>
        </w:rPr>
        <w:instrText xml:space="preserve"> ADDIN EN.CITE &lt;EndNote&gt;&lt;Cite&gt;&lt;Author&gt;Magnusson&lt;/Author&gt;&lt;Year&gt;1993&lt;/Year&gt;&lt;RecNum&gt;415&lt;/RecNum&gt;&lt;DisplayText&gt;(217)&lt;/DisplayText&gt;&lt;record&gt;&lt;rec-number&gt;415&lt;/rec-number&gt;&lt;foreign-keys&gt;&lt;key app="EN" db-id="p9a5ttsvyvde9me5aw2x05fp5p55axf0wr90" timestamp="1436179622"&gt;415&lt;/key&gt;&lt;/foreign-keys&gt;&lt;ref-type name="Journal Article"&gt;17&lt;/ref-type&gt;&lt;contributors&gt;&lt;authors&gt;&lt;author&gt;Magnusson, P.&lt;/author&gt;&lt;author&gt;Lofman, O.&lt;/author&gt;&lt;author&gt;Larsson, L.&lt;/author&gt;&lt;/authors&gt;&lt;/contributors&gt;&lt;auth-address&gt;Department of Clinical Chemistry, University Hospital, Linkoping, Sweden.&lt;/auth-address&gt;&lt;titles&gt;&lt;title&gt;Methodological aspects on separation and reaction conditions of bone and liver alkaline phosphatase isoform analysis by high-performance liquid chromatography&lt;/title&gt;&lt;secondary-title&gt;Anal Biochem&lt;/secondary-title&gt;&lt;/titles&gt;&lt;periodical&gt;&lt;full-title&gt;Anal Biochem&lt;/full-title&gt;&lt;abbr-1&gt;Analytical biochemistry&lt;/abbr-1&gt;&lt;/periodical&gt;&lt;pages&gt;156-63&lt;/pages&gt;&lt;volume&gt;211&lt;/volume&gt;&lt;number&gt;1&lt;/number&gt;&lt;edition&gt;1993/05/15&lt;/edition&gt;&lt;keywords&gt;&lt;keyword&gt;Acetates&lt;/keyword&gt;&lt;keyword&gt;Acetic Acid&lt;/keyword&gt;&lt;keyword&gt;Adult&lt;/keyword&gt;&lt;keyword&gt;Alkaline Phosphatase/blood/ isolation &amp;amp; purification&lt;/keyword&gt;&lt;keyword&gt;Artifacts&lt;/keyword&gt;&lt;keyword&gt;Bone and Bones/ enzymology&lt;/keyword&gt;&lt;keyword&gt;Buffers&lt;/keyword&gt;&lt;keyword&gt;Chromatography, High Pressure Liquid&lt;/keyword&gt;&lt;keyword&gt;Chromatography, Ion Exchange&lt;/keyword&gt;&lt;keyword&gt;Hot Temperature&lt;/keyword&gt;&lt;keyword&gt;Humans&lt;/keyword&gt;&lt;keyword&gt;Hydrogen-Ion Concentration&lt;/keyword&gt;&lt;keyword&gt;Isoenzymes/blood/ isolation &amp;amp; purification&lt;/keyword&gt;&lt;keyword&gt;Liver/ enzymology&lt;/keyword&gt;&lt;/keywords&gt;&lt;dates&gt;&lt;year&gt;1993&lt;/year&gt;&lt;pub-dates&gt;&lt;date&gt;May 15&lt;/date&gt;&lt;/pub-dates&gt;&lt;/dates&gt;&lt;isbn&gt;0003-2697 (Print)&amp;#xD;0003-2697 (Linking)&lt;/isbn&gt;&lt;accession-num&gt;8323028&lt;/accession-num&gt;&lt;urls&gt;&lt;/urls&gt;&lt;electronic-resource-num&gt;10.1006/abio.1993.1247&lt;/electronic-resource-num&gt;&lt;remote-database-provider&gt;NLM&lt;/remote-database-provider&gt;&lt;language&gt;eng&lt;/language&gt;&lt;/record&gt;&lt;/Cite&gt;&lt;/EndNote&gt;</w:instrText>
      </w:r>
      <w:r w:rsidR="00824A5B">
        <w:rPr>
          <w:rFonts w:ascii="Arial" w:hAnsi="Arial" w:cs="Arial"/>
        </w:rPr>
        <w:fldChar w:fldCharType="separate"/>
      </w:r>
      <w:r w:rsidR="008E761B">
        <w:rPr>
          <w:rFonts w:ascii="Arial" w:hAnsi="Arial" w:cs="Arial"/>
          <w:noProof/>
        </w:rPr>
        <w:t>(</w:t>
      </w:r>
      <w:hyperlink w:anchor="_ENREF_217" w:tooltip="Magnusson, 1993 #415" w:history="1">
        <w:r w:rsidR="003B725E">
          <w:rPr>
            <w:rFonts w:ascii="Arial" w:hAnsi="Arial" w:cs="Arial"/>
            <w:noProof/>
          </w:rPr>
          <w:t>217</w:t>
        </w:r>
      </w:hyperlink>
      <w:r w:rsidR="008E761B">
        <w:rPr>
          <w:rFonts w:ascii="Arial" w:hAnsi="Arial" w:cs="Arial"/>
          <w:noProof/>
        </w:rPr>
        <w:t>)</w:t>
      </w:r>
      <w:r w:rsidR="00824A5B">
        <w:rPr>
          <w:rFonts w:ascii="Arial" w:hAnsi="Arial" w:cs="Arial"/>
        </w:rPr>
        <w:fldChar w:fldCharType="end"/>
      </w:r>
      <w:r w:rsidR="001339E8">
        <w:rPr>
          <w:rFonts w:ascii="Arial" w:hAnsi="Arial" w:cs="Arial"/>
        </w:rPr>
        <w:t xml:space="preserve"> (a fourth </w:t>
      </w:r>
      <w:r w:rsidR="00AB023D">
        <w:rPr>
          <w:rFonts w:ascii="Arial" w:hAnsi="Arial" w:cs="Arial"/>
        </w:rPr>
        <w:t xml:space="preserve">bone </w:t>
      </w:r>
      <w:r w:rsidR="001339E8">
        <w:rPr>
          <w:rFonts w:ascii="Arial" w:hAnsi="Arial" w:cs="Arial"/>
        </w:rPr>
        <w:t xml:space="preserve">isoform, B1x appears in patients with CKD </w:t>
      </w:r>
      <w:r w:rsidR="00B260E5">
        <w:rPr>
          <w:rFonts w:ascii="Arial" w:hAnsi="Arial" w:cs="Arial"/>
        </w:rPr>
        <w:fldChar w:fldCharType="begin">
          <w:fldData xml:space="preserve">PEVuZE5vdGU+PENpdGU+PEF1dGhvcj5IYWFyaGF1czwvQXV0aG9yPjxZZWFyPjIwMDk8L1llYXI+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PEVuZE5vdGU+PENpdGU+PEF1dGhvcj5IYWFyaGF1czwvQXV0aG9yPjxZZWFyPjIwMDk8L1llYXI+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260E5">
        <w:rPr>
          <w:rFonts w:ascii="Arial" w:hAnsi="Arial" w:cs="Arial"/>
        </w:rPr>
      </w:r>
      <w:r w:rsidR="00B260E5">
        <w:rPr>
          <w:rFonts w:ascii="Arial" w:hAnsi="Arial" w:cs="Arial"/>
        </w:rPr>
        <w:fldChar w:fldCharType="separate"/>
      </w:r>
      <w:r w:rsidR="008E761B">
        <w:rPr>
          <w:rFonts w:ascii="Arial" w:hAnsi="Arial" w:cs="Arial"/>
          <w:noProof/>
        </w:rPr>
        <w:t>(</w:t>
      </w:r>
      <w:hyperlink w:anchor="_ENREF_218" w:tooltip="Haarhaus, 2009 #416" w:history="1">
        <w:r w:rsidR="003B725E">
          <w:rPr>
            <w:rFonts w:ascii="Arial" w:hAnsi="Arial" w:cs="Arial"/>
            <w:noProof/>
          </w:rPr>
          <w:t>218</w:t>
        </w:r>
      </w:hyperlink>
      <w:r w:rsidR="008E761B">
        <w:rPr>
          <w:rFonts w:ascii="Arial" w:hAnsi="Arial" w:cs="Arial"/>
          <w:noProof/>
        </w:rPr>
        <w:t>)</w:t>
      </w:r>
      <w:r w:rsidR="00B260E5">
        <w:rPr>
          <w:rFonts w:ascii="Arial" w:hAnsi="Arial" w:cs="Arial"/>
        </w:rPr>
        <w:fldChar w:fldCharType="end"/>
      </w:r>
      <w:r w:rsidR="006939BD">
        <w:rPr>
          <w:rFonts w:ascii="Arial" w:hAnsi="Arial" w:cs="Arial"/>
        </w:rPr>
        <w:t xml:space="preserve">. </w:t>
      </w:r>
      <w:r w:rsidR="004D1B2C">
        <w:rPr>
          <w:rFonts w:ascii="Arial" w:hAnsi="Arial" w:cs="Arial"/>
        </w:rPr>
        <w:t xml:space="preserve"> Approximately 95% of the total ALP activity that circulates in serum </w:t>
      </w:r>
      <w:r w:rsidR="007B71DC">
        <w:rPr>
          <w:rFonts w:ascii="Arial" w:hAnsi="Arial" w:cs="Arial"/>
        </w:rPr>
        <w:t xml:space="preserve">and can be detected is </w:t>
      </w:r>
      <w:r w:rsidR="004D1B2C">
        <w:rPr>
          <w:rFonts w:ascii="Arial" w:hAnsi="Arial" w:cs="Arial"/>
        </w:rPr>
        <w:t>bone and liver-specific</w:t>
      </w:r>
      <w:r w:rsidR="007B71DC">
        <w:rPr>
          <w:rFonts w:ascii="Arial" w:hAnsi="Arial" w:cs="Arial"/>
        </w:rPr>
        <w:t xml:space="preserve">. </w:t>
      </w:r>
    </w:p>
    <w:p w:rsidR="00640A06" w:rsidRPr="0060488C" w:rsidRDefault="007A00FC" w:rsidP="003B725E">
      <w:pPr>
        <w:spacing w:line="360" w:lineRule="auto"/>
        <w:jc w:val="both"/>
        <w:rPr>
          <w:rFonts w:ascii="Arial" w:hAnsi="Arial" w:cs="Arial"/>
        </w:rPr>
      </w:pPr>
      <w:r w:rsidRPr="0060488C">
        <w:rPr>
          <w:rFonts w:ascii="Arial" w:hAnsi="Arial" w:cs="Arial"/>
        </w:rPr>
        <w:t xml:space="preserve">Bone </w:t>
      </w:r>
      <w:r w:rsidR="007D504C">
        <w:rPr>
          <w:rFonts w:ascii="Arial" w:hAnsi="Arial" w:cs="Arial"/>
        </w:rPr>
        <w:t>ALP</w:t>
      </w:r>
      <w:r w:rsidR="00640A06">
        <w:rPr>
          <w:rFonts w:ascii="Arial" w:hAnsi="Arial" w:cs="Arial"/>
        </w:rPr>
        <w:t xml:space="preserve"> is</w:t>
      </w:r>
      <w:r w:rsidR="00A42A51">
        <w:rPr>
          <w:rFonts w:ascii="Arial" w:hAnsi="Arial" w:cs="Arial"/>
        </w:rPr>
        <w:t xml:space="preserve"> synthesised </w:t>
      </w:r>
      <w:r w:rsidR="008A504A">
        <w:rPr>
          <w:rFonts w:ascii="Arial" w:hAnsi="Arial" w:cs="Arial"/>
        </w:rPr>
        <w:t>by the osteoblasts</w:t>
      </w:r>
      <w:r w:rsidR="00640A06">
        <w:rPr>
          <w:rFonts w:ascii="Arial" w:hAnsi="Arial" w:cs="Arial"/>
        </w:rPr>
        <w:t xml:space="preserve"> </w:t>
      </w:r>
      <w:r w:rsidR="00A42A51">
        <w:rPr>
          <w:rFonts w:ascii="Arial" w:hAnsi="Arial" w:cs="Arial"/>
        </w:rPr>
        <w:t>and is attached to</w:t>
      </w:r>
      <w:r w:rsidR="00A42A51" w:rsidRPr="0060488C">
        <w:rPr>
          <w:rFonts w:ascii="Arial" w:hAnsi="Arial" w:cs="Arial"/>
        </w:rPr>
        <w:t xml:space="preserve"> the surface of the osteoblasts</w:t>
      </w:r>
      <w:r w:rsidR="00A42A51">
        <w:rPr>
          <w:rFonts w:ascii="Arial" w:hAnsi="Arial" w:cs="Arial"/>
        </w:rPr>
        <w:t xml:space="preserve"> via glycosylphosphatidylinositol </w:t>
      </w:r>
      <w:r w:rsidR="00AD73DB">
        <w:rPr>
          <w:rFonts w:ascii="Arial" w:hAnsi="Arial" w:cs="Arial"/>
        </w:rPr>
        <w:t xml:space="preserve">as an insoluble enzyme </w:t>
      </w:r>
      <w:r w:rsidR="00B260E5">
        <w:rPr>
          <w:rFonts w:ascii="Arial" w:hAnsi="Arial" w:cs="Arial"/>
        </w:rPr>
        <w:fldChar w:fldCharType="begin"/>
      </w:r>
      <w:r w:rsidR="008E761B">
        <w:rPr>
          <w:rFonts w:ascii="Arial" w:hAnsi="Arial" w:cs="Arial"/>
        </w:rPr>
        <w:instrText xml:space="preserve"> ADDIN EN.CITE &lt;EndNote&gt;&lt;Cite&gt;&lt;Author&gt;Hooper&lt;/Author&gt;&lt;Year&gt;1997&lt;/Year&gt;&lt;RecNum&gt;417&lt;/RecNum&gt;&lt;DisplayText&gt;(219)&lt;/DisplayText&gt;&lt;record&gt;&lt;rec-number&gt;417&lt;/rec-number&gt;&lt;foreign-keys&gt;&lt;key app="EN" db-id="p9a5ttsvyvde9me5aw2x05fp5p55axf0wr90" timestamp="1436179981"&gt;417&lt;/key&gt;&lt;/foreign-keys&gt;&lt;ref-type name="Journal Article"&gt;17&lt;/ref-type&gt;&lt;contributors&gt;&lt;authors&gt;&lt;author&gt;Hooper, N. M.&lt;/author&gt;&lt;/authors&gt;&lt;/contributors&gt;&lt;auth-address&gt;School of Biochemistry and Molecular Biology, University of Leeds, UK. n.m.hooper@leeds.ac.uk&lt;/auth-address&gt;&lt;titles&gt;&lt;title&gt;Glycosyl-phosphatidylinositol anchored membrane enzymes&lt;/title&gt;&lt;secondary-title&gt;Clin Chim Acta&lt;/secondary-title&gt;&lt;/titles&gt;&lt;periodical&gt;&lt;full-title&gt;Clin Chim Acta&lt;/full-title&gt;&lt;abbr-1&gt;Clinica chimica acta; international journal of clinical chemistry&lt;/abbr-1&gt;&lt;/periodical&gt;&lt;pages&gt;3-12&lt;/pages&gt;&lt;volume&gt;266&lt;/volume&gt;&lt;number&gt;1&lt;/number&gt;&lt;edition&gt;1998/01/22&lt;/edition&gt;&lt;keywords&gt;&lt;keyword&gt;5&amp;apos;-Nucleotidase/ metabolism&lt;/keyword&gt;&lt;keyword&gt;Acetylcholinesterase/ metabolism&lt;/keyword&gt;&lt;keyword&gt;Animals&lt;/keyword&gt;&lt;keyword&gt;Carbohydrate Conformation&lt;/keyword&gt;&lt;keyword&gt;Dipeptidases/ metabolism&lt;/keyword&gt;&lt;keyword&gt;Glycosylphosphatidylinositols/biosynthesis/chemistry/ metabolism&lt;/keyword&gt;&lt;keyword&gt;Protein Binding&lt;/keyword&gt;&lt;keyword&gt;Swine&lt;/keyword&gt;&lt;/keywords&gt;&lt;dates&gt;&lt;year&gt;1997&lt;/year&gt;&lt;pub-dates&gt;&lt;date&gt;Oct 9&lt;/date&gt;&lt;/pub-dates&gt;&lt;/dates&gt;&lt;isbn&gt;0009-8981 (Print)&amp;#xD;0009-8981 (Linking)&lt;/isbn&gt;&lt;accession-num&gt;9435983&lt;/accession-num&gt;&lt;urls&gt;&lt;/urls&gt;&lt;remote-database-provider&gt;NLM&lt;/remote-database-provider&gt;&lt;language&gt;eng&lt;/language&gt;&lt;/record&gt;&lt;/Cite&gt;&lt;/EndNote&gt;</w:instrText>
      </w:r>
      <w:r w:rsidR="00B260E5">
        <w:rPr>
          <w:rFonts w:ascii="Arial" w:hAnsi="Arial" w:cs="Arial"/>
        </w:rPr>
        <w:fldChar w:fldCharType="separate"/>
      </w:r>
      <w:r w:rsidR="008E761B">
        <w:rPr>
          <w:rFonts w:ascii="Arial" w:hAnsi="Arial" w:cs="Arial"/>
          <w:noProof/>
        </w:rPr>
        <w:t>(</w:t>
      </w:r>
      <w:hyperlink w:anchor="_ENREF_219" w:tooltip="Hooper, 1997 #417" w:history="1">
        <w:r w:rsidR="003B725E">
          <w:rPr>
            <w:rFonts w:ascii="Arial" w:hAnsi="Arial" w:cs="Arial"/>
            <w:noProof/>
          </w:rPr>
          <w:t>219</w:t>
        </w:r>
      </w:hyperlink>
      <w:r w:rsidR="008E761B">
        <w:rPr>
          <w:rFonts w:ascii="Arial" w:hAnsi="Arial" w:cs="Arial"/>
          <w:noProof/>
        </w:rPr>
        <w:t>)</w:t>
      </w:r>
      <w:r w:rsidR="00B260E5">
        <w:rPr>
          <w:rFonts w:ascii="Arial" w:hAnsi="Arial" w:cs="Arial"/>
        </w:rPr>
        <w:fldChar w:fldCharType="end"/>
      </w:r>
      <w:r w:rsidR="00A42A51">
        <w:rPr>
          <w:rFonts w:ascii="Arial" w:hAnsi="Arial" w:cs="Arial"/>
        </w:rPr>
        <w:t xml:space="preserve">. </w:t>
      </w:r>
      <w:r w:rsidR="00AD73DB">
        <w:rPr>
          <w:rFonts w:ascii="Arial" w:hAnsi="Arial" w:cs="Arial"/>
        </w:rPr>
        <w:t xml:space="preserve">It is cleaved by phospholipase-D </w:t>
      </w:r>
      <w:r w:rsidR="00A42A51">
        <w:rPr>
          <w:rFonts w:ascii="Arial" w:hAnsi="Arial" w:cs="Arial"/>
        </w:rPr>
        <w:t xml:space="preserve">and is released in to circulation </w:t>
      </w:r>
      <w:r w:rsidR="00640A06">
        <w:rPr>
          <w:rFonts w:ascii="Arial" w:hAnsi="Arial" w:cs="Arial"/>
        </w:rPr>
        <w:t>a</w:t>
      </w:r>
      <w:r w:rsidR="00A42A51">
        <w:rPr>
          <w:rFonts w:ascii="Arial" w:hAnsi="Arial" w:cs="Arial"/>
        </w:rPr>
        <w:t>s a soluble</w:t>
      </w:r>
      <w:r w:rsidR="00640A06">
        <w:rPr>
          <w:rFonts w:ascii="Arial" w:hAnsi="Arial" w:cs="Arial"/>
        </w:rPr>
        <w:t xml:space="preserve"> homodimeric</w:t>
      </w:r>
      <w:r w:rsidR="00985D0F" w:rsidRPr="0060488C">
        <w:rPr>
          <w:rFonts w:ascii="Arial" w:hAnsi="Arial" w:cs="Arial"/>
        </w:rPr>
        <w:t xml:space="preserve"> glycoprotei</w:t>
      </w:r>
      <w:r w:rsidR="00432F4C" w:rsidRPr="0060488C">
        <w:rPr>
          <w:rFonts w:ascii="Arial" w:hAnsi="Arial" w:cs="Arial"/>
        </w:rPr>
        <w:t>n</w:t>
      </w:r>
      <w:r w:rsidR="00AD73DB">
        <w:rPr>
          <w:rFonts w:ascii="Arial" w:hAnsi="Arial" w:cs="Arial"/>
        </w:rPr>
        <w:t xml:space="preserve"> </w:t>
      </w:r>
      <w:r w:rsidR="00193F35">
        <w:rPr>
          <w:rFonts w:ascii="Arial" w:hAnsi="Arial" w:cs="Arial"/>
        </w:rPr>
        <w:fldChar w:fldCharType="begin"/>
      </w:r>
      <w:r w:rsidR="008E761B">
        <w:rPr>
          <w:rFonts w:ascii="Arial" w:hAnsi="Arial" w:cs="Arial"/>
        </w:rPr>
        <w:instrText xml:space="preserve"> ADDIN EN.CITE &lt;EndNote&gt;&lt;Cite&gt;&lt;Author&gt;Anh&lt;/Author&gt;&lt;Year&gt;2001&lt;/Year&gt;&lt;RecNum&gt;276&lt;/RecNum&gt;&lt;DisplayText&gt;(220)&lt;/DisplayText&gt;&lt;record&gt;&lt;rec-number&gt;276&lt;/rec-number&gt;&lt;foreign-keys&gt;&lt;key app="EN" db-id="p9a5ttsvyvde9me5aw2x05fp5p55axf0wr90" timestamp="1431341118"&gt;276&lt;/key&gt;&lt;/foreign-keys&gt;&lt;ref-type name="Journal Article"&gt;17&lt;/ref-type&gt;&lt;contributors&gt;&lt;authors&gt;&lt;author&gt;Anh, D. J.&lt;/author&gt;&lt;author&gt;Eden, A.&lt;/author&gt;&lt;author&gt;Farley, J. R.&lt;/author&gt;&lt;/authors&gt;&lt;/contributors&gt;&lt;auth-address&gt;Jerry L. Pettis Memorial Veterans Medical Center, 11201 Benton Street, Loma Linda, CA 92357, USA.&lt;/auth-address&gt;&lt;titles&gt;&lt;title&gt;Quantitation of soluble and skeletal alkaline phosphatase, and insoluble alkaline phosphatase anchor-hydrolase activities in human serum&lt;/title&gt;&lt;secondary-title&gt;Clin Chim Acta&lt;/secondary-title&gt;&lt;/titles&gt;&lt;periodical&gt;&lt;full-title&gt;Clin Chim Acta&lt;/full-title&gt;&lt;abbr-1&gt;Clinica chimica acta; international journal of clinical chemistry&lt;/abbr-1&gt;&lt;/periodical&gt;&lt;pages&gt;137-48&lt;/pages&gt;&lt;volume&gt;311&lt;/volume&gt;&lt;number&gt;2&lt;/number&gt;&lt;edition&gt;2001/09/22&lt;/edition&gt;&lt;keywords&gt;&lt;keyword&gt;Alkaline Phosphatase/isolation &amp;amp; purification/ metabolism&lt;/keyword&gt;&lt;keyword&gt;Bone and Bones/ enzymology&lt;/keyword&gt;&lt;keyword&gt;Female&lt;/keyword&gt;&lt;keyword&gt;Humans&lt;/keyword&gt;&lt;keyword&gt;Isoenzymes/isolation &amp;amp; purification/metabolism&lt;/keyword&gt;&lt;keyword&gt;Kinetics&lt;/keyword&gt;&lt;keyword&gt;Liver/enzymology&lt;/keyword&gt;&lt;keyword&gt;Middle Aged&lt;/keyword&gt;&lt;keyword&gt;Phospholipase D/ blood&lt;/keyword&gt;&lt;keyword&gt;Solubility&lt;/keyword&gt;&lt;/keywords&gt;&lt;dates&gt;&lt;year&gt;2001&lt;/year&gt;&lt;pub-dates&gt;&lt;date&gt;Sep 25&lt;/date&gt;&lt;/pub-dates&gt;&lt;/dates&gt;&lt;isbn&gt;0009-8981 (Print)&amp;#xD;0009-8981 (Linking)&lt;/isbn&gt;&lt;accession-num&gt;11566173&lt;/accession-num&gt;&lt;urls&gt;&lt;/urls&gt;&lt;remote-database-provider&gt;NLM&lt;/remote-database-provider&gt;&lt;language&gt;eng&lt;/language&gt;&lt;/record&gt;&lt;/Cite&gt;&lt;/EndNote&gt;</w:instrText>
      </w:r>
      <w:r w:rsidR="00193F35">
        <w:rPr>
          <w:rFonts w:ascii="Arial" w:hAnsi="Arial" w:cs="Arial"/>
        </w:rPr>
        <w:fldChar w:fldCharType="separate"/>
      </w:r>
      <w:r w:rsidR="008E761B">
        <w:rPr>
          <w:rFonts w:ascii="Arial" w:hAnsi="Arial" w:cs="Arial"/>
          <w:noProof/>
        </w:rPr>
        <w:t>(</w:t>
      </w:r>
      <w:hyperlink w:anchor="_ENREF_220" w:tooltip="Anh, 2001 #276" w:history="1">
        <w:r w:rsidR="003B725E">
          <w:rPr>
            <w:rFonts w:ascii="Arial" w:hAnsi="Arial" w:cs="Arial"/>
            <w:noProof/>
          </w:rPr>
          <w:t>220</w:t>
        </w:r>
      </w:hyperlink>
      <w:r w:rsidR="008E761B">
        <w:rPr>
          <w:rFonts w:ascii="Arial" w:hAnsi="Arial" w:cs="Arial"/>
          <w:noProof/>
        </w:rPr>
        <w:t>)</w:t>
      </w:r>
      <w:r w:rsidR="00193F35">
        <w:rPr>
          <w:rFonts w:ascii="Arial" w:hAnsi="Arial" w:cs="Arial"/>
        </w:rPr>
        <w:fldChar w:fldCharType="end"/>
      </w:r>
      <w:r w:rsidR="0037366B">
        <w:rPr>
          <w:rFonts w:ascii="Arial" w:hAnsi="Arial" w:cs="Arial"/>
        </w:rPr>
        <w:t xml:space="preserve"> with a molecular weight of 126-141 kDa</w:t>
      </w:r>
      <w:r w:rsidR="00193F35">
        <w:rPr>
          <w:rFonts w:ascii="Arial" w:hAnsi="Arial" w:cs="Arial"/>
        </w:rPr>
        <w:t xml:space="preserve"> </w:t>
      </w:r>
      <w:r w:rsidR="00193F35">
        <w:rPr>
          <w:rFonts w:ascii="Arial" w:hAnsi="Arial" w:cs="Arial"/>
        </w:rPr>
        <w:fldChar w:fldCharType="begin"/>
      </w:r>
      <w:r w:rsidR="008E761B">
        <w:rPr>
          <w:rFonts w:ascii="Arial" w:hAnsi="Arial" w:cs="Arial"/>
        </w:rPr>
        <w:instrText xml:space="preserve"> ADDIN EN.CITE &lt;EndNote&gt;&lt;Cite&gt;&lt;Author&gt;Magnusson&lt;/Author&gt;&lt;Year&gt;2002&lt;/Year&gt;&lt;RecNum&gt;274&lt;/RecNum&gt;&lt;DisplayText&gt;(221)&lt;/DisplayText&gt;&lt;record&gt;&lt;rec-number&gt;274&lt;/rec-number&gt;&lt;foreign-keys&gt;&lt;key app="EN" db-id="p9a5ttsvyvde9me5aw2x05fp5p55axf0wr90" timestamp="1431341009"&gt;274&lt;/key&gt;&lt;/foreign-keys&gt;&lt;ref-type name="Journal Article"&gt;17&lt;/ref-type&gt;&lt;contributors&gt;&lt;authors&gt;&lt;author&gt;Magnusson, P.&lt;/author&gt;&lt;author&gt;Sharp, C. A.&lt;/author&gt;&lt;author&gt;Farley, J. R.&lt;/author&gt;&lt;/authors&gt;&lt;/contributors&gt;&lt;auth-address&gt;Department of Biomedicine and Surgery, Bone and Mineral Metabolic Unit, Division of Clinical Chemistry, Linkoping University Hospital, SE-581-85 Linkoping, Sweden. Per.Magnusson@lio.se&lt;/auth-address&gt;&lt;titles&gt;&lt;title&gt;Different distributions of human bone alkaline phosphatase isoforms in serum and bone tissue extracts&lt;/title&gt;&lt;secondary-title&gt;Clin Chim Acta&lt;/secondary-title&gt;&lt;/titles&gt;&lt;periodical&gt;&lt;full-title&gt;Clin Chim Acta&lt;/full-title&gt;&lt;abbr-1&gt;Clinica chimica acta; international journal of clinical chemistry&lt;/abbr-1&gt;&lt;/periodical&gt;&lt;pages&gt;59-70&lt;/pages&gt;&lt;volume&gt;325&lt;/volume&gt;&lt;number&gt;1-2&lt;/number&gt;&lt;edition&gt;2002/10/09&lt;/edition&gt;&lt;keywords&gt;&lt;keyword&gt;Adult&lt;/keyword&gt;&lt;keyword&gt;Aged&lt;/keyword&gt;&lt;keyword&gt;Aged, 80 and over&lt;/keyword&gt;&lt;keyword&gt;Alkaline Phosphatase/blood/ metabolism&lt;/keyword&gt;&lt;keyword&gt;Bone and Bones/ enzymology&lt;/keyword&gt;&lt;keyword&gt;Cell Line, Tumor&lt;/keyword&gt;&lt;keyword&gt;Chromatography, High Pressure Liquid&lt;/keyword&gt;&lt;keyword&gt;Female&lt;/keyword&gt;&lt;keyword&gt;Femur/enzymology&lt;/keyword&gt;&lt;keyword&gt;Glycosylphosphatidylinositols/metabolism&lt;/keyword&gt;&lt;keyword&gt;Humans&lt;/keyword&gt;&lt;keyword&gt;Isoenzymes/blood/ metabolism&lt;/keyword&gt;&lt;keyword&gt;Male&lt;/keyword&gt;&lt;keyword&gt;Middle Aged&lt;/keyword&gt;&lt;keyword&gt;Osteosarcoma/enzymology/pathology&lt;/keyword&gt;&lt;keyword&gt;Phospholipase D/metabolism&lt;/keyword&gt;&lt;keyword&gt;Tissue Distribution&lt;/keyword&gt;&lt;/keywords&gt;&lt;dates&gt;&lt;year&gt;2002&lt;/year&gt;&lt;pub-dates&gt;&lt;date&gt;Nov&lt;/date&gt;&lt;/pub-dates&gt;&lt;/dates&gt;&lt;isbn&gt;0009-8981 (Print)&amp;#xD;0009-8981 (Linking)&lt;/isbn&gt;&lt;accession-num&gt;12367767&lt;/accession-num&gt;&lt;urls&gt;&lt;/urls&gt;&lt;remote-database-provider&gt;NLM&lt;/remote-database-provider&gt;&lt;language&gt;eng&lt;/language&gt;&lt;/record&gt;&lt;/Cite&gt;&lt;/EndNote&gt;</w:instrText>
      </w:r>
      <w:r w:rsidR="00193F35">
        <w:rPr>
          <w:rFonts w:ascii="Arial" w:hAnsi="Arial" w:cs="Arial"/>
        </w:rPr>
        <w:fldChar w:fldCharType="separate"/>
      </w:r>
      <w:r w:rsidR="008E761B">
        <w:rPr>
          <w:rFonts w:ascii="Arial" w:hAnsi="Arial" w:cs="Arial"/>
          <w:noProof/>
        </w:rPr>
        <w:t>(</w:t>
      </w:r>
      <w:hyperlink w:anchor="_ENREF_221" w:tooltip="Magnusson, 2002 #274" w:history="1">
        <w:r w:rsidR="003B725E">
          <w:rPr>
            <w:rFonts w:ascii="Arial" w:hAnsi="Arial" w:cs="Arial"/>
            <w:noProof/>
          </w:rPr>
          <w:t>221</w:t>
        </w:r>
      </w:hyperlink>
      <w:r w:rsidR="008E761B">
        <w:rPr>
          <w:rFonts w:ascii="Arial" w:hAnsi="Arial" w:cs="Arial"/>
          <w:noProof/>
        </w:rPr>
        <w:t>)</w:t>
      </w:r>
      <w:r w:rsidR="00193F35">
        <w:rPr>
          <w:rFonts w:ascii="Arial" w:hAnsi="Arial" w:cs="Arial"/>
        </w:rPr>
        <w:fldChar w:fldCharType="end"/>
      </w:r>
      <w:r w:rsidR="0037366B">
        <w:rPr>
          <w:rFonts w:ascii="Arial" w:hAnsi="Arial" w:cs="Arial"/>
        </w:rPr>
        <w:t xml:space="preserve"> </w:t>
      </w:r>
      <w:r w:rsidR="008D57E3">
        <w:rPr>
          <w:rFonts w:ascii="Arial" w:hAnsi="Arial" w:cs="Arial"/>
        </w:rPr>
        <w:t>and a h</w:t>
      </w:r>
      <w:r w:rsidR="00566E4B">
        <w:rPr>
          <w:rFonts w:ascii="Arial" w:hAnsi="Arial" w:cs="Arial"/>
        </w:rPr>
        <w:t xml:space="preserve">alf-life of 1-2 days </w:t>
      </w:r>
      <w:r w:rsidR="00193F35">
        <w:rPr>
          <w:rFonts w:ascii="Arial" w:hAnsi="Arial" w:cs="Arial"/>
        </w:rPr>
        <w:fldChar w:fldCharType="begin"/>
      </w:r>
      <w:r w:rsidR="008E761B">
        <w:rPr>
          <w:rFonts w:ascii="Arial" w:hAnsi="Arial" w:cs="Arial"/>
        </w:rPr>
        <w:instrText xml:space="preserve"> ADDIN EN.CITE &lt;EndNote&gt;&lt;Cite&gt;&lt;Author&gt;Posen&lt;/Author&gt;&lt;Year&gt;1982&lt;/Year&gt;&lt;RecNum&gt;277&lt;/RecNum&gt;&lt;DisplayText&gt;(222)&lt;/DisplayText&gt;&lt;record&gt;&lt;rec-number&gt;277&lt;/rec-number&gt;&lt;foreign-keys&gt;&lt;key app="EN" db-id="p9a5ttsvyvde9me5aw2x05fp5p55axf0wr90" timestamp="1431341248"&gt;277&lt;/key&gt;&lt;/foreign-keys&gt;&lt;ref-type name="Journal Article"&gt;17&lt;/ref-type&gt;&lt;contributors&gt;&lt;authors&gt;&lt;author&gt;Posen, S.&lt;/author&gt;&lt;author&gt;Grunstein, H. S.&lt;/author&gt;&lt;/authors&gt;&lt;/contributors&gt;&lt;titles&gt;&lt;title&gt;Turnover rate of skeletal alkaline phosphatase in humans&lt;/title&gt;&lt;secondary-title&gt;Clin Chem&lt;/secondary-title&gt;&lt;/titles&gt;&lt;periodical&gt;&lt;full-title&gt;Clin Chem&lt;/full-title&gt;&lt;abbr-1&gt;Clinical chemistry&lt;/abbr-1&gt;&lt;/periodical&gt;&lt;pages&gt;153-4&lt;/pages&gt;&lt;volume&gt;28&lt;/volume&gt;&lt;number&gt;1&lt;/number&gt;&lt;edition&gt;1982/01/01&lt;/edition&gt;&lt;keywords&gt;&lt;keyword&gt;Aged&lt;/keyword&gt;&lt;keyword&gt;Alkaline Phosphatase/ blood&lt;/keyword&gt;&lt;keyword&gt;Autoanalysis&lt;/keyword&gt;&lt;keyword&gt;Bone and Bones/ metabolism&lt;/keyword&gt;&lt;keyword&gt;Female&lt;/keyword&gt;&lt;keyword&gt;Half-Life&lt;/keyword&gt;&lt;keyword&gt;Humans&lt;/keyword&gt;&lt;keyword&gt;Male&lt;/keyword&gt;&lt;keyword&gt;Osteitis Deformans/ enzymology/therapy&lt;/keyword&gt;&lt;keyword&gt;Plasmapheresis&lt;/keyword&gt;&lt;keyword&gt;Reference Values&lt;/keyword&gt;&lt;keyword&gt;Time Factors&lt;/keyword&gt;&lt;/keywords&gt;&lt;dates&gt;&lt;year&gt;1982&lt;/year&gt;&lt;pub-dates&gt;&lt;date&gt;Jan&lt;/date&gt;&lt;/pub-dates&gt;&lt;/dates&gt;&lt;isbn&gt;0009-9147 (Print)&amp;#xD;0009-9147 (Linking)&lt;/isbn&gt;&lt;accession-num&gt;7055900&lt;/accession-num&gt;&lt;urls&gt;&lt;/urls&gt;&lt;remote-database-provider&gt;NLM&lt;/remote-database-provider&gt;&lt;language&gt;eng&lt;/language&gt;&lt;/record&gt;&lt;/Cite&gt;&lt;/EndNote&gt;</w:instrText>
      </w:r>
      <w:r w:rsidR="00193F35">
        <w:rPr>
          <w:rFonts w:ascii="Arial" w:hAnsi="Arial" w:cs="Arial"/>
        </w:rPr>
        <w:fldChar w:fldCharType="separate"/>
      </w:r>
      <w:r w:rsidR="008E761B">
        <w:rPr>
          <w:rFonts w:ascii="Arial" w:hAnsi="Arial" w:cs="Arial"/>
          <w:noProof/>
        </w:rPr>
        <w:t>(</w:t>
      </w:r>
      <w:hyperlink w:anchor="_ENREF_222" w:tooltip="Posen, 1982 #277" w:history="1">
        <w:r w:rsidR="003B725E">
          <w:rPr>
            <w:rFonts w:ascii="Arial" w:hAnsi="Arial" w:cs="Arial"/>
            <w:noProof/>
          </w:rPr>
          <w:t>222</w:t>
        </w:r>
      </w:hyperlink>
      <w:r w:rsidR="008E761B">
        <w:rPr>
          <w:rFonts w:ascii="Arial" w:hAnsi="Arial" w:cs="Arial"/>
          <w:noProof/>
        </w:rPr>
        <w:t>)</w:t>
      </w:r>
      <w:r w:rsidR="00193F35">
        <w:rPr>
          <w:rFonts w:ascii="Arial" w:hAnsi="Arial" w:cs="Arial"/>
        </w:rPr>
        <w:fldChar w:fldCharType="end"/>
      </w:r>
      <w:r w:rsidR="00AD73DB">
        <w:rPr>
          <w:rFonts w:ascii="Arial" w:hAnsi="Arial" w:cs="Arial"/>
        </w:rPr>
        <w:t>.</w:t>
      </w:r>
      <w:r w:rsidR="006A6CEB" w:rsidRPr="0060488C">
        <w:rPr>
          <w:rFonts w:ascii="Arial" w:hAnsi="Arial" w:cs="Arial"/>
        </w:rPr>
        <w:t xml:space="preserve"> It has an essential role in the mineralisation process of the bone matrix which follows the formation of the osteoid</w:t>
      </w:r>
      <w:r w:rsidR="006939BD">
        <w:rPr>
          <w:rFonts w:ascii="Arial" w:hAnsi="Arial" w:cs="Arial"/>
        </w:rPr>
        <w:t>,</w:t>
      </w:r>
      <w:r w:rsidR="006A67A1" w:rsidRPr="0060488C">
        <w:rPr>
          <w:rFonts w:ascii="Arial" w:hAnsi="Arial" w:cs="Arial"/>
        </w:rPr>
        <w:t xml:space="preserve"> </w:t>
      </w:r>
      <w:r w:rsidR="006A67A1" w:rsidRPr="0060488C">
        <w:rPr>
          <w:rFonts w:ascii="Arial" w:hAnsi="Arial" w:cs="Arial"/>
        </w:rPr>
        <w:fldChar w:fldCharType="begin"/>
      </w:r>
      <w:r w:rsidR="008E761B">
        <w:rPr>
          <w:rFonts w:ascii="Arial" w:hAnsi="Arial" w:cs="Arial"/>
        </w:rPr>
        <w:instrText xml:space="preserve"> ADDIN EN.CITE &lt;EndNote&gt;&lt;Cite&gt;&lt;Author&gt;Calvo&lt;/Author&gt;&lt;Year&gt;1996&lt;/Year&gt;&lt;RecNum&gt;246&lt;/RecNum&gt;&lt;DisplayText&gt;(223)&lt;/DisplayText&gt;&lt;record&gt;&lt;rec-number&gt;246&lt;/rec-number&gt;&lt;foreign-keys&gt;&lt;key app="EN" db-id="p9a5ttsvyvde9me5aw2x05fp5p55axf0wr90" timestamp="1426860565"&gt;246&lt;/key&gt;&lt;/foreign-keys&gt;&lt;ref-type name="Journal Article"&gt;17&lt;/ref-type&gt;&lt;contributors&gt;&lt;authors&gt;&lt;author&gt;Calvo, M. S.&lt;/author&gt;&lt;author&gt;Eyre, D. R.&lt;/author&gt;&lt;author&gt;Gundberg, C. M.&lt;/author&gt;&lt;/authors&gt;&lt;/contributors&gt;&lt;auth-address&gt;Center for Food Safety and Applied Nutrition, Food and Drug Administration, Washington, D.C. 20206, USA.&lt;/auth-address&gt;&lt;titles&gt;&lt;title&gt;Molecular basis and clinical application of biological markers of bone turnover&lt;/title&gt;&lt;secondary-title&gt;Endocr Rev&lt;/secondary-title&gt;&lt;alt-title&gt;Endocrine reviews&lt;/alt-title&gt;&lt;/titles&gt;&lt;periodical&gt;&lt;full-title&gt;Endocr Rev&lt;/full-title&gt;&lt;abbr-1&gt;Endocrine reviews&lt;/abbr-1&gt;&lt;/periodical&gt;&lt;alt-periodical&gt;&lt;full-title&gt;Endocr Rev&lt;/full-title&gt;&lt;abbr-1&gt;Endocrine reviews&lt;/abbr-1&gt;&lt;/alt-periodical&gt;&lt;pages&gt;333-68&lt;/pages&gt;&lt;volume&gt;17&lt;/volume&gt;&lt;number&gt;4&lt;/number&gt;&lt;edition&gt;1996/08/01&lt;/edition&gt;&lt;keywords&gt;&lt;keyword&gt;Alkaline Phosphatase/blood&lt;/keyword&gt;&lt;keyword&gt;Animals&lt;/keyword&gt;&lt;keyword&gt;*Biological Markers&lt;/keyword&gt;&lt;keyword&gt;*Bone Remodeling&lt;/keyword&gt;&lt;keyword&gt;Bone Resorption&lt;/keyword&gt;&lt;keyword&gt;Humans&lt;/keyword&gt;&lt;keyword&gt;Osteocalcin/blood&lt;/keyword&gt;&lt;keyword&gt;Procollagen/blood&lt;/keyword&gt;&lt;/keywords&gt;&lt;dates&gt;&lt;year&gt;1996&lt;/year&gt;&lt;pub-dates&gt;&lt;date&gt;Aug&lt;/date&gt;&lt;/pub-dates&gt;&lt;/dates&gt;&lt;isbn&gt;0163-769X (Print)&amp;#xD;0163-769x&lt;/isbn&gt;&lt;accession-num&gt;8854049&lt;/accession-num&gt;&lt;urls&gt;&lt;/urls&gt;&lt;electronic-resource-num&gt;10.1210/edrv-17-4-333&lt;/electronic-resource-num&gt;&lt;remote-database-provider&gt;NLM&lt;/remote-database-provider&gt;&lt;language&gt;eng&lt;/language&gt;&lt;/record&gt;&lt;/Cite&gt;&lt;/EndNote&gt;</w:instrText>
      </w:r>
      <w:r w:rsidR="006A67A1" w:rsidRPr="0060488C">
        <w:rPr>
          <w:rFonts w:ascii="Arial" w:hAnsi="Arial" w:cs="Arial"/>
        </w:rPr>
        <w:fldChar w:fldCharType="separate"/>
      </w:r>
      <w:r w:rsidR="008E761B">
        <w:rPr>
          <w:rFonts w:ascii="Arial" w:hAnsi="Arial" w:cs="Arial"/>
          <w:noProof/>
        </w:rPr>
        <w:t>(</w:t>
      </w:r>
      <w:hyperlink w:anchor="_ENREF_223" w:tooltip="Calvo, 1996 #246" w:history="1">
        <w:r w:rsidR="003B725E">
          <w:rPr>
            <w:rFonts w:ascii="Arial" w:hAnsi="Arial" w:cs="Arial"/>
            <w:noProof/>
          </w:rPr>
          <w:t>223</w:t>
        </w:r>
      </w:hyperlink>
      <w:r w:rsidR="008E761B">
        <w:rPr>
          <w:rFonts w:ascii="Arial" w:hAnsi="Arial" w:cs="Arial"/>
          <w:noProof/>
        </w:rPr>
        <w:t>)</w:t>
      </w:r>
      <w:r w:rsidR="006A67A1" w:rsidRPr="0060488C">
        <w:rPr>
          <w:rFonts w:ascii="Arial" w:hAnsi="Arial" w:cs="Arial"/>
        </w:rPr>
        <w:fldChar w:fldCharType="end"/>
      </w:r>
      <w:r w:rsidR="0060488C">
        <w:rPr>
          <w:rFonts w:ascii="Arial" w:hAnsi="Arial" w:cs="Arial"/>
        </w:rPr>
        <w:t>.</w:t>
      </w:r>
      <w:r w:rsidR="008909D2">
        <w:rPr>
          <w:rFonts w:ascii="Arial" w:hAnsi="Arial" w:cs="Arial"/>
        </w:rPr>
        <w:t xml:space="preserve"> A bone ALP knock-out mouse has impaired mineralisation </w:t>
      </w:r>
      <w:r w:rsidR="00193F35">
        <w:rPr>
          <w:rFonts w:ascii="Arial" w:hAnsi="Arial" w:cs="Arial"/>
        </w:rPr>
        <w:fldChar w:fldCharType="begin">
          <w:fldData xml:space="preserve">PEVuZE5vdGU+PENpdGU+PEF1dGhvcj5IZXNzbGU8L0F1dGhvcj48WWVhcj4yMDAyPC9ZZWFyPjxS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PEVuZE5vdGU+PENpdGU+PEF1dGhvcj5IZXNzbGU8L0F1dGhvcj48WWVhcj4yMDAyPC9ZZWFyPjxS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193F35">
        <w:rPr>
          <w:rFonts w:ascii="Arial" w:hAnsi="Arial" w:cs="Arial"/>
        </w:rPr>
      </w:r>
      <w:r w:rsidR="00193F35">
        <w:rPr>
          <w:rFonts w:ascii="Arial" w:hAnsi="Arial" w:cs="Arial"/>
        </w:rPr>
        <w:fldChar w:fldCharType="separate"/>
      </w:r>
      <w:r w:rsidR="008E761B">
        <w:rPr>
          <w:rFonts w:ascii="Arial" w:hAnsi="Arial" w:cs="Arial"/>
          <w:noProof/>
        </w:rPr>
        <w:t>(</w:t>
      </w:r>
      <w:hyperlink w:anchor="_ENREF_224" w:tooltip="Hessle, 2002 #278" w:history="1">
        <w:r w:rsidR="003B725E">
          <w:rPr>
            <w:rFonts w:ascii="Arial" w:hAnsi="Arial" w:cs="Arial"/>
            <w:noProof/>
          </w:rPr>
          <w:t>224</w:t>
        </w:r>
      </w:hyperlink>
      <w:r w:rsidR="008E761B">
        <w:rPr>
          <w:rFonts w:ascii="Arial" w:hAnsi="Arial" w:cs="Arial"/>
          <w:noProof/>
        </w:rPr>
        <w:t>)</w:t>
      </w:r>
      <w:r w:rsidR="00193F35">
        <w:rPr>
          <w:rFonts w:ascii="Arial" w:hAnsi="Arial" w:cs="Arial"/>
        </w:rPr>
        <w:fldChar w:fldCharType="end"/>
      </w:r>
      <w:r w:rsidR="00C948CF">
        <w:rPr>
          <w:rFonts w:ascii="Arial" w:hAnsi="Arial" w:cs="Arial"/>
        </w:rPr>
        <w:t>.</w:t>
      </w:r>
      <w:r w:rsidR="0060488C">
        <w:rPr>
          <w:rFonts w:ascii="Arial" w:hAnsi="Arial" w:cs="Arial"/>
        </w:rPr>
        <w:t xml:space="preserve"> </w:t>
      </w:r>
      <w:r w:rsidR="00760C3E">
        <w:rPr>
          <w:rFonts w:ascii="Arial" w:hAnsi="Arial" w:cs="Arial"/>
        </w:rPr>
        <w:t>Immuno</w:t>
      </w:r>
      <w:r w:rsidR="00760C3E" w:rsidRPr="0060488C">
        <w:rPr>
          <w:rFonts w:ascii="Arial" w:hAnsi="Arial" w:cs="Arial"/>
        </w:rPr>
        <w:t>assays</w:t>
      </w:r>
      <w:r w:rsidR="003C12AA">
        <w:rPr>
          <w:rFonts w:ascii="Arial" w:hAnsi="Arial" w:cs="Arial"/>
        </w:rPr>
        <w:t xml:space="preserve">, </w:t>
      </w:r>
      <w:r w:rsidR="0060488C">
        <w:rPr>
          <w:rFonts w:ascii="Arial" w:hAnsi="Arial" w:cs="Arial"/>
        </w:rPr>
        <w:t>electrophoresis</w:t>
      </w:r>
      <w:r w:rsidR="003C12AA">
        <w:rPr>
          <w:rFonts w:ascii="Arial" w:hAnsi="Arial" w:cs="Arial"/>
        </w:rPr>
        <w:t xml:space="preserve">, isoelectric focusing </w:t>
      </w:r>
      <w:r w:rsidR="00F222E0">
        <w:rPr>
          <w:rFonts w:ascii="Arial" w:hAnsi="Arial" w:cs="Arial"/>
        </w:rPr>
        <w:t>are</w:t>
      </w:r>
      <w:r w:rsidR="003C12AA">
        <w:rPr>
          <w:rFonts w:ascii="Arial" w:hAnsi="Arial" w:cs="Arial"/>
        </w:rPr>
        <w:t xml:space="preserve"> techniques</w:t>
      </w:r>
      <w:r w:rsidR="00F222E0">
        <w:rPr>
          <w:rFonts w:ascii="Arial" w:hAnsi="Arial" w:cs="Arial"/>
        </w:rPr>
        <w:t xml:space="preserve"> available to measure the enzyme activity bone ALP</w:t>
      </w:r>
      <w:r w:rsidR="003C12AA">
        <w:rPr>
          <w:rFonts w:ascii="Arial" w:hAnsi="Arial" w:cs="Arial"/>
        </w:rPr>
        <w:t xml:space="preserve"> </w:t>
      </w:r>
      <w:r w:rsidR="00C948CF">
        <w:rPr>
          <w:rFonts w:ascii="Arial" w:hAnsi="Arial" w:cs="Arial"/>
        </w:rPr>
        <w:fldChar w:fldCharType="begin">
          <w:fldData xml:space="preserve">PEVuZE5vdGU+PENpdGU+PEF1dGhvcj5Sb3NhbGtpPC9BdXRob3I+PFllYXI+MTk4NDwvWWVhcj48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=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PEVuZE5vdGU+PENpdGU+PEF1dGhvcj5Sb3NhbGtpPC9BdXRob3I+PFllYXI+MTk4NDwvWWVhcj48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=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C948CF">
        <w:rPr>
          <w:rFonts w:ascii="Arial" w:hAnsi="Arial" w:cs="Arial"/>
        </w:rPr>
      </w:r>
      <w:r w:rsidR="00C948CF">
        <w:rPr>
          <w:rFonts w:ascii="Arial" w:hAnsi="Arial" w:cs="Arial"/>
        </w:rPr>
        <w:fldChar w:fldCharType="separate"/>
      </w:r>
      <w:r w:rsidR="008E761B">
        <w:rPr>
          <w:rFonts w:ascii="Arial" w:hAnsi="Arial" w:cs="Arial"/>
          <w:noProof/>
        </w:rPr>
        <w:t>(</w:t>
      </w:r>
      <w:hyperlink w:anchor="_ENREF_225" w:tooltip="Rosalki, 1984 #279" w:history="1">
        <w:r w:rsidR="003B725E">
          <w:rPr>
            <w:rFonts w:ascii="Arial" w:hAnsi="Arial" w:cs="Arial"/>
            <w:noProof/>
          </w:rPr>
          <w:t>225</w:t>
        </w:r>
      </w:hyperlink>
      <w:r w:rsidR="008E761B">
        <w:rPr>
          <w:rFonts w:ascii="Arial" w:hAnsi="Arial" w:cs="Arial"/>
          <w:noProof/>
        </w:rPr>
        <w:t xml:space="preserve">, </w:t>
      </w:r>
      <w:hyperlink w:anchor="_ENREF_226" w:tooltip="Griffiths, 1987 #280" w:history="1">
        <w:r w:rsidR="003B725E">
          <w:rPr>
            <w:rFonts w:ascii="Arial" w:hAnsi="Arial" w:cs="Arial"/>
            <w:noProof/>
          </w:rPr>
          <w:t>226</w:t>
        </w:r>
      </w:hyperlink>
      <w:r w:rsidR="008E761B">
        <w:rPr>
          <w:rFonts w:ascii="Arial" w:hAnsi="Arial" w:cs="Arial"/>
          <w:noProof/>
        </w:rPr>
        <w:t>)</w:t>
      </w:r>
      <w:r w:rsidR="00C948CF">
        <w:rPr>
          <w:rFonts w:ascii="Arial" w:hAnsi="Arial" w:cs="Arial"/>
        </w:rPr>
        <w:fldChar w:fldCharType="end"/>
      </w:r>
      <w:r w:rsidR="00C948CF">
        <w:rPr>
          <w:rFonts w:ascii="Arial" w:hAnsi="Arial" w:cs="Arial"/>
        </w:rPr>
        <w:t>.</w:t>
      </w:r>
      <w:r w:rsidR="003C12AA">
        <w:rPr>
          <w:rFonts w:ascii="Arial" w:hAnsi="Arial" w:cs="Arial"/>
        </w:rPr>
        <w:t xml:space="preserve"> Immunoassays are</w:t>
      </w:r>
      <w:r w:rsidR="006A6CEB" w:rsidRPr="0060488C">
        <w:rPr>
          <w:rFonts w:ascii="Arial" w:hAnsi="Arial" w:cs="Arial"/>
        </w:rPr>
        <w:t xml:space="preserve"> regularly used in clinical setting in particular in </w:t>
      </w:r>
      <w:r w:rsidR="0056763B" w:rsidRPr="0060488C">
        <w:rPr>
          <w:rFonts w:ascii="Arial" w:hAnsi="Arial" w:cs="Arial"/>
        </w:rPr>
        <w:t>diseases that have a dramatic change in bone turnover such a</w:t>
      </w:r>
      <w:r w:rsidR="00837ADE" w:rsidRPr="0060488C">
        <w:rPr>
          <w:rFonts w:ascii="Arial" w:hAnsi="Arial" w:cs="Arial"/>
        </w:rPr>
        <w:t xml:space="preserve">s osteoporosis, Paget’s disease, primary hyperparathyroidism </w:t>
      </w:r>
      <w:r w:rsidR="0056763B" w:rsidRPr="0060488C">
        <w:rPr>
          <w:rFonts w:ascii="Arial" w:hAnsi="Arial" w:cs="Arial"/>
        </w:rPr>
        <w:t>and chronic kidney disease</w:t>
      </w:r>
      <w:r w:rsidR="00837ADE" w:rsidRPr="0060488C">
        <w:rPr>
          <w:rFonts w:ascii="Arial" w:hAnsi="Arial" w:cs="Arial"/>
        </w:rPr>
        <w:t xml:space="preserve"> </w:t>
      </w:r>
      <w:r w:rsidR="00837ADE" w:rsidRPr="0060488C">
        <w:rPr>
          <w:rFonts w:ascii="Arial" w:hAnsi="Arial" w:cs="Arial"/>
        </w:rPr>
        <w:fldChar w:fldCharType="begin">
          <w:fldData xml:space="preserve">PEVuZE5vdGU+PENpdGU+PEF1dGhvcj52YW4gU3RyYWFsZW48L0F1dGhvcj48WWVhcj4xOTkxPC9Z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=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PEVuZE5vdGU+PENpdGU+PEF1dGhvcj52YW4gU3RyYWFsZW48L0F1dGhvcj48WWVhcj4xOTkxPC9Z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=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837ADE" w:rsidRPr="0060488C">
        <w:rPr>
          <w:rFonts w:ascii="Arial" w:hAnsi="Arial" w:cs="Arial"/>
        </w:rPr>
      </w:r>
      <w:r w:rsidR="00837ADE" w:rsidRPr="0060488C">
        <w:rPr>
          <w:rFonts w:ascii="Arial" w:hAnsi="Arial" w:cs="Arial"/>
        </w:rPr>
        <w:fldChar w:fldCharType="separate"/>
      </w:r>
      <w:r w:rsidR="008E761B">
        <w:rPr>
          <w:rFonts w:ascii="Arial" w:hAnsi="Arial" w:cs="Arial"/>
          <w:noProof/>
        </w:rPr>
        <w:t>(</w:t>
      </w:r>
      <w:hyperlink w:anchor="_ENREF_227" w:tooltip="van Straalen, 1991 #247" w:history="1">
        <w:r w:rsidR="003B725E">
          <w:rPr>
            <w:rFonts w:ascii="Arial" w:hAnsi="Arial" w:cs="Arial"/>
            <w:noProof/>
          </w:rPr>
          <w:t>227-231</w:t>
        </w:r>
      </w:hyperlink>
      <w:r w:rsidR="008E761B">
        <w:rPr>
          <w:rFonts w:ascii="Arial" w:hAnsi="Arial" w:cs="Arial"/>
          <w:noProof/>
        </w:rPr>
        <w:t>)</w:t>
      </w:r>
      <w:r w:rsidR="00837ADE" w:rsidRPr="0060488C">
        <w:rPr>
          <w:rFonts w:ascii="Arial" w:hAnsi="Arial" w:cs="Arial"/>
        </w:rPr>
        <w:fldChar w:fldCharType="end"/>
      </w:r>
      <w:r w:rsidR="0056763B" w:rsidRPr="0060488C">
        <w:rPr>
          <w:rFonts w:ascii="Arial" w:hAnsi="Arial" w:cs="Arial"/>
        </w:rPr>
        <w:t>.</w:t>
      </w:r>
      <w:r w:rsidR="007B71DC">
        <w:rPr>
          <w:rFonts w:ascii="Arial" w:hAnsi="Arial" w:cs="Arial"/>
        </w:rPr>
        <w:t xml:space="preserve"> In order to obtain specific </w:t>
      </w:r>
      <w:r w:rsidR="000D0536">
        <w:rPr>
          <w:rFonts w:ascii="Arial" w:hAnsi="Arial" w:cs="Arial"/>
        </w:rPr>
        <w:t>informa</w:t>
      </w:r>
      <w:r w:rsidR="00640A06">
        <w:rPr>
          <w:rFonts w:ascii="Arial" w:hAnsi="Arial" w:cs="Arial"/>
        </w:rPr>
        <w:t>tion regarding bone status</w:t>
      </w:r>
      <w:r w:rsidR="00A42A51">
        <w:rPr>
          <w:rFonts w:ascii="Arial" w:hAnsi="Arial" w:cs="Arial"/>
        </w:rPr>
        <w:t xml:space="preserve"> (bone formation and overall bone turnover)</w:t>
      </w:r>
      <w:r w:rsidR="00640A06">
        <w:rPr>
          <w:rFonts w:ascii="Arial" w:hAnsi="Arial" w:cs="Arial"/>
        </w:rPr>
        <w:t xml:space="preserve"> it is important to measure the activity of the bone ALP enzyme</w:t>
      </w:r>
      <w:r w:rsidR="000D0536">
        <w:rPr>
          <w:rFonts w:ascii="Arial" w:hAnsi="Arial" w:cs="Arial"/>
        </w:rPr>
        <w:t xml:space="preserve"> rather than </w:t>
      </w:r>
      <w:r w:rsidR="001339E8">
        <w:rPr>
          <w:rFonts w:ascii="Arial" w:hAnsi="Arial" w:cs="Arial"/>
        </w:rPr>
        <w:t xml:space="preserve">just </w:t>
      </w:r>
      <w:r w:rsidR="000D0536">
        <w:rPr>
          <w:rFonts w:ascii="Arial" w:hAnsi="Arial" w:cs="Arial"/>
        </w:rPr>
        <w:t>total AL</w:t>
      </w:r>
      <w:r w:rsidR="00640A06">
        <w:rPr>
          <w:rFonts w:ascii="Arial" w:hAnsi="Arial" w:cs="Arial"/>
        </w:rPr>
        <w:t>P because</w:t>
      </w:r>
      <w:r w:rsidR="000D0536">
        <w:rPr>
          <w:rFonts w:ascii="Arial" w:hAnsi="Arial" w:cs="Arial"/>
        </w:rPr>
        <w:t xml:space="preserve"> the latter includes activities relating to the other ALP isoenzymes.</w:t>
      </w:r>
    </w:p>
    <w:p w:rsidR="00802FA5" w:rsidRDefault="00802FA5" w:rsidP="003E6719">
      <w:pPr>
        <w:pStyle w:val="Heading3"/>
        <w:jc w:val="both"/>
      </w:pPr>
      <w:bookmarkStart w:id="44" w:name="_Toc425418895"/>
      <w:r w:rsidRPr="00146FA1">
        <w:t>Treatments for Postmenopausal Osteoporosis</w:t>
      </w:r>
      <w:bookmarkEnd w:id="44"/>
    </w:p>
    <w:p w:rsidR="008A000D" w:rsidRDefault="004E057D" w:rsidP="003B725E">
      <w:pPr>
        <w:spacing w:line="360" w:lineRule="auto"/>
        <w:jc w:val="both"/>
        <w:rPr>
          <w:rFonts w:ascii="Arial" w:hAnsi="Arial" w:cs="Arial"/>
        </w:rPr>
      </w:pPr>
      <w:r w:rsidRPr="005173FC">
        <w:rPr>
          <w:rFonts w:ascii="Arial" w:hAnsi="Arial" w:cs="Arial"/>
        </w:rPr>
        <w:t>The treatment of postmenopausal osteoporosis generally involves a combination of pharmacological agents with non-pharmacological options. The non-pharmacological options are mainly related</w:t>
      </w:r>
      <w:r w:rsidR="00D665B4">
        <w:rPr>
          <w:rFonts w:ascii="Arial" w:hAnsi="Arial" w:cs="Arial"/>
        </w:rPr>
        <w:t xml:space="preserve"> to changes in lifestyle changes</w:t>
      </w:r>
      <w:r w:rsidRPr="005173FC">
        <w:rPr>
          <w:rFonts w:ascii="Arial" w:hAnsi="Arial" w:cs="Arial"/>
        </w:rPr>
        <w:t xml:space="preserve"> such as </w:t>
      </w:r>
      <w:r w:rsidR="00B220D6">
        <w:rPr>
          <w:rFonts w:ascii="Arial" w:hAnsi="Arial" w:cs="Arial"/>
        </w:rPr>
        <w:t>improved dietary intake</w:t>
      </w:r>
      <w:r w:rsidRPr="005173FC">
        <w:rPr>
          <w:rFonts w:ascii="Arial" w:hAnsi="Arial" w:cs="Arial"/>
        </w:rPr>
        <w:t xml:space="preserve"> (</w:t>
      </w:r>
      <w:r w:rsidR="00B220D6">
        <w:rPr>
          <w:rFonts w:ascii="Arial" w:hAnsi="Arial" w:cs="Arial"/>
        </w:rPr>
        <w:t>in particular calcium and vitamin D</w:t>
      </w:r>
      <w:r w:rsidRPr="005173FC">
        <w:rPr>
          <w:rFonts w:ascii="Arial" w:hAnsi="Arial" w:cs="Arial"/>
        </w:rPr>
        <w:t xml:space="preserve">), exercise and </w:t>
      </w:r>
      <w:r w:rsidR="00D665B4">
        <w:rPr>
          <w:rFonts w:ascii="Arial" w:hAnsi="Arial" w:cs="Arial"/>
        </w:rPr>
        <w:t xml:space="preserve">reduced </w:t>
      </w:r>
      <w:r w:rsidRPr="005173FC">
        <w:rPr>
          <w:rFonts w:ascii="Arial" w:hAnsi="Arial" w:cs="Arial"/>
        </w:rPr>
        <w:t>alcohol consumption</w:t>
      </w:r>
      <w:r w:rsidR="00D665B4">
        <w:rPr>
          <w:rFonts w:ascii="Arial" w:hAnsi="Arial" w:cs="Arial"/>
        </w:rPr>
        <w:t xml:space="preserve"> and stop smoking</w:t>
      </w:r>
      <w:r w:rsidR="006F5871" w:rsidRPr="005173FC">
        <w:rPr>
          <w:rFonts w:ascii="Arial" w:hAnsi="Arial" w:cs="Arial"/>
        </w:rPr>
        <w:t xml:space="preserve"> </w:t>
      </w:r>
      <w:r w:rsidR="002616B0">
        <w:rPr>
          <w:rFonts w:ascii="Arial" w:hAnsi="Arial" w:cs="Arial"/>
        </w:rPr>
        <w:fldChar w:fldCharType="begin">
          <w:fldData xml:space="preserve">PEVuZE5vdGU+PENpdGU+PEF1dGhvcj5KYWNrc29uPC9BdXRob3I+PFllYXI+MjAwNjwvWWVhcj48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PEVuZE5vdGU+PENpdGU+PEF1dGhvcj5KYWNrc29uPC9BdXRob3I+PFllYXI+MjAwNjwvWWVhcj48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2616B0">
        <w:rPr>
          <w:rFonts w:ascii="Arial" w:hAnsi="Arial" w:cs="Arial"/>
        </w:rPr>
      </w:r>
      <w:r w:rsidR="002616B0">
        <w:rPr>
          <w:rFonts w:ascii="Arial" w:hAnsi="Arial" w:cs="Arial"/>
        </w:rPr>
        <w:fldChar w:fldCharType="separate"/>
      </w:r>
      <w:r w:rsidR="008E761B">
        <w:rPr>
          <w:rFonts w:ascii="Arial" w:hAnsi="Arial" w:cs="Arial"/>
          <w:noProof/>
        </w:rPr>
        <w:t>(</w:t>
      </w:r>
      <w:hyperlink w:anchor="_ENREF_232" w:tooltip="Jackson, 2006 #127" w:history="1">
        <w:r w:rsidR="003B725E">
          <w:rPr>
            <w:rFonts w:ascii="Arial" w:hAnsi="Arial" w:cs="Arial"/>
            <w:noProof/>
          </w:rPr>
          <w:t>232-234</w:t>
        </w:r>
      </w:hyperlink>
      <w:r w:rsidR="008E761B">
        <w:rPr>
          <w:rFonts w:ascii="Arial" w:hAnsi="Arial" w:cs="Arial"/>
          <w:noProof/>
        </w:rPr>
        <w:t>)</w:t>
      </w:r>
      <w:r w:rsidR="002616B0">
        <w:rPr>
          <w:rFonts w:ascii="Arial" w:hAnsi="Arial" w:cs="Arial"/>
        </w:rPr>
        <w:fldChar w:fldCharType="end"/>
      </w:r>
      <w:r w:rsidR="00E53B76">
        <w:rPr>
          <w:rFonts w:ascii="Arial" w:hAnsi="Arial" w:cs="Arial"/>
        </w:rPr>
        <w:t>.</w:t>
      </w:r>
      <w:r w:rsidR="006F5871" w:rsidRPr="005173FC">
        <w:rPr>
          <w:rFonts w:ascii="Arial" w:hAnsi="Arial" w:cs="Arial"/>
        </w:rPr>
        <w:t xml:space="preserve"> </w:t>
      </w:r>
      <w:r w:rsidR="008A000D">
        <w:rPr>
          <w:rFonts w:ascii="Arial" w:hAnsi="Arial" w:cs="Arial"/>
        </w:rPr>
        <w:t>The pharmacological interventions are recommended for all postmenopausal women i) who have had a previous osteoporotic vertebral or hip fracture ii) who have a BMD T-score of ≤ -2.5 at the lumbar spine, femoral neck or total hip iii) who have a BMD T-score from -1.0 to -2.5 and a 20% risk of fracture based on the FRAX calculation (WHO FRAX website).</w:t>
      </w:r>
    </w:p>
    <w:p w:rsidR="0047605B" w:rsidRDefault="00802FA5" w:rsidP="003E6719">
      <w:pPr>
        <w:spacing w:line="360" w:lineRule="auto"/>
        <w:jc w:val="both"/>
        <w:rPr>
          <w:rFonts w:ascii="Arial" w:hAnsi="Arial" w:cs="Arial"/>
        </w:rPr>
      </w:pPr>
      <w:r w:rsidRPr="005173FC">
        <w:rPr>
          <w:rFonts w:ascii="Arial" w:hAnsi="Arial" w:cs="Arial"/>
        </w:rPr>
        <w:t xml:space="preserve">Over the past 25 years several </w:t>
      </w:r>
      <w:r w:rsidR="005173FC" w:rsidRPr="005173FC">
        <w:rPr>
          <w:rFonts w:ascii="Arial" w:hAnsi="Arial" w:cs="Arial"/>
        </w:rPr>
        <w:t xml:space="preserve">effective and safe </w:t>
      </w:r>
      <w:r w:rsidRPr="005173FC">
        <w:rPr>
          <w:rFonts w:ascii="Arial" w:hAnsi="Arial" w:cs="Arial"/>
        </w:rPr>
        <w:t>therapeutic t</w:t>
      </w:r>
      <w:r w:rsidR="00217C9A">
        <w:rPr>
          <w:rFonts w:ascii="Arial" w:hAnsi="Arial" w:cs="Arial"/>
        </w:rPr>
        <w:t xml:space="preserve">argets have been identified, </w:t>
      </w:r>
      <w:r w:rsidRPr="005173FC">
        <w:rPr>
          <w:rFonts w:ascii="Arial" w:hAnsi="Arial" w:cs="Arial"/>
        </w:rPr>
        <w:t xml:space="preserve">developed </w:t>
      </w:r>
      <w:r w:rsidR="007B37EE">
        <w:rPr>
          <w:rFonts w:ascii="Arial" w:hAnsi="Arial" w:cs="Arial"/>
        </w:rPr>
        <w:t xml:space="preserve">and subsequently approved by the </w:t>
      </w:r>
      <w:r w:rsidR="00217C9A">
        <w:rPr>
          <w:rFonts w:ascii="Arial" w:hAnsi="Arial" w:cs="Arial"/>
        </w:rPr>
        <w:t xml:space="preserve">Food </w:t>
      </w:r>
      <w:r w:rsidR="007475DD">
        <w:rPr>
          <w:rFonts w:ascii="Arial" w:hAnsi="Arial" w:cs="Arial"/>
        </w:rPr>
        <w:t>and Drug Administration (FDA) and</w:t>
      </w:r>
      <w:r w:rsidR="00217C9A">
        <w:rPr>
          <w:rFonts w:ascii="Arial" w:hAnsi="Arial" w:cs="Arial"/>
        </w:rPr>
        <w:t xml:space="preserve"> the European Medici</w:t>
      </w:r>
      <w:r w:rsidR="0047605B">
        <w:rPr>
          <w:rFonts w:ascii="Arial" w:hAnsi="Arial" w:cs="Arial"/>
        </w:rPr>
        <w:t xml:space="preserve">nes Agency </w:t>
      </w:r>
      <w:r w:rsidRPr="005173FC">
        <w:rPr>
          <w:rFonts w:ascii="Arial" w:hAnsi="Arial" w:cs="Arial"/>
        </w:rPr>
        <w:t xml:space="preserve">to improve bone health and reduce the risk of fracture </w:t>
      </w:r>
      <w:r w:rsidR="00850423">
        <w:rPr>
          <w:rFonts w:ascii="Arial" w:hAnsi="Arial" w:cs="Arial"/>
        </w:rPr>
        <w:t>(F</w:t>
      </w:r>
      <w:r w:rsidR="00DA6B25">
        <w:rPr>
          <w:rFonts w:ascii="Arial" w:hAnsi="Arial" w:cs="Arial"/>
        </w:rPr>
        <w:t>igure 16</w:t>
      </w:r>
      <w:r w:rsidR="00850423">
        <w:rPr>
          <w:rFonts w:ascii="Arial" w:hAnsi="Arial" w:cs="Arial"/>
        </w:rPr>
        <w:t>)</w:t>
      </w:r>
      <w:r w:rsidRPr="005173FC">
        <w:rPr>
          <w:rFonts w:ascii="Arial" w:hAnsi="Arial" w:cs="Arial"/>
        </w:rPr>
        <w:t>.</w:t>
      </w:r>
      <w:r w:rsidR="004E057D" w:rsidRPr="005173FC">
        <w:rPr>
          <w:rFonts w:ascii="Arial" w:hAnsi="Arial" w:cs="Arial"/>
        </w:rPr>
        <w:t xml:space="preserve"> </w:t>
      </w:r>
      <w:r w:rsidRPr="005173FC">
        <w:rPr>
          <w:rFonts w:ascii="Arial" w:hAnsi="Arial" w:cs="Arial"/>
        </w:rPr>
        <w:t xml:space="preserve"> </w:t>
      </w:r>
      <w:r w:rsidR="005173FC" w:rsidRPr="005173FC">
        <w:rPr>
          <w:rFonts w:ascii="Arial" w:hAnsi="Arial" w:cs="Arial"/>
        </w:rPr>
        <w:t>The aims of these were to either inhibit</w:t>
      </w:r>
      <w:r w:rsidR="00D665B4">
        <w:rPr>
          <w:rFonts w:ascii="Arial" w:hAnsi="Arial" w:cs="Arial"/>
        </w:rPr>
        <w:t xml:space="preserve"> bone resorption i.e. </w:t>
      </w:r>
      <w:r w:rsidR="005173FC" w:rsidRPr="005173FC">
        <w:rPr>
          <w:rFonts w:ascii="Arial" w:hAnsi="Arial" w:cs="Arial"/>
        </w:rPr>
        <w:lastRenderedPageBreak/>
        <w:t xml:space="preserve">antiresorptives or to enhance bone formation i.e. anabolic. </w:t>
      </w:r>
      <w:r>
        <w:rPr>
          <w:rFonts w:ascii="Arial" w:hAnsi="Arial" w:cs="Arial"/>
        </w:rPr>
        <w:t>The assessment and monitoring of these using novel tests</w:t>
      </w:r>
      <w:r w:rsidR="00850423">
        <w:rPr>
          <w:rFonts w:ascii="Arial" w:hAnsi="Arial" w:cs="Arial"/>
        </w:rPr>
        <w:t xml:space="preserve"> and methods</w:t>
      </w:r>
      <w:r>
        <w:rPr>
          <w:rFonts w:ascii="Arial" w:hAnsi="Arial" w:cs="Arial"/>
        </w:rPr>
        <w:t xml:space="preserve"> continues to be a research area of great interest.</w:t>
      </w:r>
      <w:r w:rsidR="00850423">
        <w:rPr>
          <w:rFonts w:ascii="Arial" w:hAnsi="Arial" w:cs="Arial"/>
        </w:rPr>
        <w:t xml:space="preserve"> In addition, by applying these methods to some of the currently licenced treatments will help us to understand the effect and mechanism of action of possible future treatments.</w:t>
      </w:r>
    </w:p>
    <w:p w:rsidR="005F2D85" w:rsidRDefault="005F2D85" w:rsidP="00900F2C">
      <w:pPr>
        <w:spacing w:line="360" w:lineRule="auto"/>
        <w:rPr>
          <w:rFonts w:ascii="Arial" w:hAnsi="Arial" w:cs="Arial"/>
        </w:rPr>
      </w:pPr>
    </w:p>
    <w:p w:rsidR="00802FA5" w:rsidRDefault="00A4240B" w:rsidP="00900F2C">
      <w:pPr>
        <w:rPr>
          <w:rFonts w:ascii="Arial" w:hAnsi="Arial" w:cs="Arial"/>
        </w:rPr>
      </w:pPr>
      <w:r w:rsidRPr="008516E3">
        <w:rPr>
          <w:rFonts w:ascii="Arial" w:hAnsi="Arial" w:cs="Arial"/>
          <w:noProof/>
          <w:lang w:eastAsia="zh-CN"/>
        </w:rPr>
        <mc:AlternateContent>
          <mc:Choice Requires="wps">
            <w:drawing>
              <wp:anchor distT="0" distB="0" distL="114300" distR="114300" simplePos="0" relativeHeight="251814400" behindDoc="0" locked="0" layoutInCell="1" allowOverlap="1" wp14:anchorId="25365A86" wp14:editId="313B804D">
                <wp:simplePos x="0" y="0"/>
                <wp:positionH relativeFrom="column">
                  <wp:posOffset>1848180</wp:posOffset>
                </wp:positionH>
                <wp:positionV relativeFrom="paragraph">
                  <wp:posOffset>143510</wp:posOffset>
                </wp:positionV>
                <wp:extent cx="1277620" cy="23431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234315"/>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Pr>
                                <w:rFonts w:ascii="Arial" w:hAnsi="Arial" w:cs="Arial"/>
                                <w:sz w:val="16"/>
                                <w:szCs w:val="16"/>
                              </w:rPr>
                              <w:t>Strontium ranelate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5A86" id="_x0000_s1111" type="#_x0000_t202" style="position:absolute;margin-left:145.55pt;margin-top:11.3pt;width:100.6pt;height:18.4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" stroked="f">
                <v:textbox>
                  <w:txbxContent>
                    <w:p w:rsidR="004166BC" w:rsidRPr="00E11E49" w:rsidRDefault="004166BC" w:rsidP="00802FA5">
                      <w:pPr>
                        <w:rPr>
                          <w:rFonts w:ascii="Arial" w:hAnsi="Arial" w:cs="Arial"/>
                          <w:sz w:val="16"/>
                          <w:szCs w:val="16"/>
                        </w:rPr>
                      </w:pPr>
                      <w:r>
                        <w:rPr>
                          <w:rFonts w:ascii="Arial" w:hAnsi="Arial" w:cs="Arial"/>
                          <w:sz w:val="16"/>
                          <w:szCs w:val="16"/>
                        </w:rPr>
                        <w:t>Strontium ranelate</w:t>
                      </w:r>
                    </w:p>
                  </w:txbxContent>
                </v:textbox>
              </v:shape>
            </w:pict>
          </mc:Fallback>
        </mc:AlternateContent>
      </w:r>
      <w:r w:rsidRPr="008516E3">
        <w:rPr>
          <w:rFonts w:ascii="Arial" w:hAnsi="Arial" w:cs="Arial"/>
          <w:noProof/>
          <w:lang w:eastAsia="zh-CN"/>
        </w:rPr>
        <mc:AlternateContent>
          <mc:Choice Requires="wps">
            <w:drawing>
              <wp:anchor distT="0" distB="0" distL="114300" distR="114300" simplePos="0" relativeHeight="252253696" behindDoc="0" locked="0" layoutInCell="1" allowOverlap="1" wp14:anchorId="52B5D799" wp14:editId="251CE951">
                <wp:simplePos x="0" y="0"/>
                <wp:positionH relativeFrom="column">
                  <wp:posOffset>2772740</wp:posOffset>
                </wp:positionH>
                <wp:positionV relativeFrom="paragraph">
                  <wp:posOffset>132080</wp:posOffset>
                </wp:positionV>
                <wp:extent cx="762000" cy="23431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34315"/>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Pr>
                                <w:rFonts w:ascii="Arial" w:hAnsi="Arial" w:cs="Arial"/>
                                <w:sz w:val="16"/>
                                <w:szCs w:val="16"/>
                              </w:rPr>
                              <w:t>Denosumab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5D799" id="_x0000_s1112" type="#_x0000_t202" style="position:absolute;margin-left:218.35pt;margin-top:10.4pt;width:60pt;height:18.4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" stroked="f">
                <v:textbox>
                  <w:txbxContent>
                    <w:p w:rsidR="004166BC" w:rsidRPr="00E11E49" w:rsidRDefault="004166BC" w:rsidP="00802FA5">
                      <w:pPr>
                        <w:rPr>
                          <w:rFonts w:ascii="Arial" w:hAnsi="Arial" w:cs="Arial"/>
                          <w:sz w:val="16"/>
                          <w:szCs w:val="16"/>
                        </w:rPr>
                      </w:pPr>
                      <w:r>
                        <w:rPr>
                          <w:rFonts w:ascii="Arial" w:hAnsi="Arial" w:cs="Arial"/>
                          <w:sz w:val="16"/>
                          <w:szCs w:val="16"/>
                        </w:rPr>
                        <w:t>Denosumab</w:t>
                      </w:r>
                    </w:p>
                  </w:txbxContent>
                </v:textbox>
              </v:shape>
            </w:pict>
          </mc:Fallback>
        </mc:AlternateContent>
      </w:r>
      <w:r w:rsidR="00AF65C6" w:rsidRPr="00AF65C6">
        <w:rPr>
          <w:rFonts w:ascii="Arial" w:hAnsi="Arial" w:cs="Arial"/>
          <w:noProof/>
          <w:lang w:eastAsia="zh-CN"/>
        </w:rPr>
        <mc:AlternateContent>
          <mc:Choice Requires="wps">
            <w:drawing>
              <wp:anchor distT="0" distB="0" distL="114300" distR="114300" simplePos="0" relativeHeight="252487168" behindDoc="0" locked="0" layoutInCell="1" allowOverlap="1" wp14:anchorId="612F8F02" wp14:editId="788E1D9C">
                <wp:simplePos x="0" y="0"/>
                <wp:positionH relativeFrom="column">
                  <wp:posOffset>4048125</wp:posOffset>
                </wp:positionH>
                <wp:positionV relativeFrom="paragraph">
                  <wp:posOffset>66675</wp:posOffset>
                </wp:positionV>
                <wp:extent cx="819150" cy="354330"/>
                <wp:effectExtent l="0" t="0" r="0" b="7620"/>
                <wp:wrapNone/>
                <wp:docPr id="18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54330"/>
                        </a:xfrm>
                        <a:prstGeom prst="rect">
                          <a:avLst/>
                        </a:prstGeom>
                        <a:solidFill>
                          <a:srgbClr val="FFFFFF"/>
                        </a:solidFill>
                        <a:ln w="9525">
                          <a:noFill/>
                          <a:miter lim="800000"/>
                          <a:headEnd/>
                          <a:tailEnd/>
                        </a:ln>
                      </wps:spPr>
                      <wps:txbx>
                        <w:txbxContent>
                          <w:p w:rsidR="004166BC" w:rsidRPr="004453DB" w:rsidRDefault="004166BC" w:rsidP="00AF65C6">
                            <w:pPr>
                              <w:rPr>
                                <w:rFonts w:ascii="Arial" w:hAnsi="Arial" w:cs="Arial"/>
                                <w:color w:val="808080" w:themeColor="background1" w:themeShade="80"/>
                                <w:sz w:val="16"/>
                                <w:szCs w:val="16"/>
                              </w:rPr>
                            </w:pPr>
                            <w:r>
                              <w:rPr>
                                <w:rFonts w:ascii="Arial" w:hAnsi="Arial" w:cs="Arial"/>
                                <w:color w:val="808080" w:themeColor="background1" w:themeShade="80"/>
                                <w:sz w:val="16"/>
                                <w:szCs w:val="16"/>
                              </w:rPr>
                              <w:t>Abaloparatide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F8F02" id="_x0000_s1113" type="#_x0000_t202" style="position:absolute;margin-left:318.75pt;margin-top:5.25pt;width:64.5pt;height:27.9pt;z-index:2524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" stroked="f">
                <v:textbox>
                  <w:txbxContent>
                    <w:p w:rsidR="004166BC" w:rsidRPr="004453DB" w:rsidRDefault="004166BC" w:rsidP="00AF65C6">
                      <w:pPr>
                        <w:rPr>
                          <w:rFonts w:ascii="Arial" w:hAnsi="Arial" w:cs="Arial"/>
                          <w:color w:val="808080" w:themeColor="background1" w:themeShade="80"/>
                          <w:sz w:val="16"/>
                          <w:szCs w:val="16"/>
                        </w:rPr>
                      </w:pPr>
                      <w:r>
                        <w:rPr>
                          <w:rFonts w:ascii="Arial" w:hAnsi="Arial" w:cs="Arial"/>
                          <w:color w:val="808080" w:themeColor="background1" w:themeShade="80"/>
                          <w:sz w:val="16"/>
                          <w:szCs w:val="16"/>
                        </w:rPr>
                        <w:t>Abaloparatide</w:t>
                      </w:r>
                    </w:p>
                  </w:txbxContent>
                </v:textbox>
              </v:shape>
            </w:pict>
          </mc:Fallback>
        </mc:AlternateContent>
      </w:r>
      <w:r w:rsidR="00AF65C6" w:rsidRPr="008516E3">
        <w:rPr>
          <w:rFonts w:ascii="Arial" w:hAnsi="Arial" w:cs="Arial"/>
          <w:noProof/>
          <w:lang w:eastAsia="zh-CN"/>
        </w:rPr>
        <mc:AlternateContent>
          <mc:Choice Requires="wps">
            <w:drawing>
              <wp:anchor distT="0" distB="0" distL="114300" distR="114300" simplePos="0" relativeHeight="252433920" behindDoc="0" locked="0" layoutInCell="1" allowOverlap="1" wp14:anchorId="7F12DA5C" wp14:editId="115002D2">
                <wp:simplePos x="0" y="0"/>
                <wp:positionH relativeFrom="column">
                  <wp:posOffset>3419475</wp:posOffset>
                </wp:positionH>
                <wp:positionV relativeFrom="paragraph">
                  <wp:posOffset>46355</wp:posOffset>
                </wp:positionV>
                <wp:extent cx="819150" cy="354330"/>
                <wp:effectExtent l="0" t="0" r="0" b="7620"/>
                <wp:wrapNone/>
                <wp:docPr id="18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54330"/>
                        </a:xfrm>
                        <a:prstGeom prst="rect">
                          <a:avLst/>
                        </a:prstGeom>
                        <a:solidFill>
                          <a:srgbClr val="FFFFFF"/>
                        </a:solidFill>
                        <a:ln w="9525">
                          <a:noFill/>
                          <a:miter lim="800000"/>
                          <a:headEnd/>
                          <a:tailEnd/>
                        </a:ln>
                      </wps:spPr>
                      <wps:txbx>
                        <w:txbxContent>
                          <w:p w:rsidR="004166BC" w:rsidRPr="004453DB" w:rsidRDefault="004166BC" w:rsidP="008D42F4">
                            <w:pPr>
                              <w:rPr>
                                <w:rFonts w:ascii="Arial" w:hAnsi="Arial" w:cs="Arial"/>
                                <w:color w:val="808080" w:themeColor="background1" w:themeShade="80"/>
                                <w:sz w:val="16"/>
                                <w:szCs w:val="16"/>
                              </w:rPr>
                            </w:pPr>
                            <w:r>
                              <w:rPr>
                                <w:rFonts w:ascii="Arial" w:hAnsi="Arial" w:cs="Arial"/>
                                <w:color w:val="808080" w:themeColor="background1" w:themeShade="80"/>
                                <w:sz w:val="16"/>
                                <w:szCs w:val="16"/>
                              </w:rPr>
                              <w:t>Odanacatib           (Phase III)</w:t>
                            </w:r>
                            <w:r w:rsidRPr="004453DB">
                              <w:rPr>
                                <w:rFonts w:ascii="Arial" w:hAnsi="Arial" w:cs="Arial"/>
                                <w:color w:val="808080" w:themeColor="background1" w:themeShade="80"/>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2DA5C" id="_x0000_s1114" type="#_x0000_t202" style="position:absolute;margin-left:269.25pt;margin-top:3.65pt;width:64.5pt;height:27.9pt;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" stroked="f">
                <v:textbox>
                  <w:txbxContent>
                    <w:p w:rsidR="004166BC" w:rsidRPr="004453DB" w:rsidRDefault="004166BC" w:rsidP="008D42F4">
                      <w:pPr>
                        <w:rPr>
                          <w:rFonts w:ascii="Arial" w:hAnsi="Arial" w:cs="Arial"/>
                          <w:color w:val="808080" w:themeColor="background1" w:themeShade="80"/>
                          <w:sz w:val="16"/>
                          <w:szCs w:val="16"/>
                        </w:rPr>
                      </w:pPr>
                      <w:r>
                        <w:rPr>
                          <w:rFonts w:ascii="Arial" w:hAnsi="Arial" w:cs="Arial"/>
                          <w:color w:val="808080" w:themeColor="background1" w:themeShade="80"/>
                          <w:sz w:val="16"/>
                          <w:szCs w:val="16"/>
                        </w:rPr>
                        <w:t>Odanacatib           (Phase III)</w:t>
                      </w:r>
                      <w:r w:rsidRPr="004453DB">
                        <w:rPr>
                          <w:rFonts w:ascii="Arial" w:hAnsi="Arial" w:cs="Arial"/>
                          <w:color w:val="808080" w:themeColor="background1" w:themeShade="80"/>
                          <w:sz w:val="16"/>
                          <w:szCs w:val="16"/>
                        </w:rPr>
                        <w:t xml:space="preserve">           </w:t>
                      </w:r>
                    </w:p>
                  </w:txbxContent>
                </v:textbox>
              </v:shape>
            </w:pict>
          </mc:Fallback>
        </mc:AlternateContent>
      </w:r>
      <w:r w:rsidR="00802FA5">
        <w:rPr>
          <w:rFonts w:ascii="Arial" w:hAnsi="Arial" w:cs="Arial"/>
          <w:noProof/>
          <w:lang w:eastAsia="zh-CN"/>
        </w:rPr>
        <mc:AlternateContent>
          <mc:Choice Requires="wps">
            <w:drawing>
              <wp:anchor distT="0" distB="0" distL="114300" distR="114300" simplePos="0" relativeHeight="251726336" behindDoc="0" locked="0" layoutInCell="1" allowOverlap="1" wp14:anchorId="4588EE75" wp14:editId="3130D2E0">
                <wp:simplePos x="0" y="0"/>
                <wp:positionH relativeFrom="column">
                  <wp:posOffset>147320</wp:posOffset>
                </wp:positionH>
                <wp:positionV relativeFrom="paragraph">
                  <wp:posOffset>308610</wp:posOffset>
                </wp:positionV>
                <wp:extent cx="127635" cy="124460"/>
                <wp:effectExtent l="20638" t="0" r="45402" b="45403"/>
                <wp:wrapNone/>
                <wp:docPr id="6" name="Right Arrow 6"/>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10FF3B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026" type="#_x0000_t13" style="position:absolute;margin-left:11.6pt;margin-top:24.3pt;width:10.05pt;height:9.8pt;rotation:90;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" adj="11069" filled="f" strokecolor="#243f60 [1604]" strokeweight=".25pt"/>
            </w:pict>
          </mc:Fallback>
        </mc:AlternateContent>
      </w:r>
      <w:r w:rsidR="00802FA5" w:rsidRPr="008516E3">
        <w:rPr>
          <w:rFonts w:ascii="Arial" w:hAnsi="Arial" w:cs="Arial"/>
          <w:noProof/>
          <w:lang w:eastAsia="zh-CN"/>
        </w:rPr>
        <mc:AlternateContent>
          <mc:Choice Requires="wps">
            <w:drawing>
              <wp:anchor distT="0" distB="0" distL="114300" distR="114300" simplePos="0" relativeHeight="250425856" behindDoc="0" locked="0" layoutInCell="1" allowOverlap="1" wp14:anchorId="3916A315" wp14:editId="347B2FF3">
                <wp:simplePos x="0" y="0"/>
                <wp:positionH relativeFrom="column">
                  <wp:posOffset>-121285</wp:posOffset>
                </wp:positionH>
                <wp:positionV relativeFrom="paragraph">
                  <wp:posOffset>104140</wp:posOffset>
                </wp:positionV>
                <wp:extent cx="981075" cy="234315"/>
                <wp:effectExtent l="0" t="0" r="952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34315"/>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sidRPr="00E11E49">
                              <w:rPr>
                                <w:rFonts w:ascii="Arial" w:hAnsi="Arial" w:cs="Arial"/>
                                <w:sz w:val="16"/>
                                <w:szCs w:val="16"/>
                              </w:rPr>
                              <w:t>Etidronate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6A315" id="_x0000_s1115" type="#_x0000_t202" style="position:absolute;margin-left:-9.55pt;margin-top:8.2pt;width:77.25pt;height:18.45pt;z-index:2504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" stroked="f">
                <v:textbox>
                  <w:txbxContent>
                    <w:p w:rsidR="004166BC" w:rsidRPr="00E11E49" w:rsidRDefault="004166BC" w:rsidP="00802FA5">
                      <w:pPr>
                        <w:rPr>
                          <w:rFonts w:ascii="Arial" w:hAnsi="Arial" w:cs="Arial"/>
                          <w:sz w:val="16"/>
                          <w:szCs w:val="16"/>
                        </w:rPr>
                      </w:pPr>
                      <w:r w:rsidRPr="00E11E49">
                        <w:rPr>
                          <w:rFonts w:ascii="Arial" w:hAnsi="Arial" w:cs="Arial"/>
                          <w:sz w:val="16"/>
                          <w:szCs w:val="16"/>
                        </w:rPr>
                        <w:t>Etidronate</w:t>
                      </w:r>
                    </w:p>
                  </w:txbxContent>
                </v:textbox>
              </v:shape>
            </w:pict>
          </mc:Fallback>
        </mc:AlternateContent>
      </w:r>
      <w:r w:rsidR="00802FA5" w:rsidRPr="008516E3">
        <w:rPr>
          <w:rFonts w:ascii="Arial" w:hAnsi="Arial" w:cs="Arial"/>
          <w:noProof/>
          <w:lang w:eastAsia="zh-CN"/>
        </w:rPr>
        <mc:AlternateContent>
          <mc:Choice Requires="wps">
            <w:drawing>
              <wp:anchor distT="0" distB="0" distL="114300" distR="114300" simplePos="0" relativeHeight="250352128" behindDoc="0" locked="0" layoutInCell="1" allowOverlap="1" wp14:anchorId="74EB5684" wp14:editId="0362EC9C">
                <wp:simplePos x="0" y="0"/>
                <wp:positionH relativeFrom="column">
                  <wp:posOffset>1256665</wp:posOffset>
                </wp:positionH>
                <wp:positionV relativeFrom="paragraph">
                  <wp:posOffset>11430</wp:posOffset>
                </wp:positionV>
                <wp:extent cx="1292225" cy="550545"/>
                <wp:effectExtent l="0" t="0" r="3175" b="190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550545"/>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sidRPr="00E11E49">
                              <w:rPr>
                                <w:rFonts w:ascii="Arial" w:hAnsi="Arial" w:cs="Arial"/>
                                <w:sz w:val="16"/>
                                <w:szCs w:val="16"/>
                              </w:rPr>
                              <w:t xml:space="preserve">Risedronate </w:t>
                            </w:r>
                            <w:r>
                              <w:rPr>
                                <w:rFonts w:ascii="Arial" w:hAnsi="Arial" w:cs="Arial"/>
                                <w:sz w:val="16"/>
                                <w:szCs w:val="16"/>
                              </w:rPr>
                              <w:t xml:space="preserve">         </w:t>
                            </w:r>
                            <w:r w:rsidRPr="00E11E49">
                              <w:rPr>
                                <w:rFonts w:ascii="Arial" w:hAnsi="Arial" w:cs="Arial"/>
                                <w:sz w:val="16"/>
                                <w:szCs w:val="16"/>
                              </w:rPr>
                              <w:t>Raloxifene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B5684" id="_x0000_s1116" type="#_x0000_t202" style="position:absolute;margin-left:98.95pt;margin-top:.9pt;width:101.75pt;height:43.35pt;z-index:2503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" stroked="f">
                <v:textbox>
                  <w:txbxContent>
                    <w:p w:rsidR="004166BC" w:rsidRPr="00E11E49" w:rsidRDefault="004166BC" w:rsidP="00802FA5">
                      <w:pPr>
                        <w:rPr>
                          <w:rFonts w:ascii="Arial" w:hAnsi="Arial" w:cs="Arial"/>
                          <w:sz w:val="16"/>
                          <w:szCs w:val="16"/>
                        </w:rPr>
                      </w:pPr>
                      <w:r w:rsidRPr="00E11E49">
                        <w:rPr>
                          <w:rFonts w:ascii="Arial" w:hAnsi="Arial" w:cs="Arial"/>
                          <w:sz w:val="16"/>
                          <w:szCs w:val="16"/>
                        </w:rPr>
                        <w:t xml:space="preserve">Risedronate </w:t>
                      </w:r>
                      <w:r>
                        <w:rPr>
                          <w:rFonts w:ascii="Arial" w:hAnsi="Arial" w:cs="Arial"/>
                          <w:sz w:val="16"/>
                          <w:szCs w:val="16"/>
                        </w:rPr>
                        <w:t xml:space="preserve">         </w:t>
                      </w:r>
                      <w:r w:rsidRPr="00E11E49">
                        <w:rPr>
                          <w:rFonts w:ascii="Arial" w:hAnsi="Arial" w:cs="Arial"/>
                          <w:sz w:val="16"/>
                          <w:szCs w:val="16"/>
                        </w:rPr>
                        <w:t>Raloxifene</w:t>
                      </w:r>
                    </w:p>
                  </w:txbxContent>
                </v:textbox>
              </v:shape>
            </w:pict>
          </mc:Fallback>
        </mc:AlternateContent>
      </w:r>
      <w:r w:rsidR="00802FA5">
        <w:rPr>
          <w:rFonts w:ascii="Arial" w:hAnsi="Arial" w:cs="Arial"/>
          <w:noProof/>
          <w:lang w:eastAsia="zh-CN"/>
        </w:rPr>
        <mc:AlternateContent>
          <mc:Choice Requires="wps">
            <w:drawing>
              <wp:anchor distT="0" distB="0" distL="114300" distR="114300" simplePos="0" relativeHeight="253434368" behindDoc="0" locked="0" layoutInCell="1" allowOverlap="1" wp14:anchorId="051BCA75" wp14:editId="16329D4F">
                <wp:simplePos x="0" y="0"/>
                <wp:positionH relativeFrom="column">
                  <wp:posOffset>2226945</wp:posOffset>
                </wp:positionH>
                <wp:positionV relativeFrom="paragraph">
                  <wp:posOffset>320040</wp:posOffset>
                </wp:positionV>
                <wp:extent cx="127635" cy="124460"/>
                <wp:effectExtent l="20638" t="0" r="45402" b="45403"/>
                <wp:wrapNone/>
                <wp:docPr id="14" name="Right Arrow 14"/>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3A4520" id="Right Arrow 14" o:spid="_x0000_s1026" type="#_x0000_t13" style="position:absolute;margin-left:175.35pt;margin-top:25.2pt;width:10.05pt;height:9.8pt;rotation:90;z-index:2534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" adj="11069" filled="f" strokecolor="#243f60 [1604]" strokeweight=".25pt"/>
            </w:pict>
          </mc:Fallback>
        </mc:AlternateContent>
      </w:r>
      <w:r w:rsidR="00802FA5">
        <w:rPr>
          <w:rFonts w:ascii="Arial" w:hAnsi="Arial" w:cs="Arial"/>
          <w:noProof/>
          <w:lang w:eastAsia="zh-CN"/>
        </w:rPr>
        <mc:AlternateContent>
          <mc:Choice Requires="wps">
            <w:drawing>
              <wp:anchor distT="0" distB="0" distL="114300" distR="114300" simplePos="0" relativeHeight="251868672" behindDoc="0" locked="0" layoutInCell="1" allowOverlap="1" wp14:anchorId="2EC99905" wp14:editId="07002CF0">
                <wp:simplePos x="0" y="0"/>
                <wp:positionH relativeFrom="column">
                  <wp:posOffset>1495425</wp:posOffset>
                </wp:positionH>
                <wp:positionV relativeFrom="paragraph">
                  <wp:posOffset>330200</wp:posOffset>
                </wp:positionV>
                <wp:extent cx="127635" cy="124460"/>
                <wp:effectExtent l="20638" t="0" r="45402" b="45403"/>
                <wp:wrapNone/>
                <wp:docPr id="10" name="Right Arrow 10"/>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F23010" id="Right Arrow 10" o:spid="_x0000_s1026" type="#_x0000_t13" style="position:absolute;margin-left:117.75pt;margin-top:26pt;width:10.05pt;height:9.8pt;rotation:90;z-index:25186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" adj="11069" filled="f" strokecolor="#243f60 [1604]" strokeweight=".25pt"/>
            </w:pict>
          </mc:Fallback>
        </mc:AlternateContent>
      </w:r>
      <w:r w:rsidR="00802FA5">
        <w:rPr>
          <w:rFonts w:ascii="Arial" w:hAnsi="Arial" w:cs="Arial"/>
          <w:noProof/>
          <w:lang w:eastAsia="zh-CN"/>
        </w:rPr>
        <mc:AlternateContent>
          <mc:Choice Requires="wps">
            <w:drawing>
              <wp:anchor distT="0" distB="0" distL="114300" distR="114300" simplePos="0" relativeHeight="252648960" behindDoc="0" locked="0" layoutInCell="1" allowOverlap="1" wp14:anchorId="2CC897AE" wp14:editId="266FB34C">
                <wp:simplePos x="0" y="0"/>
                <wp:positionH relativeFrom="column">
                  <wp:posOffset>3147060</wp:posOffset>
                </wp:positionH>
                <wp:positionV relativeFrom="paragraph">
                  <wp:posOffset>330200</wp:posOffset>
                </wp:positionV>
                <wp:extent cx="127635" cy="124460"/>
                <wp:effectExtent l="20638" t="0" r="45402" b="45403"/>
                <wp:wrapNone/>
                <wp:docPr id="19" name="Right Arrow 19"/>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3F00BE" id="Right Arrow 19" o:spid="_x0000_s1026" type="#_x0000_t13" style="position:absolute;margin-left:247.8pt;margin-top:26pt;width:10.05pt;height:9.8pt;rotation:90;z-index:25264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" adj="11069" filled="f" strokecolor="#243f60 [1604]" strokeweight=".25pt"/>
            </w:pict>
          </mc:Fallback>
        </mc:AlternateContent>
      </w:r>
    </w:p>
    <w:p w:rsidR="00802FA5" w:rsidRDefault="0003555B" w:rsidP="00900F2C">
      <w:pPr>
        <w:rPr>
          <w:rFonts w:ascii="Arial" w:hAnsi="Arial" w:cs="Arial"/>
        </w:rPr>
      </w:pPr>
      <w:r>
        <w:rPr>
          <w:rFonts w:ascii="Arial" w:hAnsi="Arial" w:cs="Arial"/>
          <w:noProof/>
          <w:lang w:eastAsia="zh-CN"/>
        </w:rPr>
        <mc:AlternateContent>
          <mc:Choice Requires="wpg">
            <w:drawing>
              <wp:anchor distT="0" distB="0" distL="114300" distR="114300" simplePos="0" relativeHeight="252109312" behindDoc="0" locked="0" layoutInCell="1" allowOverlap="1" wp14:anchorId="263E3038" wp14:editId="3ACCA45E">
                <wp:simplePos x="0" y="0"/>
                <wp:positionH relativeFrom="column">
                  <wp:posOffset>109728</wp:posOffset>
                </wp:positionH>
                <wp:positionV relativeFrom="paragraph">
                  <wp:posOffset>269596</wp:posOffset>
                </wp:positionV>
                <wp:extent cx="5340097" cy="243205"/>
                <wp:effectExtent l="0" t="0" r="13335" b="23495"/>
                <wp:wrapNone/>
                <wp:docPr id="3" name="Group 3"/>
                <wp:cNvGraphicFramePr/>
                <a:graphic xmlns:a="http://schemas.openxmlformats.org/drawingml/2006/main">
                  <a:graphicData uri="http://schemas.microsoft.com/office/word/2010/wordprocessingGroup">
                    <wpg:wgp>
                      <wpg:cNvGrpSpPr/>
                      <wpg:grpSpPr>
                        <a:xfrm>
                          <a:off x="0" y="0"/>
                          <a:ext cx="5340097" cy="243205"/>
                          <a:chOff x="-1" y="0"/>
                          <a:chExt cx="5111995" cy="292033"/>
                        </a:xfrm>
                      </wpg:grpSpPr>
                      <wps:wsp>
                        <wps:cNvPr id="374" name="Rectangle 1"/>
                        <wps:cNvSpPr/>
                        <wps:spPr>
                          <a:xfrm>
                            <a:off x="-1" y="0"/>
                            <a:ext cx="3480547" cy="292033"/>
                          </a:xfrm>
                          <a:prstGeom prst="rect">
                            <a:avLst/>
                          </a:prstGeom>
                          <a:solidFill>
                            <a:schemeClr val="bg1">
                              <a:lumMod val="95000"/>
                            </a:schemeClr>
                          </a:solid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ctangle 2"/>
                        <wps:cNvSpPr/>
                        <wps:spPr>
                          <a:xfrm>
                            <a:off x="3114852" y="0"/>
                            <a:ext cx="1997142" cy="292033"/>
                          </a:xfrm>
                          <a:prstGeom prst="rect">
                            <a:avLst/>
                          </a:prstGeom>
                          <a:solidFill>
                            <a:schemeClr val="bg1">
                              <a:lumMod val="85000"/>
                            </a:schemeClr>
                          </a:solid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380A24" id="Group 3" o:spid="_x0000_s1026" style="position:absolute;margin-left:8.65pt;margin-top:21.25pt;width:420.5pt;height:19.15pt;z-index:252109312;mso-width-relative:margin;mso-height-relative:margin" coordorigin="" coordsize="51119,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">
                <v:rect id="Rectangle 1" o:spid="_x0000_s1027" style="position:absolute;width:34805;height:2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" fillcolor="#f2f2f2 [3052]" strokecolor="black [3213]"/>
                <v:rect id="Rectangle 2" o:spid="_x0000_s1028" style="position:absolute;left:31148;width:19971;height:2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" fillcolor="#d8d8d8 [2732]" strokecolor="black [3213]">
                  <v:stroke dashstyle="3 1"/>
                </v:rect>
              </v:group>
            </w:pict>
          </mc:Fallback>
        </mc:AlternateContent>
      </w:r>
      <w:r w:rsidR="00AF65C6" w:rsidRPr="00AF65C6">
        <w:rPr>
          <w:rFonts w:ascii="Arial" w:hAnsi="Arial" w:cs="Arial"/>
          <w:noProof/>
          <w:lang w:eastAsia="zh-CN"/>
        </w:rPr>
        <mc:AlternateContent>
          <mc:Choice Requires="wps">
            <w:drawing>
              <wp:anchor distT="0" distB="0" distL="114300" distR="114300" simplePos="0" relativeHeight="253416960" behindDoc="0" locked="0" layoutInCell="1" allowOverlap="1" wp14:anchorId="57CA83B0" wp14:editId="0F2AD31A">
                <wp:simplePos x="0" y="0"/>
                <wp:positionH relativeFrom="column">
                  <wp:posOffset>4219257</wp:posOffset>
                </wp:positionH>
                <wp:positionV relativeFrom="paragraph">
                  <wp:posOffset>21273</wp:posOffset>
                </wp:positionV>
                <wp:extent cx="127635" cy="124460"/>
                <wp:effectExtent l="20638" t="0" r="45402" b="45403"/>
                <wp:wrapNone/>
                <wp:docPr id="18539" name="Right Arrow 18539"/>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a:solidFill>
                            <a:schemeClr val="bg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2A5B35" id="Right Arrow 18539" o:spid="_x0000_s1026" type="#_x0000_t13" style="position:absolute;margin-left:332.2pt;margin-top:1.7pt;width:10.05pt;height:9.8pt;rotation:90;z-index:2534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" adj="11069" filled="f" strokecolor="#7f7f7f [1612]" strokeweight=".25pt">
                <v:stroke dashstyle="3 1"/>
              </v:shape>
            </w:pict>
          </mc:Fallback>
        </mc:AlternateContent>
      </w:r>
      <w:r w:rsidR="008D42F4">
        <w:rPr>
          <w:rFonts w:ascii="Arial" w:hAnsi="Arial" w:cs="Arial"/>
          <w:noProof/>
          <w:lang w:eastAsia="zh-CN"/>
        </w:rPr>
        <mc:AlternateContent>
          <mc:Choice Requires="wps">
            <w:drawing>
              <wp:anchor distT="0" distB="0" distL="114300" distR="114300" simplePos="0" relativeHeight="253399552" behindDoc="0" locked="0" layoutInCell="1" allowOverlap="1" wp14:anchorId="78F14FF4" wp14:editId="5C9536BB">
                <wp:simplePos x="0" y="0"/>
                <wp:positionH relativeFrom="column">
                  <wp:posOffset>3838257</wp:posOffset>
                </wp:positionH>
                <wp:positionV relativeFrom="paragraph">
                  <wp:posOffset>29528</wp:posOffset>
                </wp:positionV>
                <wp:extent cx="127635" cy="124460"/>
                <wp:effectExtent l="20638" t="0" r="45402" b="45403"/>
                <wp:wrapNone/>
                <wp:docPr id="18522" name="Right Arrow 18522"/>
                <wp:cNvGraphicFramePr/>
                <a:graphic xmlns:a="http://schemas.openxmlformats.org/drawingml/2006/main">
                  <a:graphicData uri="http://schemas.microsoft.com/office/word/2010/wordprocessingShape">
                    <wps:wsp>
                      <wps:cNvSpPr/>
                      <wps:spPr>
                        <a:xfrm rot="5400000">
                          <a:off x="0" y="0"/>
                          <a:ext cx="127635" cy="124460"/>
                        </a:xfrm>
                        <a:prstGeom prst="rightArrow">
                          <a:avLst/>
                        </a:prstGeom>
                        <a:noFill/>
                        <a:ln w="3175">
                          <a:solidFill>
                            <a:schemeClr val="bg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C77CFC3" id="Right Arrow 18522" o:spid="_x0000_s1026" type="#_x0000_t13" style="position:absolute;margin-left:302.2pt;margin-top:2.35pt;width:10.05pt;height:9.8pt;rotation:90;z-index:2533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" adj="11069" filled="f" strokecolor="#7f7f7f [1612]" strokeweight=".25pt">
                <v:stroke dashstyle="3 1"/>
              </v:shape>
            </w:pict>
          </mc:Fallback>
        </mc:AlternateContent>
      </w:r>
      <w:r w:rsidR="00802FA5" w:rsidRPr="00810F4C">
        <w:rPr>
          <w:rFonts w:ascii="Arial" w:hAnsi="Arial" w:cs="Arial"/>
          <w:noProof/>
          <w:lang w:eastAsia="zh-CN"/>
        </w:rPr>
        <mc:AlternateContent>
          <mc:Choice Requires="wps">
            <w:drawing>
              <wp:anchor distT="0" distB="0" distL="114300" distR="114300" simplePos="0" relativeHeight="252772864" behindDoc="0" locked="0" layoutInCell="1" allowOverlap="1" wp14:anchorId="63617DC5" wp14:editId="2E22E69A">
                <wp:simplePos x="0" y="0"/>
                <wp:positionH relativeFrom="column">
                  <wp:posOffset>1369206</wp:posOffset>
                </wp:positionH>
                <wp:positionV relativeFrom="paragraph">
                  <wp:posOffset>304933</wp:posOffset>
                </wp:positionV>
                <wp:extent cx="1488892" cy="1905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892" cy="190500"/>
                        </a:xfrm>
                        <a:prstGeom prst="rect">
                          <a:avLst/>
                        </a:prstGeom>
                        <a:solidFill>
                          <a:schemeClr val="bg1">
                            <a:lumMod val="95000"/>
                          </a:schemeClr>
                        </a:solidFill>
                        <a:ln w="9525">
                          <a:noFill/>
                          <a:miter lim="800000"/>
                          <a:headEnd/>
                          <a:tailEnd/>
                        </a:ln>
                      </wps:spPr>
                      <wps:txbx>
                        <w:txbxContent>
                          <w:p w:rsidR="004166BC" w:rsidRPr="009F6DD4" w:rsidRDefault="004166BC" w:rsidP="00802FA5">
                            <w:pPr>
                              <w:rPr>
                                <w:rFonts w:ascii="Arial" w:hAnsi="Arial" w:cs="Arial"/>
                                <w:sz w:val="12"/>
                                <w:szCs w:val="12"/>
                              </w:rPr>
                            </w:pPr>
                            <w:r w:rsidRPr="009F6DD4">
                              <w:rPr>
                                <w:rFonts w:ascii="Arial" w:hAnsi="Arial" w:cs="Arial"/>
                                <w:sz w:val="12"/>
                                <w:szCs w:val="12"/>
                              </w:rPr>
                              <w:t>The past 25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17DC5" id="_x0000_s1117" type="#_x0000_t202" style="position:absolute;margin-left:107.8pt;margin-top:24pt;width:117.25pt;height:15pt;z-index:25277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" fillcolor="#f2f2f2 [3052]" stroked="f">
                <v:textbox>
                  <w:txbxContent>
                    <w:p w:rsidR="004166BC" w:rsidRPr="009F6DD4" w:rsidRDefault="004166BC" w:rsidP="00802FA5">
                      <w:pPr>
                        <w:rPr>
                          <w:rFonts w:ascii="Arial" w:hAnsi="Arial" w:cs="Arial"/>
                          <w:sz w:val="12"/>
                          <w:szCs w:val="12"/>
                        </w:rPr>
                      </w:pPr>
                      <w:r w:rsidRPr="009F6DD4">
                        <w:rPr>
                          <w:rFonts w:ascii="Arial" w:hAnsi="Arial" w:cs="Arial"/>
                          <w:sz w:val="12"/>
                          <w:szCs w:val="12"/>
                        </w:rPr>
                        <w:t>The past 25 years</w:t>
                      </w:r>
                    </w:p>
                  </w:txbxContent>
                </v:textbox>
              </v:shape>
            </w:pict>
          </mc:Fallback>
        </mc:AlternateContent>
      </w:r>
      <w:r w:rsidR="00802FA5" w:rsidRPr="00810F4C">
        <w:rPr>
          <w:rFonts w:ascii="Arial" w:hAnsi="Arial" w:cs="Arial"/>
          <w:noProof/>
          <w:lang w:eastAsia="zh-CN"/>
        </w:rPr>
        <mc:AlternateContent>
          <mc:Choice Requires="wps">
            <w:drawing>
              <wp:anchor distT="0" distB="0" distL="114300" distR="114300" simplePos="0" relativeHeight="252755456" behindDoc="0" locked="0" layoutInCell="1" allowOverlap="1" wp14:anchorId="0BF57B57" wp14:editId="63896077">
                <wp:simplePos x="0" y="0"/>
                <wp:positionH relativeFrom="column">
                  <wp:posOffset>4365283</wp:posOffset>
                </wp:positionH>
                <wp:positionV relativeFrom="paragraph">
                  <wp:posOffset>297180</wp:posOffset>
                </wp:positionV>
                <wp:extent cx="1038860" cy="190500"/>
                <wp:effectExtent l="0" t="0" r="889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190500"/>
                        </a:xfrm>
                        <a:prstGeom prst="rect">
                          <a:avLst/>
                        </a:prstGeom>
                        <a:solidFill>
                          <a:schemeClr val="bg1">
                            <a:lumMod val="85000"/>
                          </a:schemeClr>
                        </a:solidFill>
                        <a:ln w="9525">
                          <a:noFill/>
                          <a:miter lim="800000"/>
                          <a:headEnd/>
                          <a:tailEnd/>
                        </a:ln>
                      </wps:spPr>
                      <wps:txbx>
                        <w:txbxContent>
                          <w:p w:rsidR="004166BC" w:rsidRPr="00003AF9" w:rsidRDefault="004166BC" w:rsidP="00802FA5">
                            <w:pPr>
                              <w:rPr>
                                <w:rFonts w:ascii="Arial" w:hAnsi="Arial" w:cs="Arial"/>
                                <w:color w:val="808080" w:themeColor="background1" w:themeShade="80"/>
                                <w:sz w:val="12"/>
                                <w:szCs w:val="12"/>
                              </w:rPr>
                            </w:pPr>
                            <w:r>
                              <w:rPr>
                                <w:rFonts w:ascii="Arial" w:hAnsi="Arial" w:cs="Arial"/>
                                <w:color w:val="808080" w:themeColor="background1" w:themeShade="80"/>
                                <w:sz w:val="12"/>
                                <w:szCs w:val="12"/>
                              </w:rPr>
                              <w:t>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57B57" id="_x0000_s1118" type="#_x0000_t202" style="position:absolute;margin-left:343.7pt;margin-top:23.4pt;width:81.8pt;height:15pt;z-index:2527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" fillcolor="#d8d8d8 [2732]" stroked="f">
                <v:textbox>
                  <w:txbxContent>
                    <w:p w:rsidR="004166BC" w:rsidRPr="00003AF9" w:rsidRDefault="004166BC" w:rsidP="00802FA5">
                      <w:pPr>
                        <w:rPr>
                          <w:rFonts w:ascii="Arial" w:hAnsi="Arial" w:cs="Arial"/>
                          <w:color w:val="808080" w:themeColor="background1" w:themeShade="80"/>
                          <w:sz w:val="12"/>
                          <w:szCs w:val="12"/>
                        </w:rPr>
                      </w:pPr>
                      <w:r>
                        <w:rPr>
                          <w:rFonts w:ascii="Arial" w:hAnsi="Arial" w:cs="Arial"/>
                          <w:color w:val="808080" w:themeColor="background1" w:themeShade="80"/>
                          <w:sz w:val="12"/>
                          <w:szCs w:val="12"/>
                        </w:rPr>
                        <w:t>The Future</w:t>
                      </w:r>
                    </w:p>
                  </w:txbxContent>
                </v:textbox>
              </v:shape>
            </w:pict>
          </mc:Fallback>
        </mc:AlternateContent>
      </w:r>
    </w:p>
    <w:p w:rsidR="00802FA5" w:rsidRDefault="0003555B" w:rsidP="00900F2C">
      <w:pPr>
        <w:rPr>
          <w:rFonts w:ascii="Arial" w:hAnsi="Arial" w:cs="Arial"/>
        </w:rPr>
      </w:pPr>
      <w:r w:rsidRPr="008516E3">
        <w:rPr>
          <w:rFonts w:ascii="Arial" w:hAnsi="Arial" w:cs="Arial"/>
          <w:noProof/>
          <w:lang w:eastAsia="zh-CN"/>
        </w:rPr>
        <mc:AlternateContent>
          <mc:Choice Requires="wps">
            <w:drawing>
              <wp:anchor distT="0" distB="0" distL="114300" distR="114300" simplePos="0" relativeHeight="252022272" behindDoc="0" locked="0" layoutInCell="1" allowOverlap="1" wp14:anchorId="2846A759" wp14:editId="398ECD4F">
                <wp:simplePos x="0" y="0"/>
                <wp:positionH relativeFrom="column">
                  <wp:posOffset>3079115</wp:posOffset>
                </wp:positionH>
                <wp:positionV relativeFrom="paragraph">
                  <wp:posOffset>160325</wp:posOffset>
                </wp:positionV>
                <wp:extent cx="564515" cy="234315"/>
                <wp:effectExtent l="0" t="0" r="698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34315"/>
                        </a:xfrm>
                        <a:prstGeom prst="rect">
                          <a:avLst/>
                        </a:prstGeom>
                        <a:solidFill>
                          <a:srgbClr val="FFFFFF"/>
                        </a:solidFill>
                        <a:ln w="9525">
                          <a:noFill/>
                          <a:miter lim="800000"/>
                          <a:headEnd/>
                          <a:tailEnd/>
                        </a:ln>
                      </wps:spPr>
                      <wps:txbx>
                        <w:txbxContent>
                          <w:p w:rsidR="004166BC" w:rsidRDefault="004166BC" w:rsidP="00802FA5">
                            <w:r>
                              <w:t>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6A759" id="_x0000_s1119" type="#_x0000_t202" style="position:absolute;margin-left:242.45pt;margin-top:12.6pt;width:44.45pt;height:18.4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" stroked="f">
                <v:textbox>
                  <w:txbxContent>
                    <w:p w:rsidR="004166BC" w:rsidRDefault="004166BC" w:rsidP="00802FA5">
                      <w:r>
                        <w:t>2010</w:t>
                      </w:r>
                    </w:p>
                  </w:txbxContent>
                </v:textbox>
              </v:shape>
            </w:pict>
          </mc:Fallback>
        </mc:AlternateContent>
      </w:r>
      <w:r w:rsidR="008D42F4" w:rsidRPr="008516E3">
        <w:rPr>
          <w:rFonts w:ascii="Arial" w:hAnsi="Arial" w:cs="Arial"/>
          <w:noProof/>
          <w:lang w:eastAsia="zh-CN"/>
        </w:rPr>
        <mc:AlternateContent>
          <mc:Choice Requires="wps">
            <w:drawing>
              <wp:anchor distT="0" distB="0" distL="114300" distR="114300" simplePos="0" relativeHeight="251968000" behindDoc="0" locked="0" layoutInCell="1" allowOverlap="1" wp14:anchorId="36673095" wp14:editId="2FBF98A6">
                <wp:simplePos x="0" y="0"/>
                <wp:positionH relativeFrom="column">
                  <wp:posOffset>4552950</wp:posOffset>
                </wp:positionH>
                <wp:positionV relativeFrom="paragraph">
                  <wp:posOffset>156210</wp:posOffset>
                </wp:positionV>
                <wp:extent cx="564515" cy="234315"/>
                <wp:effectExtent l="0" t="0" r="6985" b="0"/>
                <wp:wrapNone/>
                <wp:docPr id="18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34315"/>
                        </a:xfrm>
                        <a:prstGeom prst="rect">
                          <a:avLst/>
                        </a:prstGeom>
                        <a:solidFill>
                          <a:srgbClr val="FFFFFF"/>
                        </a:solidFill>
                        <a:ln w="9525">
                          <a:noFill/>
                          <a:miter lim="800000"/>
                          <a:headEnd/>
                          <a:tailEnd/>
                        </a:ln>
                      </wps:spPr>
                      <wps:txbx>
                        <w:txbxContent>
                          <w:p w:rsidR="004166BC" w:rsidRDefault="004166BC" w:rsidP="008D42F4">
                            <w:r>
                              <w:t>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73095" id="_x0000_s1120" type="#_x0000_t202" style="position:absolute;margin-left:358.5pt;margin-top:12.3pt;width:44.45pt;height:18.4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" stroked="f">
                <v:textbox>
                  <w:txbxContent>
                    <w:p w:rsidR="004166BC" w:rsidRDefault="004166BC" w:rsidP="008D42F4">
                      <w:r>
                        <w:t>2020</w:t>
                      </w:r>
                    </w:p>
                  </w:txbxContent>
                </v:textbox>
              </v:shape>
            </w:pict>
          </mc:Fallback>
        </mc:AlternateContent>
      </w:r>
      <w:r w:rsidR="00003AF9" w:rsidRPr="008516E3">
        <w:rPr>
          <w:rFonts w:ascii="Arial" w:hAnsi="Arial" w:cs="Arial"/>
          <w:noProof/>
          <w:lang w:eastAsia="zh-CN"/>
        </w:rPr>
        <mc:AlternateContent>
          <mc:Choice Requires="wps">
            <w:drawing>
              <wp:anchor distT="0" distB="0" distL="114300" distR="114300" simplePos="0" relativeHeight="252039680" behindDoc="0" locked="0" layoutInCell="1" allowOverlap="1" wp14:anchorId="644FEDF2" wp14:editId="69684E5A">
                <wp:simplePos x="0" y="0"/>
                <wp:positionH relativeFrom="column">
                  <wp:posOffset>-147955</wp:posOffset>
                </wp:positionH>
                <wp:positionV relativeFrom="paragraph">
                  <wp:posOffset>150495</wp:posOffset>
                </wp:positionV>
                <wp:extent cx="564515" cy="516890"/>
                <wp:effectExtent l="0" t="0" r="698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516890"/>
                        </a:xfrm>
                        <a:prstGeom prst="rect">
                          <a:avLst/>
                        </a:prstGeom>
                        <a:solidFill>
                          <a:srgbClr val="FFFFFF"/>
                        </a:solidFill>
                        <a:ln w="9525">
                          <a:noFill/>
                          <a:miter lim="800000"/>
                          <a:headEnd/>
                          <a:tailEnd/>
                        </a:ln>
                      </wps:spPr>
                      <wps:txbx>
                        <w:txbxContent>
                          <w:p w:rsidR="004166BC" w:rsidRPr="00460023" w:rsidRDefault="004166BC" w:rsidP="00802FA5">
                            <w:pPr>
                              <w:rPr>
                                <w:rFonts w:ascii="Arial" w:hAnsi="Arial" w:cs="Arial"/>
                                <w:sz w:val="16"/>
                                <w:szCs w:val="16"/>
                              </w:rPr>
                            </w:pPr>
                            <w:r w:rsidRPr="00003AF9">
                              <w:rPr>
                                <w:rFonts w:ascii="Calibri" w:hAnsi="Calibri" w:cs="Arial"/>
                              </w:rPr>
                              <w:t xml:space="preserve">1990 </w:t>
                            </w:r>
                            <w:r w:rsidRPr="00460023">
                              <w:rPr>
                                <w:rFonts w:ascii="Arial" w:hAnsi="Arial" w:cs="Arial"/>
                                <w:sz w:val="16"/>
                                <w:szCs w:val="16"/>
                              </w:rPr>
                              <w:t>(Year)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FEDF2" id="_x0000_s1121" type="#_x0000_t202" style="position:absolute;margin-left:-11.65pt;margin-top:11.85pt;width:44.45pt;height:40.7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" stroked="f">
                <v:textbox>
                  <w:txbxContent>
                    <w:p w:rsidR="004166BC" w:rsidRPr="00460023" w:rsidRDefault="004166BC" w:rsidP="00802FA5">
                      <w:pPr>
                        <w:rPr>
                          <w:rFonts w:ascii="Arial" w:hAnsi="Arial" w:cs="Arial"/>
                          <w:sz w:val="16"/>
                          <w:szCs w:val="16"/>
                        </w:rPr>
                      </w:pPr>
                      <w:r w:rsidRPr="00003AF9">
                        <w:rPr>
                          <w:rFonts w:ascii="Calibri" w:hAnsi="Calibri" w:cs="Arial"/>
                        </w:rPr>
                        <w:t xml:space="preserve">1990 </w:t>
                      </w:r>
                      <w:r w:rsidRPr="00460023">
                        <w:rPr>
                          <w:rFonts w:ascii="Arial" w:hAnsi="Arial" w:cs="Arial"/>
                          <w:sz w:val="16"/>
                          <w:szCs w:val="16"/>
                        </w:rPr>
                        <w:t>(Year)</w:t>
                      </w:r>
                    </w:p>
                  </w:txbxContent>
                </v:textbox>
              </v:shape>
            </w:pict>
          </mc:Fallback>
        </mc:AlternateContent>
      </w:r>
      <w:r w:rsidR="00802FA5" w:rsidRPr="008516E3">
        <w:rPr>
          <w:rFonts w:ascii="Arial" w:hAnsi="Arial" w:cs="Arial"/>
          <w:noProof/>
          <w:lang w:eastAsia="zh-CN"/>
        </w:rPr>
        <mc:AlternateContent>
          <mc:Choice Requires="wps">
            <w:drawing>
              <wp:anchor distT="0" distB="0" distL="114300" distR="114300" simplePos="0" relativeHeight="250633728" behindDoc="0" locked="0" layoutInCell="1" allowOverlap="1" wp14:anchorId="6192D30C" wp14:editId="58B752F7">
                <wp:simplePos x="0" y="0"/>
                <wp:positionH relativeFrom="column">
                  <wp:posOffset>1521460</wp:posOffset>
                </wp:positionH>
                <wp:positionV relativeFrom="paragraph">
                  <wp:posOffset>156503</wp:posOffset>
                </wp:positionV>
                <wp:extent cx="564515" cy="234315"/>
                <wp:effectExtent l="0" t="0" r="6985"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34315"/>
                        </a:xfrm>
                        <a:prstGeom prst="rect">
                          <a:avLst/>
                        </a:prstGeom>
                        <a:solidFill>
                          <a:srgbClr val="FFFFFF"/>
                        </a:solidFill>
                        <a:ln w="9525">
                          <a:noFill/>
                          <a:miter lim="800000"/>
                          <a:headEnd/>
                          <a:tailEnd/>
                        </a:ln>
                      </wps:spPr>
                      <wps:txbx>
                        <w:txbxContent>
                          <w:p w:rsidR="004166BC" w:rsidRDefault="004166BC" w:rsidP="00802FA5">
                            <w: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2D30C" id="_x0000_s1122" type="#_x0000_t202" style="position:absolute;margin-left:119.8pt;margin-top:12.3pt;width:44.45pt;height:18.45pt;z-index:2506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" stroked="f">
                <v:textbox>
                  <w:txbxContent>
                    <w:p w:rsidR="004166BC" w:rsidRDefault="004166BC" w:rsidP="00802FA5">
                      <w:r>
                        <w:t>2000</w:t>
                      </w:r>
                    </w:p>
                  </w:txbxContent>
                </v:textbox>
              </v:shape>
            </w:pict>
          </mc:Fallback>
        </mc:AlternateContent>
      </w:r>
      <w:r w:rsidR="00802FA5" w:rsidRPr="008516E3">
        <w:rPr>
          <w:rFonts w:ascii="Arial" w:hAnsi="Arial" w:cs="Arial"/>
          <w:noProof/>
          <w:lang w:eastAsia="zh-CN"/>
        </w:rPr>
        <mc:AlternateContent>
          <mc:Choice Requires="wps">
            <w:drawing>
              <wp:anchor distT="0" distB="0" distL="114300" distR="114300" simplePos="0" relativeHeight="252057088" behindDoc="0" locked="0" layoutInCell="1" allowOverlap="1" wp14:anchorId="0BF6C53F" wp14:editId="14F9AA80">
                <wp:simplePos x="0" y="0"/>
                <wp:positionH relativeFrom="column">
                  <wp:posOffset>1402715</wp:posOffset>
                </wp:positionH>
                <wp:positionV relativeFrom="paragraph">
                  <wp:posOffset>527050</wp:posOffset>
                </wp:positionV>
                <wp:extent cx="981075" cy="535940"/>
                <wp:effectExtent l="0" t="0" r="952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535940"/>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sidRPr="00E11E49">
                              <w:rPr>
                                <w:rFonts w:ascii="Arial" w:hAnsi="Arial" w:cs="Arial"/>
                                <w:sz w:val="16"/>
                                <w:szCs w:val="16"/>
                              </w:rPr>
                              <w:t>Ibandronate</w:t>
                            </w:r>
                            <w:r>
                              <w:rPr>
                                <w:rFonts w:ascii="Arial" w:hAnsi="Arial" w:cs="Arial"/>
                                <w:sz w:val="16"/>
                                <w:szCs w:val="16"/>
                              </w:rPr>
                              <w:t xml:space="preserve"> Teriparatide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6C53F" id="_x0000_s1123" type="#_x0000_t202" style="position:absolute;margin-left:110.45pt;margin-top:41.5pt;width:77.25pt;height:42.2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" stroked="f">
                <v:textbox>
                  <w:txbxContent>
                    <w:p w:rsidR="004166BC" w:rsidRPr="00E11E49" w:rsidRDefault="004166BC" w:rsidP="00802FA5">
                      <w:pPr>
                        <w:rPr>
                          <w:rFonts w:ascii="Arial" w:hAnsi="Arial" w:cs="Arial"/>
                          <w:sz w:val="16"/>
                          <w:szCs w:val="16"/>
                        </w:rPr>
                      </w:pPr>
                      <w:r w:rsidRPr="00E11E49">
                        <w:rPr>
                          <w:rFonts w:ascii="Arial" w:hAnsi="Arial" w:cs="Arial"/>
                          <w:sz w:val="16"/>
                          <w:szCs w:val="16"/>
                        </w:rPr>
                        <w:t>Ibandronate</w:t>
                      </w:r>
                      <w:r>
                        <w:rPr>
                          <w:rFonts w:ascii="Arial" w:hAnsi="Arial" w:cs="Arial"/>
                          <w:sz w:val="16"/>
                          <w:szCs w:val="16"/>
                        </w:rPr>
                        <w:t xml:space="preserve"> Teriparatide</w:t>
                      </w:r>
                    </w:p>
                  </w:txbxContent>
                </v:textbox>
              </v:shape>
            </w:pict>
          </mc:Fallback>
        </mc:AlternateContent>
      </w:r>
      <w:r w:rsidR="00802FA5">
        <w:rPr>
          <w:rFonts w:ascii="Arial" w:hAnsi="Arial" w:cs="Arial"/>
          <w:noProof/>
          <w:lang w:eastAsia="zh-CN"/>
        </w:rPr>
        <mc:AlternateContent>
          <mc:Choice Requires="wps">
            <w:drawing>
              <wp:anchor distT="0" distB="0" distL="114300" distR="114300" simplePos="0" relativeHeight="252201472" behindDoc="0" locked="0" layoutInCell="1" allowOverlap="1" wp14:anchorId="490EB536" wp14:editId="544AA1BF">
                <wp:simplePos x="0" y="0"/>
                <wp:positionH relativeFrom="column">
                  <wp:posOffset>823595</wp:posOffset>
                </wp:positionH>
                <wp:positionV relativeFrom="paragraph">
                  <wp:posOffset>396875</wp:posOffset>
                </wp:positionV>
                <wp:extent cx="127635" cy="124460"/>
                <wp:effectExtent l="20638" t="17462" r="45402" b="26353"/>
                <wp:wrapNone/>
                <wp:docPr id="8" name="Right Arrow 8"/>
                <wp:cNvGraphicFramePr/>
                <a:graphic xmlns:a="http://schemas.openxmlformats.org/drawingml/2006/main">
                  <a:graphicData uri="http://schemas.microsoft.com/office/word/2010/wordprocessingShape">
                    <wps:wsp>
                      <wps:cNvSpPr/>
                      <wps:spPr>
                        <a:xfrm rot="162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15D8AA" id="Right Arrow 8" o:spid="_x0000_s1026" type="#_x0000_t13" style="position:absolute;margin-left:64.85pt;margin-top:31.25pt;width:10.05pt;height:9.8pt;rotation:-90;z-index:25220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" adj="11069" filled="f" strokecolor="#243f60 [1604]" strokeweight=".25pt"/>
            </w:pict>
          </mc:Fallback>
        </mc:AlternateContent>
      </w:r>
      <w:r w:rsidR="00802FA5" w:rsidRPr="008516E3">
        <w:rPr>
          <w:rFonts w:ascii="Arial" w:hAnsi="Arial" w:cs="Arial"/>
          <w:noProof/>
          <w:lang w:eastAsia="zh-CN"/>
        </w:rPr>
        <mc:AlternateContent>
          <mc:Choice Requires="wps">
            <w:drawing>
              <wp:anchor distT="0" distB="0" distL="114300" distR="114300" simplePos="0" relativeHeight="252126720" behindDoc="0" locked="0" layoutInCell="1" allowOverlap="1" wp14:anchorId="4E2C0104" wp14:editId="092FCE1F">
                <wp:simplePos x="0" y="0"/>
                <wp:positionH relativeFrom="column">
                  <wp:posOffset>516890</wp:posOffset>
                </wp:positionH>
                <wp:positionV relativeFrom="paragraph">
                  <wp:posOffset>535940</wp:posOffset>
                </wp:positionV>
                <wp:extent cx="981075" cy="234315"/>
                <wp:effectExtent l="0" t="0" r="952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34315"/>
                        </a:xfrm>
                        <a:prstGeom prst="rect">
                          <a:avLst/>
                        </a:prstGeom>
                        <a:solidFill>
                          <a:srgbClr val="FFFFFF"/>
                        </a:solidFill>
                        <a:ln w="9525">
                          <a:noFill/>
                          <a:miter lim="800000"/>
                          <a:headEnd/>
                          <a:tailEnd/>
                        </a:ln>
                      </wps:spPr>
                      <wps:txbx>
                        <w:txbxContent>
                          <w:p w:rsidR="004166BC" w:rsidRPr="00E11E49" w:rsidRDefault="004166BC" w:rsidP="00802FA5">
                            <w:pPr>
                              <w:rPr>
                                <w:rFonts w:ascii="Arial" w:hAnsi="Arial" w:cs="Arial"/>
                                <w:sz w:val="16"/>
                                <w:szCs w:val="16"/>
                              </w:rPr>
                            </w:pPr>
                            <w:r w:rsidRPr="00E11E49">
                              <w:rPr>
                                <w:rFonts w:ascii="Arial" w:hAnsi="Arial" w:cs="Arial"/>
                                <w:sz w:val="16"/>
                                <w:szCs w:val="16"/>
                              </w:rPr>
                              <w:t>Alendronate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C0104" id="_x0000_s1124" type="#_x0000_t202" style="position:absolute;margin-left:40.7pt;margin-top:42.2pt;width:77.25pt;height:18.4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CtIgIAACI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" stroked="f">
                <v:textbox>
                  <w:txbxContent>
                    <w:p w:rsidR="004166BC" w:rsidRPr="00E11E49" w:rsidRDefault="004166BC" w:rsidP="00802FA5">
                      <w:pPr>
                        <w:rPr>
                          <w:rFonts w:ascii="Arial" w:hAnsi="Arial" w:cs="Arial"/>
                          <w:sz w:val="16"/>
                          <w:szCs w:val="16"/>
                        </w:rPr>
                      </w:pPr>
                      <w:r w:rsidRPr="00E11E49">
                        <w:rPr>
                          <w:rFonts w:ascii="Arial" w:hAnsi="Arial" w:cs="Arial"/>
                          <w:sz w:val="16"/>
                          <w:szCs w:val="16"/>
                        </w:rPr>
                        <w:t>Alendronate</w:t>
                      </w:r>
                    </w:p>
                  </w:txbxContent>
                </v:textbox>
              </v:shape>
            </w:pict>
          </mc:Fallback>
        </mc:AlternateContent>
      </w:r>
      <w:r w:rsidR="00802FA5">
        <w:rPr>
          <w:rFonts w:ascii="Arial" w:hAnsi="Arial" w:cs="Arial"/>
          <w:noProof/>
          <w:lang w:eastAsia="zh-CN"/>
        </w:rPr>
        <mc:AlternateContent>
          <mc:Choice Requires="wps">
            <w:drawing>
              <wp:anchor distT="0" distB="0" distL="114300" distR="114300" simplePos="0" relativeHeight="252305920" behindDoc="0" locked="0" layoutInCell="1" allowOverlap="1" wp14:anchorId="0A0342AC" wp14:editId="3A2177EF">
                <wp:simplePos x="0" y="0"/>
                <wp:positionH relativeFrom="column">
                  <wp:posOffset>2570480</wp:posOffset>
                </wp:positionH>
                <wp:positionV relativeFrom="paragraph">
                  <wp:posOffset>403225</wp:posOffset>
                </wp:positionV>
                <wp:extent cx="127635" cy="124460"/>
                <wp:effectExtent l="20638" t="17462" r="45402" b="26353"/>
                <wp:wrapNone/>
                <wp:docPr id="16" name="Right Arrow 16"/>
                <wp:cNvGraphicFramePr/>
                <a:graphic xmlns:a="http://schemas.openxmlformats.org/drawingml/2006/main">
                  <a:graphicData uri="http://schemas.microsoft.com/office/word/2010/wordprocessingShape">
                    <wps:wsp>
                      <wps:cNvSpPr/>
                      <wps:spPr>
                        <a:xfrm rot="162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A38BF1" id="Right Arrow 16" o:spid="_x0000_s1026" type="#_x0000_t13" style="position:absolute;margin-left:202.4pt;margin-top:31.75pt;width:10.05pt;height:9.8pt;rotation:-90;z-index:25230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" adj="11069" filled="f" strokecolor="#243f60 [1604]" strokeweight=".25pt"/>
            </w:pict>
          </mc:Fallback>
        </mc:AlternateContent>
      </w:r>
    </w:p>
    <w:p w:rsidR="00802FA5" w:rsidRDefault="0003555B" w:rsidP="00900F2C">
      <w:pPr>
        <w:spacing w:after="0" w:line="240" w:lineRule="auto"/>
        <w:rPr>
          <w:rFonts w:ascii="Arial" w:hAnsi="Arial" w:cs="Arial"/>
        </w:rPr>
      </w:pPr>
      <w:r>
        <w:rPr>
          <w:rFonts w:ascii="Arial" w:hAnsi="Arial" w:cs="Arial"/>
          <w:noProof/>
          <w:lang w:eastAsia="zh-CN"/>
        </w:rPr>
        <mc:AlternateContent>
          <mc:Choice Requires="wps">
            <w:drawing>
              <wp:anchor distT="0" distB="0" distL="114300" distR="114300" simplePos="0" relativeHeight="252288512" behindDoc="0" locked="0" layoutInCell="1" allowOverlap="1" wp14:anchorId="3102CF30" wp14:editId="53D3233A">
                <wp:simplePos x="0" y="0"/>
                <wp:positionH relativeFrom="column">
                  <wp:posOffset>1674177</wp:posOffset>
                </wp:positionH>
                <wp:positionV relativeFrom="paragraph">
                  <wp:posOffset>87618</wp:posOffset>
                </wp:positionV>
                <wp:extent cx="127635" cy="124460"/>
                <wp:effectExtent l="20638" t="17462" r="45402" b="26353"/>
                <wp:wrapNone/>
                <wp:docPr id="12" name="Right Arrow 12"/>
                <wp:cNvGraphicFramePr/>
                <a:graphic xmlns:a="http://schemas.openxmlformats.org/drawingml/2006/main">
                  <a:graphicData uri="http://schemas.microsoft.com/office/word/2010/wordprocessingShape">
                    <wps:wsp>
                      <wps:cNvSpPr/>
                      <wps:spPr>
                        <a:xfrm rot="16200000">
                          <a:off x="0" y="0"/>
                          <a:ext cx="127635" cy="124460"/>
                        </a:xfrm>
                        <a:prstGeom prst="rightArrow">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5ABDB5" id="Right Arrow 12" o:spid="_x0000_s1026" type="#_x0000_t13" style="position:absolute;margin-left:131.8pt;margin-top:6.9pt;width:10.05pt;height:9.8pt;rotation:-90;z-index:25228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" adj="11069" filled="f" strokecolor="#243f60 [1604]" strokeweight=".25pt"/>
            </w:pict>
          </mc:Fallback>
        </mc:AlternateContent>
      </w:r>
      <w:r w:rsidR="008D42F4">
        <w:rPr>
          <w:rFonts w:ascii="Arial" w:hAnsi="Arial" w:cs="Arial"/>
          <w:noProof/>
          <w:lang w:eastAsia="zh-CN"/>
        </w:rPr>
        <mc:AlternateContent>
          <mc:Choice Requires="wps">
            <w:drawing>
              <wp:anchor distT="0" distB="0" distL="114300" distR="114300" simplePos="0" relativeHeight="252846592" behindDoc="0" locked="0" layoutInCell="1" allowOverlap="1" wp14:anchorId="65FB4A26" wp14:editId="74588B16">
                <wp:simplePos x="0" y="0"/>
                <wp:positionH relativeFrom="column">
                  <wp:posOffset>3852227</wp:posOffset>
                </wp:positionH>
                <wp:positionV relativeFrom="paragraph">
                  <wp:posOffset>72708</wp:posOffset>
                </wp:positionV>
                <wp:extent cx="127635" cy="124460"/>
                <wp:effectExtent l="20638" t="17462" r="45402" b="26353"/>
                <wp:wrapNone/>
                <wp:docPr id="27" name="Right Arrow 27"/>
                <wp:cNvGraphicFramePr/>
                <a:graphic xmlns:a="http://schemas.openxmlformats.org/drawingml/2006/main">
                  <a:graphicData uri="http://schemas.microsoft.com/office/word/2010/wordprocessingShape">
                    <wps:wsp>
                      <wps:cNvSpPr/>
                      <wps:spPr>
                        <a:xfrm rot="16200000">
                          <a:off x="0" y="0"/>
                          <a:ext cx="127635" cy="124460"/>
                        </a:xfrm>
                        <a:prstGeom prst="rightArrow">
                          <a:avLst/>
                        </a:prstGeom>
                        <a:noFill/>
                        <a:ln w="3175">
                          <a:solidFill>
                            <a:schemeClr val="bg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A67E053" id="Right Arrow 27" o:spid="_x0000_s1026" type="#_x0000_t13" style="position:absolute;margin-left:303.3pt;margin-top:5.75pt;width:10.05pt;height:9.8pt;rotation:-90;z-index:25284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" adj="11069" filled="f" strokecolor="#7f7f7f [1612]" strokeweight=".25pt">
                <v:stroke dashstyle="3 1"/>
              </v:shape>
            </w:pict>
          </mc:Fallback>
        </mc:AlternateContent>
      </w:r>
    </w:p>
    <w:p w:rsidR="00802FA5" w:rsidRDefault="00850423" w:rsidP="00900F2C">
      <w:pPr>
        <w:spacing w:after="0" w:line="240" w:lineRule="auto"/>
        <w:rPr>
          <w:rFonts w:ascii="Arial" w:hAnsi="Arial" w:cs="Arial"/>
        </w:rPr>
      </w:pPr>
      <w:r w:rsidRPr="008516E3">
        <w:rPr>
          <w:rFonts w:ascii="Arial" w:hAnsi="Arial" w:cs="Arial"/>
          <w:noProof/>
          <w:lang w:eastAsia="zh-CN"/>
        </w:rPr>
        <mc:AlternateContent>
          <mc:Choice Requires="wps">
            <w:drawing>
              <wp:anchor distT="0" distB="0" distL="114300" distR="114300" simplePos="0" relativeHeight="250258944" behindDoc="0" locked="0" layoutInCell="1" allowOverlap="1" wp14:anchorId="03DCD1CB" wp14:editId="49690388">
                <wp:simplePos x="0" y="0"/>
                <wp:positionH relativeFrom="column">
                  <wp:posOffset>3286125</wp:posOffset>
                </wp:positionH>
                <wp:positionV relativeFrom="paragraph">
                  <wp:posOffset>64770</wp:posOffset>
                </wp:positionV>
                <wp:extent cx="1047750" cy="6477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647700"/>
                        </a:xfrm>
                        <a:prstGeom prst="rect">
                          <a:avLst/>
                        </a:prstGeom>
                        <a:solidFill>
                          <a:srgbClr val="FFFFFF"/>
                        </a:solidFill>
                        <a:ln w="9525">
                          <a:noFill/>
                          <a:miter lim="800000"/>
                          <a:headEnd/>
                          <a:tailEnd/>
                        </a:ln>
                      </wps:spPr>
                      <wps:txbx>
                        <w:txbxContent>
                          <w:p w:rsidR="004166BC" w:rsidRPr="008D42F4" w:rsidRDefault="004166BC" w:rsidP="00802FA5">
                            <w:pPr>
                              <w:rPr>
                                <w:rFonts w:ascii="Arial" w:hAnsi="Arial" w:cs="Arial"/>
                                <w:color w:val="808080" w:themeColor="background1" w:themeShade="80"/>
                                <w:sz w:val="16"/>
                                <w:szCs w:val="16"/>
                              </w:rPr>
                            </w:pPr>
                            <w:r>
                              <w:rPr>
                                <w:rFonts w:ascii="Arial" w:hAnsi="Arial" w:cs="Arial"/>
                                <w:color w:val="808080" w:themeColor="background1" w:themeShade="80"/>
                                <w:sz w:val="16"/>
                                <w:szCs w:val="16"/>
                              </w:rPr>
                              <w:t>Romosozumab Blosozumab (</w:t>
                            </w:r>
                            <w:r w:rsidRPr="008D42F4">
                              <w:rPr>
                                <w:rFonts w:ascii="Arial" w:hAnsi="Arial" w:cs="Arial"/>
                                <w:color w:val="808080" w:themeColor="background1" w:themeShade="80"/>
                                <w:sz w:val="16"/>
                                <w:szCs w:val="16"/>
                              </w:rPr>
                              <w:t>Phase II</w:t>
                            </w:r>
                            <w:r>
                              <w:rPr>
                                <w:rFonts w:ascii="Arial" w:hAnsi="Arial" w:cs="Arial"/>
                                <w:color w:val="808080" w:themeColor="background1" w:themeShade="80"/>
                                <w:sz w:val="16"/>
                                <w:szCs w:val="16"/>
                              </w:rPr>
                              <w:t>)</w:t>
                            </w:r>
                            <w:r w:rsidRPr="008D42F4">
                              <w:rPr>
                                <w:rFonts w:ascii="Arial" w:hAnsi="Arial" w:cs="Arial"/>
                                <w:color w:val="808080" w:themeColor="background1" w:themeShade="80"/>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CD1CB" id="_x0000_s1125" type="#_x0000_t202" style="position:absolute;margin-left:258.75pt;margin-top:5.1pt;width:82.5pt;height:51pt;z-index:2502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" stroked="f">
                <v:textbox>
                  <w:txbxContent>
                    <w:p w:rsidR="004166BC" w:rsidRPr="008D42F4" w:rsidRDefault="004166BC" w:rsidP="00802FA5">
                      <w:pPr>
                        <w:rPr>
                          <w:rFonts w:ascii="Arial" w:hAnsi="Arial" w:cs="Arial"/>
                          <w:color w:val="808080" w:themeColor="background1" w:themeShade="80"/>
                          <w:sz w:val="16"/>
                          <w:szCs w:val="16"/>
                        </w:rPr>
                      </w:pPr>
                      <w:r>
                        <w:rPr>
                          <w:rFonts w:ascii="Arial" w:hAnsi="Arial" w:cs="Arial"/>
                          <w:color w:val="808080" w:themeColor="background1" w:themeShade="80"/>
                          <w:sz w:val="16"/>
                          <w:szCs w:val="16"/>
                        </w:rPr>
                        <w:t>Romosozumab Blosozumab (</w:t>
                      </w:r>
                      <w:r w:rsidRPr="008D42F4">
                        <w:rPr>
                          <w:rFonts w:ascii="Arial" w:hAnsi="Arial" w:cs="Arial"/>
                          <w:color w:val="808080" w:themeColor="background1" w:themeShade="80"/>
                          <w:sz w:val="16"/>
                          <w:szCs w:val="16"/>
                        </w:rPr>
                        <w:t>Phase II</w:t>
                      </w:r>
                      <w:r>
                        <w:rPr>
                          <w:rFonts w:ascii="Arial" w:hAnsi="Arial" w:cs="Arial"/>
                          <w:color w:val="808080" w:themeColor="background1" w:themeShade="80"/>
                          <w:sz w:val="16"/>
                          <w:szCs w:val="16"/>
                        </w:rPr>
                        <w:t>)</w:t>
                      </w:r>
                      <w:r w:rsidRPr="008D42F4">
                        <w:rPr>
                          <w:rFonts w:ascii="Arial" w:hAnsi="Arial" w:cs="Arial"/>
                          <w:color w:val="808080" w:themeColor="background1" w:themeShade="80"/>
                          <w:sz w:val="16"/>
                          <w:szCs w:val="16"/>
                        </w:rPr>
                        <w:t xml:space="preserve">           </w:t>
                      </w:r>
                    </w:p>
                  </w:txbxContent>
                </v:textbox>
              </v:shape>
            </w:pict>
          </mc:Fallback>
        </mc:AlternateContent>
      </w:r>
      <w:r w:rsidR="008D42F4" w:rsidRPr="008516E3">
        <w:rPr>
          <w:rFonts w:ascii="Arial" w:hAnsi="Arial" w:cs="Arial"/>
          <w:noProof/>
          <w:lang w:eastAsia="zh-CN"/>
        </w:rPr>
        <mc:AlternateContent>
          <mc:Choice Requires="wps">
            <w:drawing>
              <wp:anchor distT="0" distB="0" distL="114300" distR="114300" simplePos="0" relativeHeight="252596736" behindDoc="0" locked="0" layoutInCell="1" allowOverlap="1" wp14:anchorId="5CB94761" wp14:editId="4AF43F4F">
                <wp:simplePos x="0" y="0"/>
                <wp:positionH relativeFrom="column">
                  <wp:posOffset>2305050</wp:posOffset>
                </wp:positionH>
                <wp:positionV relativeFrom="paragraph">
                  <wp:posOffset>74295</wp:posOffset>
                </wp:positionV>
                <wp:extent cx="771525" cy="333375"/>
                <wp:effectExtent l="0" t="0" r="9525"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33375"/>
                        </a:xfrm>
                        <a:prstGeom prst="rect">
                          <a:avLst/>
                        </a:prstGeom>
                        <a:solidFill>
                          <a:srgbClr val="FFFFFF"/>
                        </a:solidFill>
                        <a:ln w="9525">
                          <a:noFill/>
                          <a:miter lim="800000"/>
                          <a:headEnd/>
                          <a:tailEnd/>
                        </a:ln>
                      </wps:spPr>
                      <wps:txbx>
                        <w:txbxContent>
                          <w:p w:rsidR="004166BC" w:rsidRDefault="004166BC" w:rsidP="00802FA5">
                            <w:pPr>
                              <w:rPr>
                                <w:rFonts w:ascii="Arial" w:hAnsi="Arial" w:cs="Arial"/>
                                <w:sz w:val="16"/>
                                <w:szCs w:val="16"/>
                              </w:rPr>
                            </w:pPr>
                            <w:r>
                              <w:rPr>
                                <w:rFonts w:ascii="Arial" w:hAnsi="Arial" w:cs="Arial"/>
                                <w:sz w:val="16"/>
                                <w:szCs w:val="16"/>
                              </w:rPr>
                              <w:t>Zoledronate                                                 iPTH</w:t>
                            </w:r>
                          </w:p>
                          <w:p w:rsidR="004166BC" w:rsidRPr="00E11E49" w:rsidRDefault="004166BC" w:rsidP="00802FA5">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94761" id="_x0000_s1126" type="#_x0000_t202" style="position:absolute;margin-left:181.5pt;margin-top:5.85pt;width:60.75pt;height:26.25pt;z-index:2525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" stroked="f">
                <v:textbox>
                  <w:txbxContent>
                    <w:p w:rsidR="004166BC" w:rsidRDefault="004166BC" w:rsidP="00802FA5">
                      <w:pPr>
                        <w:rPr>
                          <w:rFonts w:ascii="Arial" w:hAnsi="Arial" w:cs="Arial"/>
                          <w:sz w:val="16"/>
                          <w:szCs w:val="16"/>
                        </w:rPr>
                      </w:pPr>
                      <w:r>
                        <w:rPr>
                          <w:rFonts w:ascii="Arial" w:hAnsi="Arial" w:cs="Arial"/>
                          <w:sz w:val="16"/>
                          <w:szCs w:val="16"/>
                        </w:rPr>
                        <w:t>Zoledronate                                                 iPTH</w:t>
                      </w:r>
                    </w:p>
                    <w:p w:rsidR="004166BC" w:rsidRPr="00E11E49" w:rsidRDefault="004166BC" w:rsidP="00802FA5">
                      <w:pPr>
                        <w:rPr>
                          <w:rFonts w:ascii="Arial" w:hAnsi="Arial" w:cs="Arial"/>
                          <w:sz w:val="16"/>
                          <w:szCs w:val="16"/>
                        </w:rPr>
                      </w:pPr>
                    </w:p>
                  </w:txbxContent>
                </v:textbox>
              </v:shape>
            </w:pict>
          </mc:Fallback>
        </mc:AlternateContent>
      </w:r>
    </w:p>
    <w:p w:rsidR="00802FA5" w:rsidRDefault="00802FA5" w:rsidP="00900F2C">
      <w:pPr>
        <w:spacing w:after="0" w:line="240" w:lineRule="auto"/>
        <w:rPr>
          <w:rFonts w:ascii="Arial" w:hAnsi="Arial" w:cs="Arial"/>
        </w:rPr>
      </w:pPr>
    </w:p>
    <w:p w:rsidR="00802FA5" w:rsidRDefault="00802FA5" w:rsidP="00900F2C">
      <w:pPr>
        <w:spacing w:after="0" w:line="240" w:lineRule="auto"/>
        <w:rPr>
          <w:rFonts w:ascii="Arial" w:hAnsi="Arial" w:cs="Arial"/>
        </w:rPr>
      </w:pPr>
    </w:p>
    <w:p w:rsidR="00802FA5" w:rsidRDefault="00850423" w:rsidP="00900F2C">
      <w:pPr>
        <w:spacing w:line="360" w:lineRule="auto"/>
      </w:pPr>
      <w:r>
        <w:rPr>
          <w:noProof/>
          <w:lang w:eastAsia="zh-CN"/>
        </w:rPr>
        <mc:AlternateContent>
          <mc:Choice Requires="wps">
            <w:drawing>
              <wp:anchor distT="0" distB="0" distL="114300" distR="114300" simplePos="0" relativeHeight="252720640" behindDoc="0" locked="0" layoutInCell="1" allowOverlap="1" wp14:anchorId="172DA932" wp14:editId="4DC0A16E">
                <wp:simplePos x="0" y="0"/>
                <wp:positionH relativeFrom="column">
                  <wp:posOffset>33020</wp:posOffset>
                </wp:positionH>
                <wp:positionV relativeFrom="paragraph">
                  <wp:posOffset>144780</wp:posOffset>
                </wp:positionV>
                <wp:extent cx="5864225" cy="635"/>
                <wp:effectExtent l="0" t="0" r="3175" b="0"/>
                <wp:wrapNone/>
                <wp:docPr id="24" name="Text Box 24"/>
                <wp:cNvGraphicFramePr/>
                <a:graphic xmlns:a="http://schemas.openxmlformats.org/drawingml/2006/main">
                  <a:graphicData uri="http://schemas.microsoft.com/office/word/2010/wordprocessingShape">
                    <wps:wsp>
                      <wps:cNvSpPr txBox="1"/>
                      <wps:spPr>
                        <a:xfrm>
                          <a:off x="0" y="0"/>
                          <a:ext cx="5864225" cy="635"/>
                        </a:xfrm>
                        <a:prstGeom prst="rect">
                          <a:avLst/>
                        </a:prstGeom>
                        <a:solidFill>
                          <a:prstClr val="white"/>
                        </a:solidFill>
                        <a:ln>
                          <a:noFill/>
                        </a:ln>
                        <a:effectLst/>
                      </wps:spPr>
                      <wps:txbx>
                        <w:txbxContent>
                          <w:p w:rsidR="004166BC" w:rsidRPr="00025563" w:rsidRDefault="004166BC" w:rsidP="003E6719">
                            <w:pPr>
                              <w:pStyle w:val="Caption"/>
                              <w:jc w:val="both"/>
                              <w:rPr>
                                <w:rFonts w:ascii="Arial" w:hAnsi="Arial" w:cs="Arial"/>
                                <w:b w:val="0"/>
                                <w:noProof/>
                                <w:color w:val="auto"/>
                              </w:rPr>
                            </w:pPr>
                            <w:bookmarkStart w:id="45" w:name="_Toc422736056"/>
                            <w:bookmarkStart w:id="46" w:name="_Toc422736164"/>
                            <w:bookmarkStart w:id="47" w:name="_Toc425419499"/>
                            <w:r w:rsidRPr="00025563">
                              <w:rPr>
                                <w:b w:val="0"/>
                                <w:color w:val="auto"/>
                              </w:rPr>
                              <w:t xml:space="preserve">Figure </w:t>
                            </w:r>
                            <w:r w:rsidRPr="00025563">
                              <w:rPr>
                                <w:b w:val="0"/>
                                <w:color w:val="auto"/>
                              </w:rPr>
                              <w:fldChar w:fldCharType="begin"/>
                            </w:r>
                            <w:r w:rsidRPr="00025563">
                              <w:rPr>
                                <w:b w:val="0"/>
                                <w:color w:val="auto"/>
                              </w:rPr>
                              <w:instrText xml:space="preserve"> SEQ Figure \* ARABIC </w:instrText>
                            </w:r>
                            <w:r w:rsidRPr="00025563">
                              <w:rPr>
                                <w:b w:val="0"/>
                                <w:color w:val="auto"/>
                              </w:rPr>
                              <w:fldChar w:fldCharType="separate"/>
                            </w:r>
                            <w:r>
                              <w:rPr>
                                <w:b w:val="0"/>
                                <w:noProof/>
                                <w:color w:val="auto"/>
                              </w:rPr>
                              <w:t>16</w:t>
                            </w:r>
                            <w:r w:rsidRPr="00025563">
                              <w:rPr>
                                <w:b w:val="0"/>
                                <w:color w:val="auto"/>
                              </w:rPr>
                              <w:fldChar w:fldCharType="end"/>
                            </w:r>
                            <w:r w:rsidRPr="00025563">
                              <w:rPr>
                                <w:b w:val="0"/>
                                <w:color w:val="auto"/>
                              </w:rPr>
                              <w:t xml:space="preserve">: Timeline showing the development of licenced </w:t>
                            </w:r>
                            <w:r>
                              <w:rPr>
                                <w:b w:val="0"/>
                                <w:color w:val="auto"/>
                              </w:rPr>
                              <w:t xml:space="preserve">antiresorptives and anabolic </w:t>
                            </w:r>
                            <w:r w:rsidRPr="00025563">
                              <w:rPr>
                                <w:b w:val="0"/>
                                <w:color w:val="auto"/>
                              </w:rPr>
                              <w:t>osteoporosis treatments in the United Kingdom and possible future treatments</w:t>
                            </w:r>
                            <w:r>
                              <w:rPr>
                                <w:b w:val="0"/>
                                <w:color w:val="auto"/>
                              </w:rPr>
                              <w:t xml:space="preserve">. </w:t>
                            </w:r>
                            <w:proofErr w:type="gramStart"/>
                            <w:r>
                              <w:rPr>
                                <w:b w:val="0"/>
                                <w:color w:val="auto"/>
                              </w:rPr>
                              <w:t>iPTH</w:t>
                            </w:r>
                            <w:proofErr w:type="gramEnd"/>
                            <w:r>
                              <w:rPr>
                                <w:b w:val="0"/>
                                <w:color w:val="auto"/>
                              </w:rPr>
                              <w:t xml:space="preserve"> (intact parathyroid hormone)</w:t>
                            </w:r>
                            <w:bookmarkEnd w:id="45"/>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2DA932" id="Text Box 24" o:spid="_x0000_s1127" type="#_x0000_t202" style="position:absolute;margin-left:2.6pt;margin-top:11.4pt;width:461.75pt;height:.05pt;z-index:25272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" stroked="f">
                <v:textbox style="mso-fit-shape-to-text:t" inset="0,0,0,0">
                  <w:txbxContent>
                    <w:p w:rsidR="004166BC" w:rsidRPr="00025563" w:rsidRDefault="004166BC" w:rsidP="003E6719">
                      <w:pPr>
                        <w:pStyle w:val="Caption"/>
                        <w:jc w:val="both"/>
                        <w:rPr>
                          <w:rFonts w:ascii="Arial" w:hAnsi="Arial" w:cs="Arial"/>
                          <w:b w:val="0"/>
                          <w:noProof/>
                          <w:color w:val="auto"/>
                        </w:rPr>
                      </w:pPr>
                      <w:bookmarkStart w:id="66" w:name="_Toc422736056"/>
                      <w:bookmarkStart w:id="67" w:name="_Toc422736164"/>
                      <w:bookmarkStart w:id="68" w:name="_Toc425419499"/>
                      <w:r w:rsidRPr="00025563">
                        <w:rPr>
                          <w:b w:val="0"/>
                          <w:color w:val="auto"/>
                        </w:rPr>
                        <w:t xml:space="preserve">Figure </w:t>
                      </w:r>
                      <w:r w:rsidRPr="00025563">
                        <w:rPr>
                          <w:b w:val="0"/>
                          <w:color w:val="auto"/>
                        </w:rPr>
                        <w:fldChar w:fldCharType="begin"/>
                      </w:r>
                      <w:r w:rsidRPr="00025563">
                        <w:rPr>
                          <w:b w:val="0"/>
                          <w:color w:val="auto"/>
                        </w:rPr>
                        <w:instrText xml:space="preserve"> SEQ Figure \* ARABIC </w:instrText>
                      </w:r>
                      <w:r w:rsidRPr="00025563">
                        <w:rPr>
                          <w:b w:val="0"/>
                          <w:color w:val="auto"/>
                        </w:rPr>
                        <w:fldChar w:fldCharType="separate"/>
                      </w:r>
                      <w:r>
                        <w:rPr>
                          <w:b w:val="0"/>
                          <w:noProof/>
                          <w:color w:val="auto"/>
                        </w:rPr>
                        <w:t>16</w:t>
                      </w:r>
                      <w:r w:rsidRPr="00025563">
                        <w:rPr>
                          <w:b w:val="0"/>
                          <w:color w:val="auto"/>
                        </w:rPr>
                        <w:fldChar w:fldCharType="end"/>
                      </w:r>
                      <w:r w:rsidRPr="00025563">
                        <w:rPr>
                          <w:b w:val="0"/>
                          <w:color w:val="auto"/>
                        </w:rPr>
                        <w:t xml:space="preserve">: Timeline showing the development of licenced </w:t>
                      </w:r>
                      <w:r>
                        <w:rPr>
                          <w:b w:val="0"/>
                          <w:color w:val="auto"/>
                        </w:rPr>
                        <w:t xml:space="preserve">antiresorptives and anabolic </w:t>
                      </w:r>
                      <w:r w:rsidRPr="00025563">
                        <w:rPr>
                          <w:b w:val="0"/>
                          <w:color w:val="auto"/>
                        </w:rPr>
                        <w:t>osteoporosis treatments in the United Kingdom and possible future treatments</w:t>
                      </w:r>
                      <w:r>
                        <w:rPr>
                          <w:b w:val="0"/>
                          <w:color w:val="auto"/>
                        </w:rPr>
                        <w:t>. iPTH (intact parathyroid hormone)</w:t>
                      </w:r>
                      <w:bookmarkEnd w:id="66"/>
                      <w:bookmarkEnd w:id="67"/>
                      <w:bookmarkEnd w:id="68"/>
                    </w:p>
                  </w:txbxContent>
                </v:textbox>
              </v:shape>
            </w:pict>
          </mc:Fallback>
        </mc:AlternateContent>
      </w:r>
    </w:p>
    <w:p w:rsidR="00850423" w:rsidRDefault="00850423" w:rsidP="00900F2C">
      <w:pPr>
        <w:pStyle w:val="Heading4"/>
      </w:pPr>
    </w:p>
    <w:p w:rsidR="00802FA5" w:rsidRDefault="00802FA5" w:rsidP="003E6719">
      <w:pPr>
        <w:pStyle w:val="Heading4"/>
        <w:jc w:val="both"/>
      </w:pPr>
      <w:r w:rsidRPr="00146FA1">
        <w:t>Antiresorptive Treatments</w:t>
      </w:r>
    </w:p>
    <w:p w:rsidR="0068517D" w:rsidRPr="008174AE" w:rsidRDefault="00605718" w:rsidP="003B725E">
      <w:pPr>
        <w:spacing w:line="360" w:lineRule="auto"/>
        <w:jc w:val="both"/>
        <w:rPr>
          <w:rFonts w:ascii="Arial" w:hAnsi="Arial" w:cs="Arial"/>
        </w:rPr>
      </w:pPr>
      <w:r>
        <w:rPr>
          <w:rFonts w:ascii="Arial" w:hAnsi="Arial" w:cs="Arial"/>
        </w:rPr>
        <w:t>Understanding the mechanisms and functions of the osteoclasts, os</w:t>
      </w:r>
      <w:r w:rsidR="00044C17">
        <w:rPr>
          <w:rFonts w:ascii="Arial" w:hAnsi="Arial" w:cs="Arial"/>
        </w:rPr>
        <w:t>teoblasts and osteocytes has allowed</w:t>
      </w:r>
      <w:r>
        <w:rPr>
          <w:rFonts w:ascii="Arial" w:hAnsi="Arial" w:cs="Arial"/>
        </w:rPr>
        <w:t xml:space="preserve"> </w:t>
      </w:r>
      <w:r w:rsidR="00044C17">
        <w:rPr>
          <w:rFonts w:ascii="Arial" w:hAnsi="Arial" w:cs="Arial"/>
        </w:rPr>
        <w:t>scientists to develop (and continually develop)</w:t>
      </w:r>
      <w:r>
        <w:rPr>
          <w:rFonts w:ascii="Arial" w:hAnsi="Arial" w:cs="Arial"/>
        </w:rPr>
        <w:t xml:space="preserve"> antiresorptive therapies with the aim of inhibiting bone resorption in postmenopausal </w:t>
      </w:r>
      <w:r w:rsidR="00E255B4">
        <w:rPr>
          <w:rFonts w:ascii="Arial" w:hAnsi="Arial" w:cs="Arial"/>
        </w:rPr>
        <w:t xml:space="preserve">osteoporosis. </w:t>
      </w:r>
      <w:r w:rsidR="00044C17">
        <w:rPr>
          <w:rFonts w:ascii="Arial" w:hAnsi="Arial" w:cs="Arial"/>
        </w:rPr>
        <w:t>Antiresorptives</w:t>
      </w:r>
      <w:r w:rsidR="00E255B4">
        <w:rPr>
          <w:rFonts w:ascii="Arial" w:hAnsi="Arial" w:cs="Arial"/>
        </w:rPr>
        <w:t xml:space="preserve"> </w:t>
      </w:r>
      <w:r w:rsidR="00E255B4" w:rsidRPr="008174AE">
        <w:rPr>
          <w:rFonts w:ascii="Arial" w:hAnsi="Arial" w:cs="Arial"/>
        </w:rPr>
        <w:t xml:space="preserve">minimise further deterioration of both the cancellous and cortical bone </w:t>
      </w:r>
      <w:r w:rsidR="00E255B4">
        <w:rPr>
          <w:rFonts w:ascii="Arial" w:hAnsi="Arial" w:cs="Arial"/>
        </w:rPr>
        <w:fldChar w:fldCharType="begin">
          <w:fldData xml:space="preserve">PEVuZE5vdGU+PENpdGU+PEF1dGhvcj5SaWdnczwvQXV0aG9yPjxZZWFyPjIwMDU8L1llYXI+PFJl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eSBmb3IgQm9uZSBhbmQgTWluZXJhbCBSZXNlYXJjaDwvYWJici0xPjwvcGVyaW9kaWNhbD48YWx0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PEVuZE5vdGU+PENpdGU+PEF1dGhvcj5SaWdnczwvQXV0aG9yPjxZZWFyPjIwMDU8L1llYXI+PFJl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eSBmb3IgQm9uZSBhbmQgTWluZXJhbCBSZXNlYXJjaDwvYWJici0xPjwvcGVyaW9kaWNhbD48YWx0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E255B4">
        <w:rPr>
          <w:rFonts w:ascii="Arial" w:hAnsi="Arial" w:cs="Arial"/>
        </w:rPr>
      </w:r>
      <w:r w:rsidR="00E255B4">
        <w:rPr>
          <w:rFonts w:ascii="Arial" w:hAnsi="Arial" w:cs="Arial"/>
        </w:rPr>
        <w:fldChar w:fldCharType="separate"/>
      </w:r>
      <w:r w:rsidR="008E761B">
        <w:rPr>
          <w:rFonts w:ascii="Arial" w:hAnsi="Arial" w:cs="Arial"/>
          <w:noProof/>
        </w:rPr>
        <w:t>(</w:t>
      </w:r>
      <w:hyperlink w:anchor="_ENREF_235" w:tooltip="Riggs, 2005 #130" w:history="1">
        <w:r w:rsidR="003B725E">
          <w:rPr>
            <w:rFonts w:ascii="Arial" w:hAnsi="Arial" w:cs="Arial"/>
            <w:noProof/>
          </w:rPr>
          <w:t>235</w:t>
        </w:r>
      </w:hyperlink>
      <w:r w:rsidR="008E761B">
        <w:rPr>
          <w:rFonts w:ascii="Arial" w:hAnsi="Arial" w:cs="Arial"/>
          <w:noProof/>
        </w:rPr>
        <w:t>)</w:t>
      </w:r>
      <w:r w:rsidR="00E255B4">
        <w:rPr>
          <w:rFonts w:ascii="Arial" w:hAnsi="Arial" w:cs="Arial"/>
        </w:rPr>
        <w:fldChar w:fldCharType="end"/>
      </w:r>
      <w:r w:rsidR="007B37EE">
        <w:rPr>
          <w:rFonts w:ascii="Arial" w:hAnsi="Arial" w:cs="Arial"/>
        </w:rPr>
        <w:t xml:space="preserve">. </w:t>
      </w:r>
      <w:r w:rsidR="00E255B4" w:rsidRPr="008174AE">
        <w:rPr>
          <w:rFonts w:ascii="Arial" w:hAnsi="Arial" w:cs="Arial"/>
        </w:rPr>
        <w:t xml:space="preserve">In addition, they increase in BMD by 2-10% by reducing the remodelling space and increasing the mineralisation of the bone matrix, hence reducing the porosity of cortical and cancellous bone compartments. </w:t>
      </w:r>
      <w:r w:rsidR="00E255B4">
        <w:rPr>
          <w:rFonts w:ascii="Arial" w:hAnsi="Arial" w:cs="Arial"/>
        </w:rPr>
        <w:t>Osteoporotic fractu</w:t>
      </w:r>
      <w:r w:rsidR="00FF75F9">
        <w:rPr>
          <w:rFonts w:ascii="Arial" w:hAnsi="Arial" w:cs="Arial"/>
        </w:rPr>
        <w:t xml:space="preserve">re risk is reduced by 30 to 50% </w:t>
      </w:r>
      <w:r w:rsidR="00FF75F9">
        <w:rPr>
          <w:rFonts w:ascii="Arial" w:hAnsi="Arial" w:cs="Arial"/>
        </w:rPr>
        <w:fldChar w:fldCharType="begin"/>
      </w:r>
      <w:r w:rsidR="008E761B">
        <w:rPr>
          <w:rFonts w:ascii="Arial" w:hAnsi="Arial" w:cs="Arial"/>
        </w:rPr>
        <w:instrText xml:space="preserve"> ADDIN EN.CITE &lt;EndNote&gt;&lt;Cite&gt;&lt;Author&gt;Eriksen&lt;/Author&gt;&lt;Year&gt;2014&lt;/Year&gt;&lt;RecNum&gt;290&lt;/RecNum&gt;&lt;DisplayText&gt;(236)&lt;/DisplayText&gt;&lt;record&gt;&lt;rec-number&gt;290&lt;/rec-number&gt;&lt;foreign-keys&gt;&lt;key app="EN" db-id="p9a5ttsvyvde9me5aw2x05fp5p55axf0wr90" timestamp="1431519581"&gt;290&lt;/key&gt;&lt;/foreign-keys&gt;&lt;ref-type name="Journal Article"&gt;17&lt;/ref-type&gt;&lt;contributors&gt;&lt;authors&gt;&lt;author&gt;Eriksen, E. F.&lt;/author&gt;&lt;author&gt;Diez-Perez, A.&lt;/author&gt;&lt;author&gt;Boonen, S.&lt;/author&gt;&lt;/authors&gt;&lt;/contributors&gt;&lt;auth-address&gt;Department of Endocrinology, Oslo University Hospital, Oslo, Norway. Electronic address: e.f.eriksen@medisin.uio.no.&lt;/auth-address&gt;&lt;titles&gt;&lt;title&gt;Update on long-term treatment with bisphosphonates for postmenopausal osteoporosis: a systematic review&lt;/title&gt;&lt;secondary-title&gt;Bone&lt;/secondary-title&gt;&lt;/titles&gt;&lt;periodical&gt;&lt;full-title&gt;Bone&lt;/full-title&gt;&lt;abbr-1&gt;Bone&lt;/abbr-1&gt;&lt;/periodical&gt;&lt;pages&gt;126-35&lt;/pages&gt;&lt;volume&gt;58&lt;/volume&gt;&lt;edition&gt;2013/10/15&lt;/edition&gt;&lt;keywords&gt;&lt;keyword&gt;Bone Density/drug effects&lt;/keyword&gt;&lt;keyword&gt;Bone Remodeling/drug effects&lt;/keyword&gt;&lt;keyword&gt;Diphosphonates/adverse effects/ therapeutic use&lt;/keyword&gt;&lt;keyword&gt;Female&lt;/keyword&gt;&lt;keyword&gt;Fractures, Bone/complications/drug therapy/physiopathology&lt;/keyword&gt;&lt;keyword&gt;Humans&lt;/keyword&gt;&lt;keyword&gt;Osteoporosis, Postmenopausal/ drug therapy/physiopathology&lt;/keyword&gt;&lt;keyword&gt;Risk Factors&lt;/keyword&gt;&lt;keyword&gt;Time Factors&lt;/keyword&gt;&lt;keyword&gt;Treatment Outcome&lt;/keyword&gt;&lt;keyword&gt;Bisphosphonate&lt;/keyword&gt;&lt;keyword&gt;Bone mineral density&lt;/keyword&gt;&lt;keyword&gt;Fracture&lt;/keyword&gt;&lt;keyword&gt;Long term&lt;/keyword&gt;&lt;keyword&gt;Postmenopausal osteoporosis&lt;/keyword&gt;&lt;/keywords&gt;&lt;dates&gt;&lt;year&gt;2014&lt;/year&gt;&lt;pub-dates&gt;&lt;date&gt;Jan&lt;/date&gt;&lt;/pub-dates&gt;&lt;/dates&gt;&lt;isbn&gt;1873-2763 (Electronic)&amp;#xD;1873-2763 (Linking)&lt;/isbn&gt;&lt;accession-num&gt;24120384&lt;/accession-num&gt;&lt;urls&gt;&lt;/urls&gt;&lt;electronic-resource-num&gt;10.1016/j.bone.2013.09.023&lt;/electronic-resource-num&gt;&lt;remote-database-provider&gt;NLM&lt;/remote-database-provider&gt;&lt;language&gt;eng&lt;/language&gt;&lt;/record&gt;&lt;/Cite&gt;&lt;/EndNote&gt;</w:instrText>
      </w:r>
      <w:r w:rsidR="00FF75F9">
        <w:rPr>
          <w:rFonts w:ascii="Arial" w:hAnsi="Arial" w:cs="Arial"/>
        </w:rPr>
        <w:fldChar w:fldCharType="separate"/>
      </w:r>
      <w:r w:rsidR="008E761B">
        <w:rPr>
          <w:rFonts w:ascii="Arial" w:hAnsi="Arial" w:cs="Arial"/>
          <w:noProof/>
        </w:rPr>
        <w:t>(</w:t>
      </w:r>
      <w:hyperlink w:anchor="_ENREF_236" w:tooltip="Eriksen, 2014 #290" w:history="1">
        <w:r w:rsidR="003B725E">
          <w:rPr>
            <w:rFonts w:ascii="Arial" w:hAnsi="Arial" w:cs="Arial"/>
            <w:noProof/>
          </w:rPr>
          <w:t>236</w:t>
        </w:r>
      </w:hyperlink>
      <w:r w:rsidR="008E761B">
        <w:rPr>
          <w:rFonts w:ascii="Arial" w:hAnsi="Arial" w:cs="Arial"/>
          <w:noProof/>
        </w:rPr>
        <w:t>)</w:t>
      </w:r>
      <w:r w:rsidR="00FF75F9">
        <w:rPr>
          <w:rFonts w:ascii="Arial" w:hAnsi="Arial" w:cs="Arial"/>
        </w:rPr>
        <w:fldChar w:fldCharType="end"/>
      </w:r>
      <w:r w:rsidR="00850800">
        <w:rPr>
          <w:rFonts w:ascii="Arial" w:hAnsi="Arial" w:cs="Arial"/>
        </w:rPr>
        <w:t xml:space="preserve"> </w:t>
      </w:r>
    </w:p>
    <w:p w:rsidR="00802FA5" w:rsidRDefault="00802FA5" w:rsidP="003E6719">
      <w:pPr>
        <w:pStyle w:val="Heading5"/>
        <w:jc w:val="both"/>
      </w:pPr>
      <w:r w:rsidRPr="00146FA1">
        <w:t>Bisphosphonates</w:t>
      </w:r>
    </w:p>
    <w:p w:rsidR="007F4CBD" w:rsidRPr="000D0D90" w:rsidRDefault="00746BD4" w:rsidP="003B725E">
      <w:pPr>
        <w:spacing w:line="360" w:lineRule="auto"/>
        <w:jc w:val="both"/>
        <w:rPr>
          <w:rFonts w:ascii="Arial" w:hAnsi="Arial" w:cs="Arial"/>
        </w:rPr>
      </w:pPr>
      <w:r>
        <w:rPr>
          <w:rFonts w:ascii="Arial" w:hAnsi="Arial" w:cs="Arial"/>
        </w:rPr>
        <w:t>Bisphos</w:t>
      </w:r>
      <w:r w:rsidR="00922BDE" w:rsidRPr="000D0D90">
        <w:rPr>
          <w:rFonts w:ascii="Arial" w:hAnsi="Arial" w:cs="Arial"/>
        </w:rPr>
        <w:t>phonates are</w:t>
      </w:r>
      <w:r w:rsidR="007F4CBD" w:rsidRPr="000D0D90">
        <w:rPr>
          <w:rFonts w:ascii="Arial" w:hAnsi="Arial" w:cs="Arial"/>
        </w:rPr>
        <w:t xml:space="preserve"> inhibitors of </w:t>
      </w:r>
      <w:r w:rsidR="00922BDE" w:rsidRPr="000D0D90">
        <w:rPr>
          <w:rFonts w:ascii="Arial" w:hAnsi="Arial" w:cs="Arial"/>
        </w:rPr>
        <w:t xml:space="preserve">osteoclast function and subsequently </w:t>
      </w:r>
      <w:r w:rsidR="007F4CBD" w:rsidRPr="000D0D90">
        <w:rPr>
          <w:rFonts w:ascii="Arial" w:hAnsi="Arial" w:cs="Arial"/>
        </w:rPr>
        <w:t>bone resorption and are</w:t>
      </w:r>
      <w:r w:rsidR="006B485B" w:rsidRPr="000D0D90">
        <w:rPr>
          <w:rFonts w:ascii="Arial" w:hAnsi="Arial" w:cs="Arial"/>
        </w:rPr>
        <w:t xml:space="preserve"> </w:t>
      </w:r>
      <w:r w:rsidR="00307142" w:rsidRPr="000D0D90">
        <w:rPr>
          <w:rFonts w:ascii="Arial" w:hAnsi="Arial" w:cs="Arial"/>
        </w:rPr>
        <w:t>the</w:t>
      </w:r>
      <w:r w:rsidR="006B485B" w:rsidRPr="000D0D90">
        <w:rPr>
          <w:rFonts w:ascii="Arial" w:hAnsi="Arial" w:cs="Arial"/>
        </w:rPr>
        <w:t xml:space="preserve"> drug</w:t>
      </w:r>
      <w:r w:rsidR="00307142" w:rsidRPr="000D0D90">
        <w:rPr>
          <w:rFonts w:ascii="Arial" w:hAnsi="Arial" w:cs="Arial"/>
        </w:rPr>
        <w:t xml:space="preserve"> </w:t>
      </w:r>
      <w:r w:rsidR="006B485B" w:rsidRPr="000D0D90">
        <w:rPr>
          <w:rFonts w:ascii="Arial" w:hAnsi="Arial" w:cs="Arial"/>
        </w:rPr>
        <w:t>of choice for preventing and treating</w:t>
      </w:r>
      <w:r w:rsidR="00307142" w:rsidRPr="000D0D90">
        <w:rPr>
          <w:rFonts w:ascii="Arial" w:hAnsi="Arial" w:cs="Arial"/>
        </w:rPr>
        <w:t xml:space="preserve"> postmenopausal osteoporosis.</w:t>
      </w:r>
      <w:r w:rsidR="007F4CBD" w:rsidRPr="000D0D90">
        <w:rPr>
          <w:rFonts w:ascii="Arial" w:hAnsi="Arial" w:cs="Arial"/>
        </w:rPr>
        <w:t xml:space="preserve"> </w:t>
      </w:r>
      <w:r w:rsidR="00307142" w:rsidRPr="000D0D90">
        <w:rPr>
          <w:rFonts w:ascii="Arial" w:hAnsi="Arial" w:cs="Arial"/>
        </w:rPr>
        <w:t xml:space="preserve">They </w:t>
      </w:r>
      <w:r w:rsidR="00AB3593" w:rsidRPr="000D0D90">
        <w:rPr>
          <w:rFonts w:ascii="Arial" w:hAnsi="Arial" w:cs="Arial"/>
        </w:rPr>
        <w:t xml:space="preserve">are </w:t>
      </w:r>
      <w:r w:rsidR="007F4CBD" w:rsidRPr="000D0D90">
        <w:rPr>
          <w:rFonts w:ascii="Arial" w:hAnsi="Arial" w:cs="Arial"/>
        </w:rPr>
        <w:t xml:space="preserve">administered either orally or by intravenous infusion with the </w:t>
      </w:r>
      <w:r w:rsidR="007B37EE" w:rsidRPr="000D0D90">
        <w:rPr>
          <w:rFonts w:ascii="Arial" w:hAnsi="Arial" w:cs="Arial"/>
        </w:rPr>
        <w:t xml:space="preserve">overall aim to reduce </w:t>
      </w:r>
      <w:r w:rsidR="007F4CBD" w:rsidRPr="000D0D90">
        <w:rPr>
          <w:rFonts w:ascii="Arial" w:hAnsi="Arial" w:cs="Arial"/>
        </w:rPr>
        <w:t xml:space="preserve">osteoporotic fracture risk </w:t>
      </w:r>
      <w:r w:rsidR="00A732CB" w:rsidRPr="000D0D90">
        <w:rPr>
          <w:rFonts w:ascii="Arial" w:hAnsi="Arial" w:cs="Arial"/>
        </w:rPr>
        <w:fldChar w:fldCharType="begin">
          <w:fldData xml:space="preserve">PEVuZE5vdGU+PENpdGU+PEF1dGhvcj5BcHBlbG1hbi1EaWprc3RyYTwvQXV0aG9yPjxZZWFyPjIw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YnItMT48L2FsdC1wZXJpb2RpY2FsPjxwYWdlcz4yLTE5PC9wYWdlcz48dm9sdW1lPjQ5PC92b2x1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PEVuZE5vdGU+PENpdGU+PEF1dGhvcj5BcHBlbG1hbi1EaWprc3RyYTwvQXV0aG9yPjxZZWFyPjIw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YnItMT48L2FsdC1wZXJpb2RpY2FsPjxwYWdlcz4yLTE5PC9wYWdlcz48dm9sdW1lPjQ5PC92b2x1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A732CB" w:rsidRPr="000D0D90">
        <w:rPr>
          <w:rFonts w:ascii="Arial" w:hAnsi="Arial" w:cs="Arial"/>
        </w:rPr>
      </w:r>
      <w:r w:rsidR="00A732CB" w:rsidRPr="000D0D90">
        <w:rPr>
          <w:rFonts w:ascii="Arial" w:hAnsi="Arial" w:cs="Arial"/>
        </w:rPr>
        <w:fldChar w:fldCharType="separate"/>
      </w:r>
      <w:r w:rsidR="008E761B">
        <w:rPr>
          <w:rFonts w:ascii="Arial" w:hAnsi="Arial" w:cs="Arial"/>
          <w:noProof/>
        </w:rPr>
        <w:t>(</w:t>
      </w:r>
      <w:hyperlink w:anchor="_ENREF_237" w:tooltip="Appelman-Dijkstra, 2013 #219" w:history="1">
        <w:r w:rsidR="003B725E">
          <w:rPr>
            <w:rFonts w:ascii="Arial" w:hAnsi="Arial" w:cs="Arial"/>
            <w:noProof/>
          </w:rPr>
          <w:t>237-239</w:t>
        </w:r>
      </w:hyperlink>
      <w:r w:rsidR="008E761B">
        <w:rPr>
          <w:rFonts w:ascii="Arial" w:hAnsi="Arial" w:cs="Arial"/>
          <w:noProof/>
        </w:rPr>
        <w:t>)</w:t>
      </w:r>
      <w:r w:rsidR="00A732CB" w:rsidRPr="000D0D90">
        <w:rPr>
          <w:rFonts w:ascii="Arial" w:hAnsi="Arial" w:cs="Arial"/>
        </w:rPr>
        <w:fldChar w:fldCharType="end"/>
      </w:r>
      <w:r w:rsidR="009B3E01" w:rsidRPr="000D0D90">
        <w:rPr>
          <w:rFonts w:ascii="Arial" w:hAnsi="Arial" w:cs="Arial"/>
        </w:rPr>
        <w:t>.</w:t>
      </w:r>
      <w:r w:rsidR="00AB3D49" w:rsidRPr="000D0D90">
        <w:rPr>
          <w:rFonts w:ascii="Arial" w:hAnsi="Arial" w:cs="Arial"/>
        </w:rPr>
        <w:t xml:space="preserve"> </w:t>
      </w:r>
    </w:p>
    <w:p w:rsidR="00707A39" w:rsidRDefault="00707A39" w:rsidP="003E6719">
      <w:pPr>
        <w:pStyle w:val="Heading6"/>
        <w:jc w:val="both"/>
      </w:pPr>
      <w:r>
        <w:t>The structure of bisphosphonates</w:t>
      </w:r>
    </w:p>
    <w:p w:rsidR="003F6522" w:rsidRDefault="006B485B" w:rsidP="003E6719">
      <w:pPr>
        <w:spacing w:line="360" w:lineRule="auto"/>
        <w:jc w:val="both"/>
        <w:rPr>
          <w:rFonts w:ascii="Arial" w:hAnsi="Arial" w:cs="Arial"/>
        </w:rPr>
      </w:pPr>
      <w:r w:rsidRPr="000D0D90">
        <w:rPr>
          <w:rFonts w:ascii="Arial" w:hAnsi="Arial" w:cs="Arial"/>
        </w:rPr>
        <w:t>Bisphosphonates are synthetic analogues of inorganic pyrophosphate where the oxygen</w:t>
      </w:r>
      <w:r w:rsidR="003F61D2" w:rsidRPr="000D0D90">
        <w:rPr>
          <w:rFonts w:ascii="Arial" w:hAnsi="Arial" w:cs="Arial"/>
        </w:rPr>
        <w:t xml:space="preserve"> is replaced with a carbon</w:t>
      </w:r>
      <w:r w:rsidR="00DA6B25">
        <w:rPr>
          <w:rFonts w:ascii="Arial" w:hAnsi="Arial" w:cs="Arial"/>
        </w:rPr>
        <w:t>, (Figure 17</w:t>
      </w:r>
      <w:r w:rsidR="000276EB" w:rsidRPr="000D0D90">
        <w:rPr>
          <w:rFonts w:ascii="Arial" w:hAnsi="Arial" w:cs="Arial"/>
        </w:rPr>
        <w:t>)</w:t>
      </w:r>
      <w:r w:rsidR="003F61D2" w:rsidRPr="000D0D90">
        <w:rPr>
          <w:rFonts w:ascii="Arial" w:hAnsi="Arial" w:cs="Arial"/>
        </w:rPr>
        <w:t xml:space="preserve">. This </w:t>
      </w:r>
      <w:r w:rsidR="00F5697D">
        <w:rPr>
          <w:rFonts w:ascii="Arial" w:hAnsi="Arial" w:cs="Arial"/>
        </w:rPr>
        <w:t>ge</w:t>
      </w:r>
      <w:r w:rsidR="000D0D90">
        <w:rPr>
          <w:rFonts w:ascii="Arial" w:hAnsi="Arial" w:cs="Arial"/>
        </w:rPr>
        <w:t xml:space="preserve">minal </w:t>
      </w:r>
      <w:r w:rsidR="003F61D2" w:rsidRPr="000D0D90">
        <w:rPr>
          <w:rFonts w:ascii="Arial" w:hAnsi="Arial" w:cs="Arial"/>
        </w:rPr>
        <w:t>subst</w:t>
      </w:r>
      <w:r w:rsidR="00F5697D">
        <w:rPr>
          <w:rFonts w:ascii="Arial" w:hAnsi="Arial" w:cs="Arial"/>
        </w:rPr>
        <w:t>itution produces a compound that has</w:t>
      </w:r>
      <w:r w:rsidR="003F61D2" w:rsidRPr="000D0D90">
        <w:rPr>
          <w:rFonts w:ascii="Arial" w:hAnsi="Arial" w:cs="Arial"/>
        </w:rPr>
        <w:t xml:space="preserve"> a</w:t>
      </w:r>
      <w:r w:rsidR="003F6747" w:rsidRPr="000D0D90">
        <w:rPr>
          <w:rFonts w:ascii="Arial" w:hAnsi="Arial" w:cs="Arial"/>
        </w:rPr>
        <w:t xml:space="preserve"> central</w:t>
      </w:r>
      <w:r w:rsidRPr="000D0D90">
        <w:rPr>
          <w:rFonts w:ascii="Arial" w:hAnsi="Arial" w:cs="Arial"/>
        </w:rPr>
        <w:t xml:space="preserve"> molecular structure </w:t>
      </w:r>
      <w:r w:rsidR="003F61D2" w:rsidRPr="000D0D90">
        <w:rPr>
          <w:rFonts w:ascii="Arial" w:hAnsi="Arial" w:cs="Arial"/>
        </w:rPr>
        <w:t xml:space="preserve">of </w:t>
      </w:r>
      <w:r w:rsidRPr="000D0D90">
        <w:rPr>
          <w:rFonts w:ascii="Arial" w:hAnsi="Arial" w:cs="Arial"/>
        </w:rPr>
        <w:t>phosphate-carbon-phosphate</w:t>
      </w:r>
      <w:r w:rsidR="00C36B7E">
        <w:rPr>
          <w:rFonts w:ascii="Arial" w:hAnsi="Arial" w:cs="Arial"/>
        </w:rPr>
        <w:t xml:space="preserve"> (P - C - P)</w:t>
      </w:r>
      <w:r w:rsidR="003F61D2" w:rsidRPr="000D0D90">
        <w:rPr>
          <w:rFonts w:ascii="Arial" w:hAnsi="Arial" w:cs="Arial"/>
        </w:rPr>
        <w:t xml:space="preserve">. This structure </w:t>
      </w:r>
      <w:r w:rsidR="00A36B16">
        <w:rPr>
          <w:rFonts w:ascii="Arial" w:hAnsi="Arial" w:cs="Arial"/>
        </w:rPr>
        <w:t>makes bisphosphonates</w:t>
      </w:r>
      <w:r w:rsidR="006441EF" w:rsidRPr="000D0D90">
        <w:rPr>
          <w:rFonts w:ascii="Arial" w:hAnsi="Arial" w:cs="Arial"/>
        </w:rPr>
        <w:t xml:space="preserve"> </w:t>
      </w:r>
      <w:r w:rsidR="00C36B7E">
        <w:rPr>
          <w:rFonts w:ascii="Arial" w:hAnsi="Arial" w:cs="Arial"/>
        </w:rPr>
        <w:t xml:space="preserve">chemically </w:t>
      </w:r>
      <w:r w:rsidR="00453EAB">
        <w:rPr>
          <w:rFonts w:ascii="Arial" w:hAnsi="Arial" w:cs="Arial"/>
        </w:rPr>
        <w:t>and enzymatically stable and</w:t>
      </w:r>
      <w:r w:rsidR="00C36B7E">
        <w:rPr>
          <w:rFonts w:ascii="Arial" w:hAnsi="Arial" w:cs="Arial"/>
        </w:rPr>
        <w:t xml:space="preserve"> </w:t>
      </w:r>
      <w:r w:rsidR="003F61D2" w:rsidRPr="000D0D90">
        <w:rPr>
          <w:rFonts w:ascii="Arial" w:hAnsi="Arial" w:cs="Arial"/>
        </w:rPr>
        <w:t>resistan</w:t>
      </w:r>
      <w:r w:rsidR="00453EAB">
        <w:rPr>
          <w:rFonts w:ascii="Arial" w:hAnsi="Arial" w:cs="Arial"/>
        </w:rPr>
        <w:t>t to biological degradation. It</w:t>
      </w:r>
      <w:r w:rsidR="00C36B7E">
        <w:rPr>
          <w:rFonts w:ascii="Arial" w:hAnsi="Arial" w:cs="Arial"/>
        </w:rPr>
        <w:t xml:space="preserve"> i</w:t>
      </w:r>
      <w:r w:rsidR="00A36B16">
        <w:rPr>
          <w:rFonts w:ascii="Arial" w:hAnsi="Arial" w:cs="Arial"/>
        </w:rPr>
        <w:t>s responsible for their</w:t>
      </w:r>
      <w:r w:rsidR="00C36B7E">
        <w:rPr>
          <w:rFonts w:ascii="Arial" w:hAnsi="Arial" w:cs="Arial"/>
        </w:rPr>
        <w:t xml:space="preserve"> strong binding affinity to the hydroxyapatite in bone</w:t>
      </w:r>
      <w:r w:rsidR="003F6522">
        <w:rPr>
          <w:rFonts w:ascii="Arial" w:hAnsi="Arial" w:cs="Arial"/>
        </w:rPr>
        <w:t xml:space="preserve">. </w:t>
      </w:r>
      <w:r w:rsidR="00E126BD" w:rsidRPr="000D0D90">
        <w:rPr>
          <w:rFonts w:ascii="Arial" w:hAnsi="Arial" w:cs="Arial"/>
        </w:rPr>
        <w:t>They have two amino side chains (R</w:t>
      </w:r>
      <w:r w:rsidR="00E126BD" w:rsidRPr="000D0D90">
        <w:rPr>
          <w:rFonts w:ascii="Arial" w:hAnsi="Arial" w:cs="Arial"/>
          <w:vertAlign w:val="subscript"/>
        </w:rPr>
        <w:t>1</w:t>
      </w:r>
      <w:r w:rsidR="00E126BD" w:rsidRPr="000D0D90">
        <w:rPr>
          <w:rFonts w:ascii="Arial" w:hAnsi="Arial" w:cs="Arial"/>
        </w:rPr>
        <w:t xml:space="preserve"> and R</w:t>
      </w:r>
      <w:r w:rsidR="00E126BD" w:rsidRPr="000D0D90">
        <w:rPr>
          <w:rFonts w:ascii="Arial" w:hAnsi="Arial" w:cs="Arial"/>
          <w:vertAlign w:val="subscript"/>
        </w:rPr>
        <w:t>2</w:t>
      </w:r>
      <w:r w:rsidR="00E126BD" w:rsidRPr="000D0D90">
        <w:rPr>
          <w:rFonts w:ascii="Arial" w:hAnsi="Arial" w:cs="Arial"/>
        </w:rPr>
        <w:t>)</w:t>
      </w:r>
      <w:r w:rsidR="0022634A">
        <w:rPr>
          <w:rFonts w:ascii="Arial" w:hAnsi="Arial" w:cs="Arial"/>
        </w:rPr>
        <w:t xml:space="preserve"> attached to the germinal carbon atom. T</w:t>
      </w:r>
      <w:r w:rsidR="00E126BD" w:rsidRPr="000D0D90">
        <w:rPr>
          <w:rFonts w:ascii="Arial" w:hAnsi="Arial" w:cs="Arial"/>
        </w:rPr>
        <w:t xml:space="preserve">he variations in these has allowed for the synthesis of several </w:t>
      </w:r>
      <w:r w:rsidR="00E126BD" w:rsidRPr="000D0D90">
        <w:rPr>
          <w:rFonts w:ascii="Arial" w:hAnsi="Arial" w:cs="Arial"/>
        </w:rPr>
        <w:lastRenderedPageBreak/>
        <w:t>analogues with differing pharmacological properties</w:t>
      </w:r>
      <w:r w:rsidR="00C21D00">
        <w:rPr>
          <w:rFonts w:ascii="Arial" w:hAnsi="Arial" w:cs="Arial"/>
        </w:rPr>
        <w:t xml:space="preserve"> and mechanisms of action</w:t>
      </w:r>
      <w:r w:rsidR="00E126BD" w:rsidRPr="000D0D90">
        <w:rPr>
          <w:rFonts w:ascii="Arial" w:hAnsi="Arial" w:cs="Arial"/>
        </w:rPr>
        <w:t>.</w:t>
      </w:r>
      <w:r w:rsidR="00A36B16">
        <w:rPr>
          <w:rFonts w:ascii="Arial" w:hAnsi="Arial" w:cs="Arial"/>
        </w:rPr>
        <w:t xml:space="preserve"> The entire molecular structure of </w:t>
      </w:r>
      <w:r w:rsidR="0022634A">
        <w:rPr>
          <w:rFonts w:ascii="Arial" w:hAnsi="Arial" w:cs="Arial"/>
        </w:rPr>
        <w:t>a bisphosphonate</w:t>
      </w:r>
      <w:r w:rsidR="00A36B16">
        <w:rPr>
          <w:rFonts w:ascii="Arial" w:hAnsi="Arial" w:cs="Arial"/>
        </w:rPr>
        <w:t xml:space="preserve"> determines </w:t>
      </w:r>
      <w:r w:rsidR="0022634A">
        <w:rPr>
          <w:rFonts w:ascii="Arial" w:hAnsi="Arial" w:cs="Arial"/>
        </w:rPr>
        <w:t>its</w:t>
      </w:r>
      <w:r w:rsidR="00A36B16">
        <w:rPr>
          <w:rFonts w:ascii="Arial" w:hAnsi="Arial" w:cs="Arial"/>
        </w:rPr>
        <w:t xml:space="preserve"> mechanism of action on mature osteoclast cells and </w:t>
      </w:r>
      <w:r w:rsidR="0022634A">
        <w:rPr>
          <w:rFonts w:ascii="Arial" w:hAnsi="Arial" w:cs="Arial"/>
        </w:rPr>
        <w:t xml:space="preserve">its </w:t>
      </w:r>
      <w:r w:rsidR="00A36B16">
        <w:rPr>
          <w:rFonts w:ascii="Arial" w:hAnsi="Arial" w:cs="Arial"/>
        </w:rPr>
        <w:t xml:space="preserve">ability to inhibit bone resorption. </w:t>
      </w:r>
      <w:r w:rsidR="003F6522">
        <w:rPr>
          <w:rFonts w:ascii="Arial" w:hAnsi="Arial" w:cs="Arial"/>
        </w:rPr>
        <w:t xml:space="preserve">These features of the molecule makes bisphosphonates a suitable treatment </w:t>
      </w:r>
      <w:r w:rsidR="00EA488F">
        <w:rPr>
          <w:rFonts w:ascii="Arial" w:hAnsi="Arial" w:cs="Arial"/>
        </w:rPr>
        <w:t xml:space="preserve">of choice </w:t>
      </w:r>
      <w:r w:rsidR="003F6522">
        <w:rPr>
          <w:rFonts w:ascii="Arial" w:hAnsi="Arial" w:cs="Arial"/>
        </w:rPr>
        <w:t>in a clinical setting.</w:t>
      </w:r>
    </w:p>
    <w:p w:rsidR="00F227DF" w:rsidRDefault="00707A39" w:rsidP="009D3BB6">
      <w:pPr>
        <w:keepNext/>
        <w:spacing w:line="360" w:lineRule="auto"/>
        <w:jc w:val="center"/>
      </w:pPr>
      <w:r>
        <w:rPr>
          <w:noProof/>
          <w:lang w:eastAsia="zh-CN"/>
        </w:rPr>
        <w:drawing>
          <wp:inline distT="0" distB="0" distL="0" distR="0" wp14:anchorId="71FDD0A0" wp14:editId="313977E5">
            <wp:extent cx="2996714" cy="1060704"/>
            <wp:effectExtent l="0" t="0" r="0" b="6350"/>
            <wp:docPr id="18647" name="Picture 1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57496" cy="1082218"/>
                    </a:xfrm>
                    <a:prstGeom prst="rect">
                      <a:avLst/>
                    </a:prstGeom>
                    <a:noFill/>
                  </pic:spPr>
                </pic:pic>
              </a:graphicData>
            </a:graphic>
          </wp:inline>
        </w:drawing>
      </w:r>
    </w:p>
    <w:p w:rsidR="00707A39" w:rsidRPr="004A0B7E" w:rsidRDefault="00F227DF" w:rsidP="003E6719">
      <w:pPr>
        <w:pStyle w:val="Caption"/>
        <w:jc w:val="both"/>
        <w:rPr>
          <w:rFonts w:ascii="Arial" w:hAnsi="Arial" w:cs="Arial"/>
          <w:b w:val="0"/>
          <w:color w:val="auto"/>
        </w:rPr>
      </w:pPr>
      <w:bookmarkStart w:id="48" w:name="_Toc425419500"/>
      <w:r w:rsidRPr="004A0B7E">
        <w:rPr>
          <w:b w:val="0"/>
          <w:color w:val="auto"/>
        </w:rPr>
        <w:t xml:space="preserve">Figure </w:t>
      </w:r>
      <w:r w:rsidR="00EB13E1" w:rsidRPr="004A0B7E">
        <w:rPr>
          <w:b w:val="0"/>
          <w:color w:val="auto"/>
        </w:rPr>
        <w:fldChar w:fldCharType="begin"/>
      </w:r>
      <w:r w:rsidR="00EB13E1" w:rsidRPr="004A0B7E">
        <w:rPr>
          <w:b w:val="0"/>
          <w:color w:val="auto"/>
        </w:rPr>
        <w:instrText xml:space="preserve"> SEQ Figure \* ARABIC </w:instrText>
      </w:r>
      <w:r w:rsidR="00EB13E1" w:rsidRPr="004A0B7E">
        <w:rPr>
          <w:b w:val="0"/>
          <w:color w:val="auto"/>
        </w:rPr>
        <w:fldChar w:fldCharType="separate"/>
      </w:r>
      <w:r w:rsidR="0040369A">
        <w:rPr>
          <w:b w:val="0"/>
          <w:noProof/>
          <w:color w:val="auto"/>
        </w:rPr>
        <w:t>17</w:t>
      </w:r>
      <w:r w:rsidR="00EB13E1" w:rsidRPr="004A0B7E">
        <w:rPr>
          <w:b w:val="0"/>
          <w:noProof/>
          <w:color w:val="auto"/>
        </w:rPr>
        <w:fldChar w:fldCharType="end"/>
      </w:r>
      <w:r w:rsidR="004A0B7E" w:rsidRPr="004A0B7E">
        <w:rPr>
          <w:b w:val="0"/>
          <w:noProof/>
          <w:color w:val="auto"/>
        </w:rPr>
        <w:t xml:space="preserve">: the general </w:t>
      </w:r>
      <w:r w:rsidR="003F5ABC">
        <w:rPr>
          <w:b w:val="0"/>
          <w:noProof/>
          <w:color w:val="auto"/>
        </w:rPr>
        <w:t xml:space="preserve">molecular </w:t>
      </w:r>
      <w:r w:rsidR="004A0B7E" w:rsidRPr="004A0B7E">
        <w:rPr>
          <w:b w:val="0"/>
          <w:noProof/>
          <w:color w:val="auto"/>
        </w:rPr>
        <w:t>structure of bisphosphonates. Inorganic pyrophosphate (left) and the synthetic compound (right)</w:t>
      </w:r>
      <w:r w:rsidR="004A0B7E">
        <w:rPr>
          <w:b w:val="0"/>
          <w:noProof/>
          <w:color w:val="auto"/>
        </w:rPr>
        <w:t xml:space="preserve"> showing the carbon atom substitution and the R side chains.</w:t>
      </w:r>
      <w:bookmarkEnd w:id="48"/>
    </w:p>
    <w:p w:rsidR="00707A39" w:rsidRDefault="00707A39" w:rsidP="003E6719">
      <w:pPr>
        <w:pStyle w:val="Heading6"/>
        <w:jc w:val="both"/>
      </w:pPr>
      <w:r>
        <w:t>The mechanism of action of bisphosphonates on bone</w:t>
      </w:r>
    </w:p>
    <w:p w:rsidR="00707A39" w:rsidRPr="00CB0730" w:rsidRDefault="0068526D" w:rsidP="003B725E">
      <w:pPr>
        <w:spacing w:line="360" w:lineRule="auto"/>
        <w:jc w:val="both"/>
        <w:rPr>
          <w:rFonts w:ascii="Arial" w:hAnsi="Arial" w:cs="Arial"/>
        </w:rPr>
      </w:pPr>
      <w:r w:rsidRPr="00CB0730">
        <w:rPr>
          <w:rFonts w:ascii="Arial" w:hAnsi="Arial" w:cs="Arial"/>
        </w:rPr>
        <w:t>Bisphosphonates have</w:t>
      </w:r>
      <w:r w:rsidR="002E4D3F" w:rsidRPr="00CB0730">
        <w:rPr>
          <w:rFonts w:ascii="Arial" w:hAnsi="Arial" w:cs="Arial"/>
        </w:rPr>
        <w:t xml:space="preserve"> </w:t>
      </w:r>
      <w:r w:rsidRPr="00CB0730">
        <w:rPr>
          <w:rFonts w:ascii="Arial" w:hAnsi="Arial" w:cs="Arial"/>
        </w:rPr>
        <w:t>different binding affinities</w:t>
      </w:r>
      <w:r w:rsidR="002E4D3F" w:rsidRPr="00CB0730">
        <w:rPr>
          <w:rFonts w:ascii="Arial" w:hAnsi="Arial" w:cs="Arial"/>
        </w:rPr>
        <w:t xml:space="preserve"> for hydroxyapatite and bone mineral, inhibiting the precipitation of calcium phosphate and crystal dissolution</w:t>
      </w:r>
      <w:r w:rsidRPr="00CB0730">
        <w:rPr>
          <w:rFonts w:ascii="Arial" w:hAnsi="Arial" w:cs="Arial"/>
        </w:rPr>
        <w:t xml:space="preserve"> </w:t>
      </w:r>
      <w:r w:rsidR="007A29F7">
        <w:rPr>
          <w:rFonts w:ascii="Arial" w:hAnsi="Arial" w:cs="Arial"/>
        </w:rPr>
        <w:fldChar w:fldCharType="begin"/>
      </w:r>
      <w:r w:rsidR="008E761B">
        <w:rPr>
          <w:rFonts w:ascii="Arial" w:hAnsi="Arial" w:cs="Arial"/>
        </w:rPr>
        <w:instrText xml:space="preserve"> ADDIN EN.CITE &lt;EndNote&gt;&lt;Cite&gt;&lt;Author&gt;Francis&lt;/Author&gt;&lt;Year&gt;1969&lt;/Year&gt;&lt;RecNum&gt;311&lt;/RecNum&gt;&lt;DisplayText&gt;(240)&lt;/DisplayText&gt;&lt;record&gt;&lt;rec-number&gt;311&lt;/rec-number&gt;&lt;foreign-keys&gt;&lt;key app="EN" db-id="p9a5ttsvyvde9me5aw2x05fp5p55axf0wr90" timestamp="1433952630"&gt;311&lt;/key&gt;&lt;/foreign-keys&gt;&lt;ref-type name="Journal Article"&gt;17&lt;/ref-type&gt;&lt;contributors&gt;&lt;authors&gt;&lt;author&gt;Francis, M. D.&lt;/author&gt;&lt;/authors&gt;&lt;/contributors&gt;&lt;titles&gt;&lt;title&gt;The inhibition of calcium hydroxypatite crystal growth by polyphosphonates and polyphosphates&lt;/title&gt;&lt;secondary-title&gt;Calcif Tissue Res&lt;/secondary-title&gt;&lt;/titles&gt;&lt;periodical&gt;&lt;full-title&gt;Calcif Tissue Res&lt;/full-title&gt;&lt;/periodical&gt;&lt;pages&gt;151-62&lt;/pages&gt;&lt;volume&gt;3&lt;/volume&gt;&lt;number&gt;2&lt;/number&gt;&lt;edition&gt;1969/01/01&lt;/edition&gt;&lt;keywords&gt;&lt;keyword&gt;Calcification, Physiologic&lt;/keyword&gt;&lt;keyword&gt;Calcium/metabolism&lt;/keyword&gt;&lt;keyword&gt;Carbon Isotopes&lt;/keyword&gt;&lt;keyword&gt;Chemical Phenomena&lt;/keyword&gt;&lt;keyword&gt;Chemistry&lt;/keyword&gt;&lt;keyword&gt;Crystallization&lt;/keyword&gt;&lt;keyword&gt;Hydroxyapatites&lt;/keyword&gt;&lt;keyword&gt;Microscopy, Electron&lt;/keyword&gt;&lt;keyword&gt;Organophosphonates/pharmacology&lt;/keyword&gt;&lt;keyword&gt;Phosphates/metabolism&lt;/keyword&gt;&lt;/keywords&gt;&lt;dates&gt;&lt;year&gt;1969&lt;/year&gt;&lt;/dates&gt;&lt;isbn&gt;0008-0594 (Print)&amp;#xD;0008-0594 (Linking)&lt;/isbn&gt;&lt;accession-num&gt;5769901&lt;/accession-num&gt;&lt;urls&gt;&lt;/urls&gt;&lt;remote-database-provider&gt;NLM&lt;/remote-database-provider&gt;&lt;language&gt;eng&lt;/language&gt;&lt;/record&gt;&lt;/Cite&gt;&lt;/EndNote&gt;</w:instrText>
      </w:r>
      <w:r w:rsidR="007A29F7">
        <w:rPr>
          <w:rFonts w:ascii="Arial" w:hAnsi="Arial" w:cs="Arial"/>
        </w:rPr>
        <w:fldChar w:fldCharType="separate"/>
      </w:r>
      <w:r w:rsidR="008E761B">
        <w:rPr>
          <w:rFonts w:ascii="Arial" w:hAnsi="Arial" w:cs="Arial"/>
          <w:noProof/>
        </w:rPr>
        <w:t>(</w:t>
      </w:r>
      <w:hyperlink w:anchor="_ENREF_240" w:tooltip="Francis, 1969 #311" w:history="1">
        <w:r w:rsidR="003B725E">
          <w:rPr>
            <w:rFonts w:ascii="Arial" w:hAnsi="Arial" w:cs="Arial"/>
            <w:noProof/>
          </w:rPr>
          <w:t>240</w:t>
        </w:r>
      </w:hyperlink>
      <w:r w:rsidR="008E761B">
        <w:rPr>
          <w:rFonts w:ascii="Arial" w:hAnsi="Arial" w:cs="Arial"/>
          <w:noProof/>
        </w:rPr>
        <w:t>)</w:t>
      </w:r>
      <w:r w:rsidR="007A29F7">
        <w:rPr>
          <w:rFonts w:ascii="Arial" w:hAnsi="Arial" w:cs="Arial"/>
        </w:rPr>
        <w:fldChar w:fldCharType="end"/>
      </w:r>
      <w:r w:rsidR="007A29F7">
        <w:rPr>
          <w:rFonts w:ascii="Arial" w:hAnsi="Arial" w:cs="Arial"/>
        </w:rPr>
        <w:t>.</w:t>
      </w:r>
      <w:r w:rsidRPr="00CB0730">
        <w:rPr>
          <w:rFonts w:ascii="Arial" w:hAnsi="Arial" w:cs="Arial"/>
        </w:rPr>
        <w:t xml:space="preserve"> The R</w:t>
      </w:r>
      <w:r w:rsidRPr="00CB0730">
        <w:rPr>
          <w:rFonts w:ascii="Arial" w:hAnsi="Arial" w:cs="Arial"/>
          <w:vertAlign w:val="subscript"/>
        </w:rPr>
        <w:t>1</w:t>
      </w:r>
      <w:r w:rsidRPr="00CB0730">
        <w:rPr>
          <w:rFonts w:ascii="Arial" w:hAnsi="Arial" w:cs="Arial"/>
        </w:rPr>
        <w:t xml:space="preserve"> side chain contributes to these differences in binding affinities with the presence of a hydroxyl group</w:t>
      </w:r>
      <w:r w:rsidR="00CD690E" w:rsidRPr="00CB0730">
        <w:rPr>
          <w:rFonts w:ascii="Arial" w:hAnsi="Arial" w:cs="Arial"/>
        </w:rPr>
        <w:t xml:space="preserve"> or a NH</w:t>
      </w:r>
      <w:r w:rsidR="00CD690E" w:rsidRPr="00CB0730">
        <w:rPr>
          <w:rFonts w:ascii="Arial" w:hAnsi="Arial" w:cs="Arial"/>
          <w:vertAlign w:val="subscript"/>
        </w:rPr>
        <w:t>2</w:t>
      </w:r>
      <w:r w:rsidRPr="00CB0730">
        <w:rPr>
          <w:rFonts w:ascii="Arial" w:hAnsi="Arial" w:cs="Arial"/>
        </w:rPr>
        <w:t xml:space="preserve"> enhancing it</w:t>
      </w:r>
      <w:r w:rsidR="007A29F7">
        <w:rPr>
          <w:rFonts w:ascii="Arial" w:hAnsi="Arial" w:cs="Arial"/>
        </w:rPr>
        <w:t xml:space="preserve"> </w:t>
      </w:r>
      <w:r w:rsidR="007A29F7">
        <w:rPr>
          <w:rFonts w:ascii="Arial" w:hAnsi="Arial" w:cs="Arial"/>
        </w:rPr>
        <w:fldChar w:fldCharType="begin">
          <w:fldData xml:space="preserve">PEVuZE5vdGU+PENpdGU+PEF1dGhvcj5SdXNzZWxsPC9BdXRob3I+PFllYXI+MjAwODwvWWVhcj48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b2RpY2FsPjxhbHQtcGVyaW9kaWNhbD48ZnVsbC10aXRsZT5Pc3Rlb3Bvcm9zIEludDwvZnVsbC10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PEVuZE5vdGU+PENpdGU+PEF1dGhvcj5SdXNzZWxsPC9BdXRob3I+PFllYXI+MjAwODwvWWVhcj48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b2RpY2FsPjxhbHQtcGVyaW9kaWNhbD48ZnVsbC10aXRsZT5Pc3Rlb3Bvcm9zIEludDwvZnVsbC10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A29F7">
        <w:rPr>
          <w:rFonts w:ascii="Arial" w:hAnsi="Arial" w:cs="Arial"/>
        </w:rPr>
      </w:r>
      <w:r w:rsidR="007A29F7">
        <w:rPr>
          <w:rFonts w:ascii="Arial" w:hAnsi="Arial" w:cs="Arial"/>
        </w:rPr>
        <w:fldChar w:fldCharType="separate"/>
      </w:r>
      <w:r w:rsidR="008E761B">
        <w:rPr>
          <w:rFonts w:ascii="Arial" w:hAnsi="Arial" w:cs="Arial"/>
          <w:noProof/>
        </w:rPr>
        <w:t>(</w:t>
      </w:r>
      <w:hyperlink w:anchor="_ENREF_241" w:tooltip="Russell, 2008 #491" w:history="1">
        <w:r w:rsidR="003B725E">
          <w:rPr>
            <w:rFonts w:ascii="Arial" w:hAnsi="Arial" w:cs="Arial"/>
            <w:noProof/>
          </w:rPr>
          <w:t>241</w:t>
        </w:r>
      </w:hyperlink>
      <w:r w:rsidR="008E761B">
        <w:rPr>
          <w:rFonts w:ascii="Arial" w:hAnsi="Arial" w:cs="Arial"/>
          <w:noProof/>
        </w:rPr>
        <w:t>)</w:t>
      </w:r>
      <w:r w:rsidR="007A29F7">
        <w:rPr>
          <w:rFonts w:ascii="Arial" w:hAnsi="Arial" w:cs="Arial"/>
        </w:rPr>
        <w:fldChar w:fldCharType="end"/>
      </w:r>
      <w:r w:rsidR="007A29F7">
        <w:rPr>
          <w:rFonts w:ascii="Arial" w:hAnsi="Arial" w:cs="Arial"/>
        </w:rPr>
        <w:t>.</w:t>
      </w:r>
      <w:r w:rsidR="00CD690E" w:rsidRPr="00CB0730">
        <w:rPr>
          <w:rFonts w:ascii="Arial" w:hAnsi="Arial" w:cs="Arial"/>
        </w:rPr>
        <w:t xml:space="preserve"> Furthermore, kinetic studies have established a rank order</w:t>
      </w:r>
      <w:r w:rsidR="00044C17">
        <w:rPr>
          <w:rFonts w:ascii="Arial" w:hAnsi="Arial" w:cs="Arial"/>
        </w:rPr>
        <w:t xml:space="preserve"> for binding affinity</w:t>
      </w:r>
      <w:r w:rsidR="00CD690E" w:rsidRPr="00CB0730">
        <w:rPr>
          <w:rFonts w:ascii="Arial" w:hAnsi="Arial" w:cs="Arial"/>
        </w:rPr>
        <w:t xml:space="preserve"> of risedronate&lt; ibandronate &lt; alendronate &lt; zoledronate, </w:t>
      </w:r>
      <w:r w:rsidR="007A29F7">
        <w:rPr>
          <w:rFonts w:ascii="Arial" w:hAnsi="Arial" w:cs="Arial"/>
        </w:rPr>
        <w:fldChar w:fldCharType="begin"/>
      </w:r>
      <w:r w:rsidR="008E761B">
        <w:rPr>
          <w:rFonts w:ascii="Arial" w:hAnsi="Arial" w:cs="Arial"/>
        </w:rPr>
        <w:instrText xml:space="preserve"> ADDIN EN.CITE &lt;EndNote&gt;&lt;Cite&gt;&lt;Author&gt;Nancollas&lt;/Author&gt;&lt;Year&gt;2006&lt;/Year&gt;&lt;RecNum&gt;204&lt;/RecNum&gt;&lt;DisplayText&gt;(242)&lt;/DisplayText&gt;&lt;record&gt;&lt;rec-number&gt;204&lt;/rec-number&gt;&lt;foreign-keys&gt;&lt;key app="EN" db-id="p9a5ttsvyvde9me5aw2x05fp5p55axf0wr90" timestamp="1417715020"&gt;204&lt;/key&gt;&lt;/foreign-keys&gt;&lt;ref-type name="Journal Article"&gt;17&lt;/ref-type&gt;&lt;contributors&gt;&lt;authors&gt;&lt;author&gt;Nancollas, G. H.&lt;/author&gt;&lt;author&gt;Tang, R.&lt;/author&gt;&lt;author&gt;Phipps, R. J.&lt;/author&gt;&lt;author&gt;Henneman, Z.&lt;/author&gt;&lt;author&gt;Gulde, S.&lt;/author&gt;&lt;author&gt;Wu, W.&lt;/author&gt;&lt;author&gt;Mangood, A.&lt;/author&gt;&lt;author&gt;Russell, R. G.&lt;/author&gt;&lt;author&gt;Ebetino, F. H.&lt;/author&gt;&lt;/authors&gt;&lt;/contributors&gt;&lt;auth-address&gt;Department of Chemistry, Natural Sciences Complex, University at Buffalo, The State University of New York, Buffalo, NY 14260, USA.&lt;/auth-address&gt;&lt;titles&gt;&lt;title&gt;Novel insights into actions of bisphosphonates on bone: differences in interactions with hydroxyapatite&lt;/title&gt;&lt;secondary-title&gt;Bone&lt;/secondary-title&gt;&lt;alt-title&gt;Bone&lt;/alt-title&gt;&lt;/titles&gt;&lt;periodical&gt;&lt;full-title&gt;Bone&lt;/full-title&gt;&lt;abbr-1&gt;Bone&lt;/abbr-1&gt;&lt;/periodical&gt;&lt;alt-periodical&gt;&lt;full-title&gt;Bone&lt;/full-title&gt;&lt;abbr-1&gt;Bone&lt;/abbr-1&gt;&lt;/alt-periodical&gt;&lt;pages&gt;617-27&lt;/pages&gt;&lt;volume&gt;38&lt;/volume&gt;&lt;number&gt;5&lt;/number&gt;&lt;edition&gt;2005/07/28&lt;/edition&gt;&lt;keywords&gt;&lt;keyword&gt;Bone Density Conservation Agents/ chemistry/ pharmacology&lt;/keyword&gt;&lt;keyword&gt;Bone and Bones/ drug effects&lt;/keyword&gt;&lt;keyword&gt;Crystallization&lt;/keyword&gt;&lt;keyword&gt;Diphosphonates/ chemistry/ pharmacology&lt;/keyword&gt;&lt;keyword&gt;Durapatite/pharmacology&lt;/keyword&gt;&lt;keyword&gt;Humans&lt;/keyword&gt;&lt;keyword&gt;Stress, Mechanical&lt;/keyword&gt;&lt;/keywords&gt;&lt;dates&gt;&lt;year&gt;2006&lt;/year&gt;&lt;pub-dates&gt;&lt;date&gt;May&lt;/date&gt;&lt;/pub-dates&gt;&lt;/dates&gt;&lt;isbn&gt;8756-3282 (Print)&amp;#xD;1873-2763 (Linking)&lt;/isbn&gt;&lt;accession-num&gt;16046206&lt;/accession-num&gt;&lt;urls&gt;&lt;/urls&gt;&lt;electronic-resource-num&gt;10.1016/j.bone.2005.05.003&lt;/electronic-resource-num&gt;&lt;remote-database-provider&gt;NLM&lt;/remote-database-provider&gt;&lt;language&gt;eng&lt;/language&gt;&lt;/record&gt;&lt;/Cite&gt;&lt;/EndNote&gt;</w:instrText>
      </w:r>
      <w:r w:rsidR="007A29F7">
        <w:rPr>
          <w:rFonts w:ascii="Arial" w:hAnsi="Arial" w:cs="Arial"/>
        </w:rPr>
        <w:fldChar w:fldCharType="separate"/>
      </w:r>
      <w:r w:rsidR="008E761B">
        <w:rPr>
          <w:rFonts w:ascii="Arial" w:hAnsi="Arial" w:cs="Arial"/>
          <w:noProof/>
        </w:rPr>
        <w:t>(</w:t>
      </w:r>
      <w:hyperlink w:anchor="_ENREF_242" w:tooltip="Nancollas, 2006 #486" w:history="1">
        <w:r w:rsidR="003B725E">
          <w:rPr>
            <w:rFonts w:ascii="Arial" w:hAnsi="Arial" w:cs="Arial"/>
            <w:noProof/>
          </w:rPr>
          <w:t>242</w:t>
        </w:r>
      </w:hyperlink>
      <w:r w:rsidR="008E761B">
        <w:rPr>
          <w:rFonts w:ascii="Arial" w:hAnsi="Arial" w:cs="Arial"/>
          <w:noProof/>
        </w:rPr>
        <w:t>)</w:t>
      </w:r>
      <w:r w:rsidR="007A29F7">
        <w:rPr>
          <w:rFonts w:ascii="Arial" w:hAnsi="Arial" w:cs="Arial"/>
        </w:rPr>
        <w:fldChar w:fldCharType="end"/>
      </w:r>
      <w:r w:rsidR="00CD690E" w:rsidRPr="00CB0730">
        <w:rPr>
          <w:rFonts w:ascii="Arial" w:hAnsi="Arial" w:cs="Arial"/>
        </w:rPr>
        <w:t xml:space="preserve">. </w:t>
      </w:r>
      <w:r w:rsidR="00FD6E09" w:rsidRPr="00CB0730">
        <w:rPr>
          <w:rFonts w:ascii="Arial" w:hAnsi="Arial" w:cs="Arial"/>
        </w:rPr>
        <w:t xml:space="preserve">For example alendronate has a stronger binding affinity for hydroxyapatite than risedronate. </w:t>
      </w:r>
      <w:r w:rsidR="007A75B9">
        <w:rPr>
          <w:rFonts w:ascii="Arial" w:hAnsi="Arial" w:cs="Arial"/>
        </w:rPr>
        <w:t>In contrast bisphosphonates with a</w:t>
      </w:r>
      <w:r w:rsidR="00226D95">
        <w:rPr>
          <w:rFonts w:ascii="Arial" w:hAnsi="Arial" w:cs="Arial"/>
        </w:rPr>
        <w:t xml:space="preserve"> stronger binding affinity have</w:t>
      </w:r>
      <w:r w:rsidR="007A75B9">
        <w:rPr>
          <w:rFonts w:ascii="Arial" w:hAnsi="Arial" w:cs="Arial"/>
        </w:rPr>
        <w:t xml:space="preserve"> lower 24 hour excretion </w:t>
      </w:r>
      <w:r w:rsidR="00226D95">
        <w:rPr>
          <w:rFonts w:ascii="Arial" w:hAnsi="Arial" w:cs="Arial"/>
        </w:rPr>
        <w:t xml:space="preserve">(i.e. greater retention time) </w:t>
      </w:r>
      <w:r w:rsidR="007A75B9">
        <w:rPr>
          <w:rFonts w:ascii="Arial" w:hAnsi="Arial" w:cs="Arial"/>
        </w:rPr>
        <w:t xml:space="preserve">following the </w:t>
      </w:r>
      <w:r w:rsidR="004C61F7">
        <w:rPr>
          <w:rFonts w:ascii="Arial" w:hAnsi="Arial" w:cs="Arial"/>
        </w:rPr>
        <w:t xml:space="preserve">administration of the </w:t>
      </w:r>
      <w:r w:rsidR="007A75B9">
        <w:rPr>
          <w:rFonts w:ascii="Arial" w:hAnsi="Arial" w:cs="Arial"/>
        </w:rPr>
        <w:t>initial dose</w:t>
      </w:r>
      <w:r w:rsidR="004C61F7">
        <w:rPr>
          <w:rFonts w:ascii="Arial" w:hAnsi="Arial" w:cs="Arial"/>
        </w:rPr>
        <w:t>.</w:t>
      </w:r>
      <w:r w:rsidR="007A75B9">
        <w:rPr>
          <w:rFonts w:ascii="Arial" w:hAnsi="Arial" w:cs="Arial"/>
        </w:rPr>
        <w:t xml:space="preserve"> </w:t>
      </w:r>
    </w:p>
    <w:p w:rsidR="002C558E" w:rsidRPr="00CB0730" w:rsidRDefault="002C558E" w:rsidP="003B725E">
      <w:pPr>
        <w:spacing w:line="360" w:lineRule="auto"/>
        <w:jc w:val="both"/>
        <w:rPr>
          <w:rFonts w:ascii="Arial" w:hAnsi="Arial" w:cs="Arial"/>
        </w:rPr>
      </w:pPr>
      <w:r w:rsidRPr="00CB0730">
        <w:rPr>
          <w:rFonts w:ascii="Arial" w:hAnsi="Arial" w:cs="Arial"/>
        </w:rPr>
        <w:t xml:space="preserve">The preferential uptake and adsorption of </w:t>
      </w:r>
      <w:r w:rsidR="00C50C49" w:rsidRPr="00CB0730">
        <w:rPr>
          <w:rFonts w:ascii="Arial" w:hAnsi="Arial" w:cs="Arial"/>
        </w:rPr>
        <w:t>bisphosphonates</w:t>
      </w:r>
      <w:r w:rsidRPr="00CB0730">
        <w:rPr>
          <w:rFonts w:ascii="Arial" w:hAnsi="Arial" w:cs="Arial"/>
        </w:rPr>
        <w:t xml:space="preserve"> by the bone mineral brings them in close contact with the </w:t>
      </w:r>
      <w:r w:rsidR="00C50C49" w:rsidRPr="00CB0730">
        <w:rPr>
          <w:rFonts w:ascii="Arial" w:hAnsi="Arial" w:cs="Arial"/>
        </w:rPr>
        <w:t>osteoclasts</w:t>
      </w:r>
      <w:r w:rsidRPr="00CB0730">
        <w:rPr>
          <w:rFonts w:ascii="Arial" w:hAnsi="Arial" w:cs="Arial"/>
        </w:rPr>
        <w:t xml:space="preserve">. </w:t>
      </w:r>
      <w:r w:rsidRPr="00044C17">
        <w:rPr>
          <w:rFonts w:ascii="Arial" w:hAnsi="Arial" w:cs="Arial"/>
          <w:i/>
        </w:rPr>
        <w:t>In vivo</w:t>
      </w:r>
      <w:r w:rsidRPr="00CB0730">
        <w:rPr>
          <w:rFonts w:ascii="Arial" w:hAnsi="Arial" w:cs="Arial"/>
        </w:rPr>
        <w:t xml:space="preserve"> studies have shown that during </w:t>
      </w:r>
      <w:r w:rsidR="0083715C" w:rsidRPr="00CB0730">
        <w:rPr>
          <w:rFonts w:ascii="Arial" w:hAnsi="Arial" w:cs="Arial"/>
        </w:rPr>
        <w:t xml:space="preserve">the bone resorption process </w:t>
      </w:r>
      <w:r w:rsidR="00AF081B">
        <w:rPr>
          <w:rFonts w:ascii="Arial" w:hAnsi="Arial" w:cs="Arial"/>
        </w:rPr>
        <w:t>alendronate was</w:t>
      </w:r>
      <w:r w:rsidRPr="00CB0730">
        <w:rPr>
          <w:rFonts w:ascii="Arial" w:hAnsi="Arial" w:cs="Arial"/>
        </w:rPr>
        <w:t xml:space="preserve"> internalised by the osteoclasts </w:t>
      </w:r>
      <w:r w:rsidR="00AF081B">
        <w:rPr>
          <w:rFonts w:ascii="Arial" w:hAnsi="Arial" w:cs="Arial"/>
        </w:rPr>
        <w:t>via</w:t>
      </w:r>
      <w:r w:rsidRPr="00CB0730">
        <w:rPr>
          <w:rFonts w:ascii="Arial" w:hAnsi="Arial" w:cs="Arial"/>
        </w:rPr>
        <w:t xml:space="preserve"> </w:t>
      </w:r>
      <w:r w:rsidR="00C50C49" w:rsidRPr="00CB0730">
        <w:rPr>
          <w:rFonts w:ascii="Arial" w:hAnsi="Arial" w:cs="Arial"/>
        </w:rPr>
        <w:t>endocytosis</w:t>
      </w:r>
      <w:r w:rsidR="00AF081B">
        <w:rPr>
          <w:rFonts w:ascii="Arial" w:hAnsi="Arial" w:cs="Arial"/>
        </w:rPr>
        <w:fldChar w:fldCharType="begin"/>
      </w:r>
      <w:r w:rsidR="008E761B">
        <w:rPr>
          <w:rFonts w:ascii="Arial" w:hAnsi="Arial" w:cs="Arial"/>
        </w:rPr>
        <w:instrText xml:space="preserve"> ADDIN EN.CITE &lt;EndNote&gt;&lt;Cite&gt;&lt;Author&gt;Sato&lt;/Author&gt;&lt;Year&gt;1991&lt;/Year&gt;&lt;RecNum&gt;313&lt;/RecNum&gt;&lt;DisplayText&gt;(243)&lt;/DisplayText&gt;&lt;record&gt;&lt;rec-number&gt;313&lt;/rec-number&gt;&lt;foreign-keys&gt;&lt;key app="EN" db-id="p9a5ttsvyvde9me5aw2x05fp5p55axf0wr90" timestamp="1433953093"&gt;313&lt;/key&gt;&lt;/foreign-keys&gt;&lt;ref-type name="Journal Article"&gt;17&lt;/ref-type&gt;&lt;contributors&gt;&lt;authors&gt;&lt;author&gt;Sato, M.&lt;/author&gt;&lt;author&gt;Grasser, W.&lt;/author&gt;&lt;author&gt;Endo, N.&lt;/author&gt;&lt;author&gt;Akins, R.&lt;/author&gt;&lt;author&gt;Simmons, H.&lt;/author&gt;&lt;author&gt;Thompson, D. D.&lt;/author&gt;&lt;author&gt;Golub, E.&lt;/author&gt;&lt;author&gt;Rodan, G. A.&lt;/author&gt;&lt;/authors&gt;&lt;/contributors&gt;&lt;auth-address&gt;Department of Bone Biology and Osteoporosis Research, Merck Sharp &amp;amp; Dohme Research Laboratories, West Point, Pennsylvania 19486.&lt;/auth-address&gt;&lt;titles&gt;&lt;title&gt;Bisphosphonate action. Alendronate localization in rat bone and effects on osteoclast ultrastructure&lt;/title&gt;&lt;secondary-title&gt;J Clin Invest&lt;/secondary-title&gt;&lt;/titles&gt;&lt;periodical&gt;&lt;full-title&gt;J Clin Invest&lt;/full-title&gt;&lt;abbr-1&gt;The Journal of clinical investigation&lt;/abbr-1&gt;&lt;/periodical&gt;&lt;pages&gt;2095-105&lt;/pages&gt;&lt;volume&gt;88&lt;/volume&gt;&lt;number&gt;6&lt;/number&gt;&lt;edition&gt;1991/12/01&lt;/edition&gt;&lt;keywords&gt;&lt;keyword&gt;Alendronate&lt;/keyword&gt;&lt;keyword&gt;Animals&lt;/keyword&gt;&lt;keyword&gt;Bone Resorption/chemically induced&lt;/keyword&gt;&lt;keyword&gt;Bone and Bones/ metabolism&lt;/keyword&gt;&lt;keyword&gt;Calcium/analysis&lt;/keyword&gt;&lt;keyword&gt;Cells, Cultured&lt;/keyword&gt;&lt;keyword&gt;Chickens&lt;/keyword&gt;&lt;keyword&gt;Cyclic AMP/analysis&lt;/keyword&gt;&lt;keyword&gt;Diphosphonates/metabolism/ pharmacology&lt;/keyword&gt;&lt;keyword&gt;Osteoclasts/ drug effects/ultrastructure&lt;/keyword&gt;&lt;keyword&gt;Rats&lt;/keyword&gt;&lt;keyword&gt;Rats, Inbred Strains&lt;/keyword&gt;&lt;/keywords&gt;&lt;dates&gt;&lt;year&gt;1991&lt;/year&gt;&lt;pub-dates&gt;&lt;date&gt;Dec&lt;/date&gt;&lt;/pub-dates&gt;&lt;/dates&gt;&lt;isbn&gt;0021-9738 (Print)&amp;#xD;0021-9738 (Linking)&lt;/isbn&gt;&lt;accession-num&gt;1661297&lt;/accession-num&gt;&lt;urls&gt;&lt;/urls&gt;&lt;custom2&gt;PMC295810&lt;/custom2&gt;&lt;electronic-resource-num&gt;10.1172/jci115539&lt;/electronic-resource-num&gt;&lt;remote-database-provider&gt;NLM&lt;/remote-database-provider&gt;&lt;language&gt;eng&lt;/language&gt;&lt;/record&gt;&lt;/Cite&gt;&lt;/EndNote&gt;</w:instrText>
      </w:r>
      <w:r w:rsidR="00AF081B">
        <w:rPr>
          <w:rFonts w:ascii="Arial" w:hAnsi="Arial" w:cs="Arial"/>
        </w:rPr>
        <w:fldChar w:fldCharType="separate"/>
      </w:r>
      <w:r w:rsidR="008E761B">
        <w:rPr>
          <w:rFonts w:ascii="Arial" w:hAnsi="Arial" w:cs="Arial"/>
          <w:noProof/>
        </w:rPr>
        <w:t>(</w:t>
      </w:r>
      <w:hyperlink w:anchor="_ENREF_243" w:tooltip="Sato, 1991 #313" w:history="1">
        <w:r w:rsidR="003B725E">
          <w:rPr>
            <w:rFonts w:ascii="Arial" w:hAnsi="Arial" w:cs="Arial"/>
            <w:noProof/>
          </w:rPr>
          <w:t>243</w:t>
        </w:r>
      </w:hyperlink>
      <w:r w:rsidR="008E761B">
        <w:rPr>
          <w:rFonts w:ascii="Arial" w:hAnsi="Arial" w:cs="Arial"/>
          <w:noProof/>
        </w:rPr>
        <w:t>)</w:t>
      </w:r>
      <w:r w:rsidR="00AF081B">
        <w:rPr>
          <w:rFonts w:ascii="Arial" w:hAnsi="Arial" w:cs="Arial"/>
        </w:rPr>
        <w:fldChar w:fldCharType="end"/>
      </w:r>
      <w:r w:rsidRPr="00CB0730">
        <w:rPr>
          <w:rFonts w:ascii="Arial" w:hAnsi="Arial" w:cs="Arial"/>
        </w:rPr>
        <w:t xml:space="preserve">. This alters bone resorption through </w:t>
      </w:r>
      <w:r w:rsidR="0083715C" w:rsidRPr="00CB0730">
        <w:rPr>
          <w:rFonts w:ascii="Arial" w:hAnsi="Arial" w:cs="Arial"/>
        </w:rPr>
        <w:t xml:space="preserve">inhibiting </w:t>
      </w:r>
      <w:r w:rsidR="00187665" w:rsidRPr="00CB0730">
        <w:rPr>
          <w:rFonts w:ascii="Arial" w:hAnsi="Arial" w:cs="Arial"/>
        </w:rPr>
        <w:t>the osteoclasts activity and inducing cell death</w:t>
      </w:r>
      <w:r w:rsidR="00AF081B">
        <w:rPr>
          <w:rFonts w:ascii="Arial" w:hAnsi="Arial" w:cs="Arial"/>
        </w:rPr>
        <w:t xml:space="preserve"> </w:t>
      </w:r>
      <w:r w:rsidR="00AF081B">
        <w:rPr>
          <w:rFonts w:ascii="Arial" w:hAnsi="Arial" w:cs="Arial"/>
        </w:rPr>
        <w:fldChar w:fldCharType="begin">
          <w:fldData xml:space="preserve">PEVuZE5vdGU+PENpdGU+PEF1dGhvcj5CcmV1aWw8L0F1dGhvcj48WWVhcj4xOTk4PC9ZZWFyPjxS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PEVuZE5vdGU+PENpdGU+PEF1dGhvcj5CcmV1aWw8L0F1dGhvcj48WWVhcj4xOTk4PC9ZZWFyPjxS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AF081B">
        <w:rPr>
          <w:rFonts w:ascii="Arial" w:hAnsi="Arial" w:cs="Arial"/>
        </w:rPr>
      </w:r>
      <w:r w:rsidR="00AF081B">
        <w:rPr>
          <w:rFonts w:ascii="Arial" w:hAnsi="Arial" w:cs="Arial"/>
        </w:rPr>
        <w:fldChar w:fldCharType="separate"/>
      </w:r>
      <w:r w:rsidR="008E761B">
        <w:rPr>
          <w:rFonts w:ascii="Arial" w:hAnsi="Arial" w:cs="Arial"/>
          <w:noProof/>
        </w:rPr>
        <w:t>(</w:t>
      </w:r>
      <w:hyperlink w:anchor="_ENREF_244" w:tooltip="Breuil, 1998 #314" w:history="1">
        <w:r w:rsidR="003B725E">
          <w:rPr>
            <w:rFonts w:ascii="Arial" w:hAnsi="Arial" w:cs="Arial"/>
            <w:noProof/>
          </w:rPr>
          <w:t>244</w:t>
        </w:r>
      </w:hyperlink>
      <w:r w:rsidR="008E761B">
        <w:rPr>
          <w:rFonts w:ascii="Arial" w:hAnsi="Arial" w:cs="Arial"/>
          <w:noProof/>
        </w:rPr>
        <w:t xml:space="preserve">, </w:t>
      </w:r>
      <w:hyperlink w:anchor="_ENREF_245" w:tooltip="Flanagan, 1989 #315" w:history="1">
        <w:r w:rsidR="003B725E">
          <w:rPr>
            <w:rFonts w:ascii="Arial" w:hAnsi="Arial" w:cs="Arial"/>
            <w:noProof/>
          </w:rPr>
          <w:t>245</w:t>
        </w:r>
      </w:hyperlink>
      <w:r w:rsidR="008E761B">
        <w:rPr>
          <w:rFonts w:ascii="Arial" w:hAnsi="Arial" w:cs="Arial"/>
          <w:noProof/>
        </w:rPr>
        <w:t>)</w:t>
      </w:r>
      <w:r w:rsidR="00AF081B">
        <w:rPr>
          <w:rFonts w:ascii="Arial" w:hAnsi="Arial" w:cs="Arial"/>
        </w:rPr>
        <w:fldChar w:fldCharType="end"/>
      </w:r>
      <w:r w:rsidR="00AF081B">
        <w:rPr>
          <w:rFonts w:ascii="Arial" w:hAnsi="Arial" w:cs="Arial"/>
        </w:rPr>
        <w:t>,</w:t>
      </w:r>
      <w:r w:rsidR="001B602A" w:rsidRPr="00CB0730">
        <w:rPr>
          <w:rFonts w:ascii="Arial" w:hAnsi="Arial" w:cs="Arial"/>
        </w:rPr>
        <w:t xml:space="preserve"> but not always the latter</w:t>
      </w:r>
      <w:r w:rsidR="00187665" w:rsidRPr="00CB0730">
        <w:rPr>
          <w:rFonts w:ascii="Arial" w:hAnsi="Arial" w:cs="Arial"/>
        </w:rPr>
        <w:t xml:space="preserve">. </w:t>
      </w:r>
      <w:r w:rsidR="001B602A" w:rsidRPr="00CB0730">
        <w:rPr>
          <w:rFonts w:ascii="Arial" w:hAnsi="Arial" w:cs="Arial"/>
        </w:rPr>
        <w:t>For example bone biopsies from osteoporotic patients treated with alendronate h</w:t>
      </w:r>
      <w:r w:rsidR="00F01F1F" w:rsidRPr="00CB0730">
        <w:rPr>
          <w:rFonts w:ascii="Arial" w:hAnsi="Arial" w:cs="Arial"/>
        </w:rPr>
        <w:t>ave shown that the osteoclast was</w:t>
      </w:r>
      <w:r w:rsidR="001B602A" w:rsidRPr="00CB0730">
        <w:rPr>
          <w:rFonts w:ascii="Arial" w:hAnsi="Arial" w:cs="Arial"/>
        </w:rPr>
        <w:t xml:space="preserve"> still present but is in the form of a giant hypernucleated that is possibly inactive with an unknown function</w:t>
      </w:r>
      <w:r w:rsidR="00AF081B">
        <w:rPr>
          <w:rFonts w:ascii="Arial" w:hAnsi="Arial" w:cs="Arial"/>
        </w:rPr>
        <w:t xml:space="preserve"> </w:t>
      </w:r>
      <w:r w:rsidR="00AF081B">
        <w:rPr>
          <w:rFonts w:ascii="Arial" w:hAnsi="Arial" w:cs="Arial"/>
        </w:rPr>
        <w:fldChar w:fldCharType="begin">
          <w:fldData xml:space="preserve">PEVuZE5vdGU+PENpdGU+PEF1dGhvcj5XZWluc3RlaW48L0F1dGhvcj48WWVhcj4yMDA5PC9ZZWFy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PEVuZE5vdGU+PENpdGU+PEF1dGhvcj5XZWluc3RlaW48L0F1dGhvcj48WWVhcj4yMDA5PC9ZZWFy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AF081B">
        <w:rPr>
          <w:rFonts w:ascii="Arial" w:hAnsi="Arial" w:cs="Arial"/>
        </w:rPr>
      </w:r>
      <w:r w:rsidR="00AF081B">
        <w:rPr>
          <w:rFonts w:ascii="Arial" w:hAnsi="Arial" w:cs="Arial"/>
        </w:rPr>
        <w:fldChar w:fldCharType="separate"/>
      </w:r>
      <w:r w:rsidR="008E761B">
        <w:rPr>
          <w:rFonts w:ascii="Arial" w:hAnsi="Arial" w:cs="Arial"/>
          <w:noProof/>
        </w:rPr>
        <w:t>(</w:t>
      </w:r>
      <w:hyperlink w:anchor="_ENREF_246" w:tooltip="Weinstein, 2009 #316" w:history="1">
        <w:r w:rsidR="003B725E">
          <w:rPr>
            <w:rFonts w:ascii="Arial" w:hAnsi="Arial" w:cs="Arial"/>
            <w:noProof/>
          </w:rPr>
          <w:t>246</w:t>
        </w:r>
      </w:hyperlink>
      <w:r w:rsidR="008E761B">
        <w:rPr>
          <w:rFonts w:ascii="Arial" w:hAnsi="Arial" w:cs="Arial"/>
          <w:noProof/>
        </w:rPr>
        <w:t>)</w:t>
      </w:r>
      <w:r w:rsidR="00AF081B">
        <w:rPr>
          <w:rFonts w:ascii="Arial" w:hAnsi="Arial" w:cs="Arial"/>
        </w:rPr>
        <w:fldChar w:fldCharType="end"/>
      </w:r>
      <w:r w:rsidR="001B602A" w:rsidRPr="00CB0730">
        <w:rPr>
          <w:rFonts w:ascii="Arial" w:hAnsi="Arial" w:cs="Arial"/>
        </w:rPr>
        <w:t xml:space="preserve">. This feature has also been observed </w:t>
      </w:r>
      <w:r w:rsidR="00EC4EF7">
        <w:rPr>
          <w:rFonts w:ascii="Arial" w:hAnsi="Arial" w:cs="Arial"/>
        </w:rPr>
        <w:t xml:space="preserve">more recently </w:t>
      </w:r>
      <w:r w:rsidR="001B602A" w:rsidRPr="00CB0730">
        <w:rPr>
          <w:rFonts w:ascii="Arial" w:hAnsi="Arial" w:cs="Arial"/>
        </w:rPr>
        <w:t>following treatment with cathepsin K inhibitors such as odanacatib</w:t>
      </w:r>
      <w:r w:rsidR="00EC4EF7">
        <w:rPr>
          <w:rFonts w:ascii="Arial" w:hAnsi="Arial" w:cs="Arial"/>
        </w:rPr>
        <w:t xml:space="preserve"> </w:t>
      </w:r>
      <w:r w:rsidR="00EC4EF7">
        <w:rPr>
          <w:rFonts w:ascii="Arial" w:hAnsi="Arial" w:cs="Arial"/>
        </w:rPr>
        <w:fldChar w:fldCharType="begin">
          <w:fldData xml:space="preserve">PEVuZE5vdGU+PENpdGU+PEF1dGhvcj5FaXNtYW48L0F1dGhvcj48WWVhcj4yMDExPC9ZZWFyPjxS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bmQgTWluZXJhbCBSZXNlYXJjaDwvYWJici0xPjwvcGVyaW9kaWNhbD48cGFnZXM+MjQyLTUxPC9w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PEVuZE5vdGU+PENpdGU+PEF1dGhvcj5FaXNtYW48L0F1dGhvcj48WWVhcj4yMDExPC9ZZWFyPjxS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bmQgTWluZXJhbCBSZXNlYXJjaDwvYWJici0xPjwvcGVyaW9kaWNhbD48cGFnZXM+MjQyLTUxPC9w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EC4EF7">
        <w:rPr>
          <w:rFonts w:ascii="Arial" w:hAnsi="Arial" w:cs="Arial"/>
        </w:rPr>
      </w:r>
      <w:r w:rsidR="00EC4EF7">
        <w:rPr>
          <w:rFonts w:ascii="Arial" w:hAnsi="Arial" w:cs="Arial"/>
        </w:rPr>
        <w:fldChar w:fldCharType="separate"/>
      </w:r>
      <w:r w:rsidR="008E761B">
        <w:rPr>
          <w:rFonts w:ascii="Arial" w:hAnsi="Arial" w:cs="Arial"/>
          <w:noProof/>
        </w:rPr>
        <w:t>(</w:t>
      </w:r>
      <w:hyperlink w:anchor="_ENREF_247" w:tooltip="Eisman, 2011 #317" w:history="1">
        <w:r w:rsidR="003B725E">
          <w:rPr>
            <w:rFonts w:ascii="Arial" w:hAnsi="Arial" w:cs="Arial"/>
            <w:noProof/>
          </w:rPr>
          <w:t>247</w:t>
        </w:r>
      </w:hyperlink>
      <w:r w:rsidR="008E761B">
        <w:rPr>
          <w:rFonts w:ascii="Arial" w:hAnsi="Arial" w:cs="Arial"/>
          <w:noProof/>
        </w:rPr>
        <w:t>)</w:t>
      </w:r>
      <w:r w:rsidR="00EC4EF7">
        <w:rPr>
          <w:rFonts w:ascii="Arial" w:hAnsi="Arial" w:cs="Arial"/>
        </w:rPr>
        <w:fldChar w:fldCharType="end"/>
      </w:r>
      <w:r w:rsidR="00EC4EF7">
        <w:rPr>
          <w:rFonts w:ascii="Arial" w:hAnsi="Arial" w:cs="Arial"/>
        </w:rPr>
        <w:t xml:space="preserve">. </w:t>
      </w:r>
      <w:r w:rsidR="00187665" w:rsidRPr="00CB0730">
        <w:rPr>
          <w:rFonts w:ascii="Arial" w:hAnsi="Arial" w:cs="Arial"/>
        </w:rPr>
        <w:t>Other featur</w:t>
      </w:r>
      <w:r w:rsidR="0083715C" w:rsidRPr="00CB0730">
        <w:rPr>
          <w:rFonts w:ascii="Arial" w:hAnsi="Arial" w:cs="Arial"/>
        </w:rPr>
        <w:t>es observed following uptake were a</w:t>
      </w:r>
      <w:r w:rsidR="00187665" w:rsidRPr="00CB0730">
        <w:rPr>
          <w:rFonts w:ascii="Arial" w:hAnsi="Arial" w:cs="Arial"/>
        </w:rPr>
        <w:t xml:space="preserve"> lack of the ruffled </w:t>
      </w:r>
      <w:r w:rsidR="0083715C" w:rsidRPr="00CB0730">
        <w:rPr>
          <w:rFonts w:ascii="Arial" w:hAnsi="Arial" w:cs="Arial"/>
        </w:rPr>
        <w:t>border and the disruption of the cell’s</w:t>
      </w:r>
      <w:r w:rsidR="00187665" w:rsidRPr="00CB0730">
        <w:rPr>
          <w:rFonts w:ascii="Arial" w:hAnsi="Arial" w:cs="Arial"/>
        </w:rPr>
        <w:t xml:space="preserve"> cytoskeleton as a result of the inhibition of intracell</w:t>
      </w:r>
      <w:r w:rsidR="0083715C" w:rsidRPr="00CB0730">
        <w:rPr>
          <w:rFonts w:ascii="Arial" w:hAnsi="Arial" w:cs="Arial"/>
        </w:rPr>
        <w:t xml:space="preserve">ular signalling </w:t>
      </w:r>
      <w:r w:rsidR="00EC4EF7">
        <w:rPr>
          <w:rFonts w:ascii="Arial" w:hAnsi="Arial" w:cs="Arial"/>
        </w:rPr>
        <w:fldChar w:fldCharType="begin">
          <w:fldData xml:space="preserve">PEVuZE5vdGU+PENpdGU+PEF1dGhvcj5NdXJha2FtaTwvQXV0aG9yPjxZZWFyPjE5OTU8L1llYXI+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PEVuZE5vdGU+PENpdGU+PEF1dGhvcj5NdXJha2FtaTwvQXV0aG9yPjxZZWFyPjE5OTU8L1llYXI+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EC4EF7">
        <w:rPr>
          <w:rFonts w:ascii="Arial" w:hAnsi="Arial" w:cs="Arial"/>
        </w:rPr>
      </w:r>
      <w:r w:rsidR="00EC4EF7">
        <w:rPr>
          <w:rFonts w:ascii="Arial" w:hAnsi="Arial" w:cs="Arial"/>
        </w:rPr>
        <w:fldChar w:fldCharType="separate"/>
      </w:r>
      <w:r w:rsidR="008E761B">
        <w:rPr>
          <w:rFonts w:ascii="Arial" w:hAnsi="Arial" w:cs="Arial"/>
          <w:noProof/>
        </w:rPr>
        <w:t>(</w:t>
      </w:r>
      <w:hyperlink w:anchor="_ENREF_248" w:tooltip="Murakami, 1995 #318" w:history="1">
        <w:r w:rsidR="003B725E">
          <w:rPr>
            <w:rFonts w:ascii="Arial" w:hAnsi="Arial" w:cs="Arial"/>
            <w:noProof/>
          </w:rPr>
          <w:t>248</w:t>
        </w:r>
      </w:hyperlink>
      <w:r w:rsidR="008E761B">
        <w:rPr>
          <w:rFonts w:ascii="Arial" w:hAnsi="Arial" w:cs="Arial"/>
          <w:noProof/>
        </w:rPr>
        <w:t>)</w:t>
      </w:r>
      <w:r w:rsidR="00EC4EF7">
        <w:rPr>
          <w:rFonts w:ascii="Arial" w:hAnsi="Arial" w:cs="Arial"/>
        </w:rPr>
        <w:fldChar w:fldCharType="end"/>
      </w:r>
      <w:r w:rsidR="00EC4EF7">
        <w:rPr>
          <w:rFonts w:ascii="Arial" w:hAnsi="Arial" w:cs="Arial"/>
        </w:rPr>
        <w:t>.</w:t>
      </w:r>
      <w:r w:rsidR="001B602A" w:rsidRPr="00CB0730">
        <w:rPr>
          <w:rFonts w:ascii="Arial" w:hAnsi="Arial" w:cs="Arial"/>
        </w:rPr>
        <w:t xml:space="preserve"> </w:t>
      </w:r>
      <w:r w:rsidR="001D49D6" w:rsidRPr="00CB0730">
        <w:rPr>
          <w:rFonts w:ascii="Arial" w:hAnsi="Arial" w:cs="Arial"/>
        </w:rPr>
        <w:t xml:space="preserve">It is widely accepted that these effects are exerted on mature, multinucleated and actively resorbing osteoclasts. However since these differentiate from mononuclear precursor cells originating from the haematopoietic stem cells, bisphosphonates may also have an effect on these, but this possible mechanism of action has not yet been widely researched. </w:t>
      </w:r>
      <w:r w:rsidR="00187665" w:rsidRPr="00CB0730">
        <w:rPr>
          <w:rFonts w:ascii="Arial" w:hAnsi="Arial" w:cs="Arial"/>
        </w:rPr>
        <w:t xml:space="preserve"> </w:t>
      </w:r>
    </w:p>
    <w:p w:rsidR="00FC4AA4" w:rsidRPr="00CB0730" w:rsidRDefault="00E004C4" w:rsidP="003B725E">
      <w:pPr>
        <w:spacing w:line="360" w:lineRule="auto"/>
        <w:jc w:val="both"/>
        <w:rPr>
          <w:rFonts w:ascii="Arial" w:hAnsi="Arial" w:cs="Arial"/>
        </w:rPr>
      </w:pPr>
      <w:r w:rsidRPr="00CB0730">
        <w:rPr>
          <w:rFonts w:ascii="Arial" w:hAnsi="Arial" w:cs="Arial"/>
        </w:rPr>
        <w:lastRenderedPageBreak/>
        <w:t>Preclinical research</w:t>
      </w:r>
      <w:r w:rsidR="00FC4AA4" w:rsidRPr="00CB0730">
        <w:rPr>
          <w:rFonts w:ascii="Arial" w:hAnsi="Arial" w:cs="Arial"/>
        </w:rPr>
        <w:t xml:space="preserve"> has attempted to show the actions of bisphosphonates once inside the osteoclast</w:t>
      </w:r>
      <w:r w:rsidRPr="00CB0730">
        <w:rPr>
          <w:rFonts w:ascii="Arial" w:hAnsi="Arial" w:cs="Arial"/>
        </w:rPr>
        <w:t xml:space="preserve">, </w:t>
      </w:r>
      <w:r w:rsidR="00B260E5">
        <w:rPr>
          <w:rFonts w:ascii="Arial" w:hAnsi="Arial" w:cs="Arial"/>
        </w:rPr>
        <w:fldChar w:fldCharType="begin"/>
      </w:r>
      <w:r w:rsidR="008E761B">
        <w:rPr>
          <w:rFonts w:ascii="Arial" w:hAnsi="Arial" w:cs="Arial"/>
        </w:rPr>
        <w:instrText xml:space="preserve"> ADDIN EN.CITE &lt;EndNote&gt;&lt;Cite&gt;&lt;Author&gt;Rogers&lt;/Author&gt;&lt;Year&gt;2004&lt;/Year&gt;&lt;RecNum&gt;419&lt;/RecNum&gt;&lt;DisplayText&gt;(249)&lt;/DisplayText&gt;&lt;record&gt;&lt;rec-number&gt;419&lt;/rec-number&gt;&lt;foreign-keys&gt;&lt;key app="EN" db-id="p9a5ttsvyvde9me5aw2x05fp5p55axf0wr90" timestamp="1436180222"&gt;419&lt;/key&gt;&lt;/foreign-keys&gt;&lt;ref-type name="Journal Article"&gt;17&lt;/ref-type&gt;&lt;contributors&gt;&lt;authors&gt;&lt;author&gt;Rogers, M. J.&lt;/author&gt;&lt;/authors&gt;&lt;/contributors&gt;&lt;auth-address&gt;Bone Research Group, Institute of Medical Sciences, University of Aberdeen, AB25 2ZD, UK. m.j.rogers@abdn.ac.uk&lt;/auth-address&gt;&lt;titles&gt;&lt;title&gt;From molds and macrophages to mevalonate: a decade of progress in understanding the molecular mode of action of bisphosphonates&lt;/title&gt;&lt;secondary-title&gt;Calcif Tissue Int&lt;/secondary-title&gt;&lt;/titles&gt;&lt;periodical&gt;&lt;full-title&gt;Calcif Tissue Int&lt;/full-title&gt;&lt;abbr-1&gt;Calcified tissue international&lt;/abbr-1&gt;&lt;/periodical&gt;&lt;pages&gt;451-61&lt;/pages&gt;&lt;volume&gt;75&lt;/volume&gt;&lt;number&gt;6&lt;/number&gt;&lt;edition&gt;2004/08/28&lt;/edition&gt;&lt;keywords&gt;&lt;keyword&gt;Animals&lt;/keyword&gt;&lt;keyword&gt;Apoptosis/drug effects&lt;/keyword&gt;&lt;keyword&gt;Bone Resorption/drug therapy&lt;/keyword&gt;&lt;keyword&gt;Dictyostelium&lt;/keyword&gt;&lt;keyword&gt;Diphosphonates/ chemistry/pharmacology&lt;/keyword&gt;&lt;keyword&gt;Humans&lt;/keyword&gt;&lt;keyword&gt;Macrophages/ drug effects/metabolism&lt;/keyword&gt;&lt;keyword&gt;Mevalonic Acid/ metabolism&lt;/keyword&gt;&lt;keyword&gt;Osteoclasts/drug effects/metabolism&lt;/keyword&gt;&lt;keyword&gt;Protein Prenylation/drug effects&lt;/keyword&gt;&lt;/keywords&gt;&lt;dates&gt;&lt;year&gt;2004&lt;/year&gt;&lt;pub-dates&gt;&lt;date&gt;Dec&lt;/date&gt;&lt;/pub-dates&gt;&lt;/dates&gt;&lt;isbn&gt;0171-967X (Print)&amp;#xD;0171-967X (Linking)&lt;/isbn&gt;&lt;accession-num&gt;15332174&lt;/accession-num&gt;&lt;urls&gt;&lt;/urls&gt;&lt;electronic-resource-num&gt;10.1007/s00223-004-0024-1&lt;/electronic-resource-num&gt;&lt;remote-database-provider&gt;NLM&lt;/remote-database-provider&gt;&lt;language&gt;eng&lt;/language&gt;&lt;/record&gt;&lt;/Cite&gt;&lt;/EndNote&gt;</w:instrText>
      </w:r>
      <w:r w:rsidR="00B260E5">
        <w:rPr>
          <w:rFonts w:ascii="Arial" w:hAnsi="Arial" w:cs="Arial"/>
        </w:rPr>
        <w:fldChar w:fldCharType="separate"/>
      </w:r>
      <w:r w:rsidR="008E761B">
        <w:rPr>
          <w:rFonts w:ascii="Arial" w:hAnsi="Arial" w:cs="Arial"/>
          <w:noProof/>
        </w:rPr>
        <w:t>(</w:t>
      </w:r>
      <w:hyperlink w:anchor="_ENREF_249" w:tooltip="Rogers, 2004 #419" w:history="1">
        <w:r w:rsidR="003B725E">
          <w:rPr>
            <w:rFonts w:ascii="Arial" w:hAnsi="Arial" w:cs="Arial"/>
            <w:noProof/>
          </w:rPr>
          <w:t>249</w:t>
        </w:r>
      </w:hyperlink>
      <w:r w:rsidR="008E761B">
        <w:rPr>
          <w:rFonts w:ascii="Arial" w:hAnsi="Arial" w:cs="Arial"/>
          <w:noProof/>
        </w:rPr>
        <w:t>)</w:t>
      </w:r>
      <w:r w:rsidR="00B260E5">
        <w:rPr>
          <w:rFonts w:ascii="Arial" w:hAnsi="Arial" w:cs="Arial"/>
        </w:rPr>
        <w:fldChar w:fldCharType="end"/>
      </w:r>
      <w:r w:rsidR="00FC4AA4" w:rsidRPr="00CB0730">
        <w:rPr>
          <w:rFonts w:ascii="Arial" w:hAnsi="Arial" w:cs="Arial"/>
        </w:rPr>
        <w:t>.  These</w:t>
      </w:r>
      <w:r w:rsidR="00613E8E">
        <w:rPr>
          <w:rFonts w:ascii="Arial" w:hAnsi="Arial" w:cs="Arial"/>
        </w:rPr>
        <w:t xml:space="preserve"> actions</w:t>
      </w:r>
      <w:r w:rsidR="00FC4AA4" w:rsidRPr="00CB0730">
        <w:rPr>
          <w:rFonts w:ascii="Arial" w:hAnsi="Arial" w:cs="Arial"/>
        </w:rPr>
        <w:t xml:space="preserve"> mainly involve their inhibitory effects on enzymes </w:t>
      </w:r>
      <w:r w:rsidR="00D84318">
        <w:rPr>
          <w:rFonts w:ascii="Arial" w:hAnsi="Arial" w:cs="Arial"/>
        </w:rPr>
        <w:t xml:space="preserve">which </w:t>
      </w:r>
      <w:r w:rsidR="00613E8E">
        <w:rPr>
          <w:rFonts w:ascii="Arial" w:hAnsi="Arial" w:cs="Arial"/>
        </w:rPr>
        <w:t>include;</w:t>
      </w:r>
      <w:r w:rsidR="00FC4AA4" w:rsidRPr="00CB0730">
        <w:rPr>
          <w:rFonts w:ascii="Arial" w:hAnsi="Arial" w:cs="Arial"/>
        </w:rPr>
        <w:t xml:space="preserve"> i) glycolytic enzymes and glycolysis </w:t>
      </w:r>
      <w:r w:rsidR="00B260E5">
        <w:rPr>
          <w:rFonts w:ascii="Arial" w:hAnsi="Arial" w:cs="Arial"/>
        </w:rPr>
        <w:fldChar w:fldCharType="begin"/>
      </w:r>
      <w:r w:rsidR="008E761B">
        <w:rPr>
          <w:rFonts w:ascii="Arial" w:hAnsi="Arial" w:cs="Arial"/>
        </w:rPr>
        <w:instrText xml:space="preserve"> ADDIN EN.CITE &lt;EndNote&gt;&lt;Cite&gt;&lt;Author&gt;Fast&lt;/Author&gt;&lt;Year&gt;1978&lt;/Year&gt;&lt;RecNum&gt;420&lt;/RecNum&gt;&lt;DisplayText&gt;(250)&lt;/DisplayText&gt;&lt;record&gt;&lt;rec-number&gt;420&lt;/rec-number&gt;&lt;foreign-keys&gt;&lt;key app="EN" db-id="p9a5ttsvyvde9me5aw2x05fp5p55axf0wr90" timestamp="1436180368"&gt;420&lt;/key&gt;&lt;/foreign-keys&gt;&lt;ref-type name="Journal Article"&gt;17&lt;/ref-type&gt;&lt;contributors&gt;&lt;authors&gt;&lt;author&gt;Fast, D. K.&lt;/author&gt;&lt;author&gt;Felix, R.&lt;/author&gt;&lt;author&gt;Dowse, C.&lt;/author&gt;&lt;author&gt;Neuman, W. F.&lt;/author&gt;&lt;author&gt;Fleisch, H.&lt;/author&gt;&lt;/authors&gt;&lt;/contributors&gt;&lt;titles&gt;&lt;title&gt;The effects of diphosphonates on the growth and glycolysis of connective-tissue cells in culture&lt;/title&gt;&lt;secondary-title&gt;Biochem J&lt;/secondary-title&gt;&lt;/titles&gt;&lt;periodical&gt;&lt;full-title&gt;Biochem J&lt;/full-title&gt;&lt;abbr-1&gt;The Biochemical journal&lt;/abbr-1&gt;&lt;/periodical&gt;&lt;pages&gt;97-107&lt;/pages&gt;&lt;volume&gt;172&lt;/volume&gt;&lt;number&gt;1&lt;/number&gt;&lt;edition&gt;1978/04/15&lt;/edition&gt;&lt;keywords&gt;&lt;keyword&gt;Animals&lt;/keyword&gt;&lt;keyword&gt;Cell Count/drug effects&lt;/keyword&gt;&lt;keyword&gt;Cells, Cultured&lt;/keyword&gt;&lt;keyword&gt;Connective Tissue/drug effects/ metabolism&lt;/keyword&gt;&lt;keyword&gt;Connective Tissue Cells&lt;/keyword&gt;&lt;keyword&gt;Diphosphonates/ pharmacology&lt;/keyword&gt;&lt;keyword&gt;Fibroblasts/metabolism&lt;/keyword&gt;&lt;keyword&gt;Glycolysis/drug effects&lt;/keyword&gt;&lt;keyword&gt;L-Lactate Dehydrogenase/metabolism&lt;/keyword&gt;&lt;keyword&gt;Lactates/biosynthesis&lt;/keyword&gt;&lt;keyword&gt;Potassium/pharmacology&lt;/keyword&gt;&lt;keyword&gt;Rabbits&lt;/keyword&gt;&lt;keyword&gt;Rats&lt;/keyword&gt;&lt;/keywords&gt;&lt;dates&gt;&lt;year&gt;1978&lt;/year&gt;&lt;pub-dates&gt;&lt;date&gt;Apr 15&lt;/date&gt;&lt;/pub-dates&gt;&lt;/dates&gt;&lt;isbn&gt;0264-6021 (Print)&amp;#xD;0264-6021 (Linking)&lt;/isbn&gt;&lt;accession-num&gt;656078&lt;/accession-num&gt;&lt;urls&gt;&lt;/urls&gt;&lt;custom2&gt;PMC1185667&lt;/custom2&gt;&lt;remote-database-provider&gt;NLM&lt;/remote-database-provider&gt;&lt;language&gt;eng&lt;/language&gt;&lt;/record&gt;&lt;/Cite&gt;&lt;/EndNote&gt;</w:instrText>
      </w:r>
      <w:r w:rsidR="00B260E5">
        <w:rPr>
          <w:rFonts w:ascii="Arial" w:hAnsi="Arial" w:cs="Arial"/>
        </w:rPr>
        <w:fldChar w:fldCharType="separate"/>
      </w:r>
      <w:r w:rsidR="008E761B">
        <w:rPr>
          <w:rFonts w:ascii="Arial" w:hAnsi="Arial" w:cs="Arial"/>
          <w:noProof/>
        </w:rPr>
        <w:t>(</w:t>
      </w:r>
      <w:hyperlink w:anchor="_ENREF_250" w:tooltip="Fast, 1978 #420" w:history="1">
        <w:r w:rsidR="003B725E">
          <w:rPr>
            <w:rFonts w:ascii="Arial" w:hAnsi="Arial" w:cs="Arial"/>
            <w:noProof/>
          </w:rPr>
          <w:t>250</w:t>
        </w:r>
      </w:hyperlink>
      <w:r w:rsidR="008E761B">
        <w:rPr>
          <w:rFonts w:ascii="Arial" w:hAnsi="Arial" w:cs="Arial"/>
          <w:noProof/>
        </w:rPr>
        <w:t>)</w:t>
      </w:r>
      <w:r w:rsidR="00B260E5">
        <w:rPr>
          <w:rFonts w:ascii="Arial" w:hAnsi="Arial" w:cs="Arial"/>
        </w:rPr>
        <w:fldChar w:fldCharType="end"/>
      </w:r>
      <w:r w:rsidR="00FC4AA4" w:rsidRPr="00CB0730">
        <w:rPr>
          <w:rFonts w:ascii="Arial" w:hAnsi="Arial" w:cs="Arial"/>
        </w:rPr>
        <w:t>, ii) the proton pump producing H</w:t>
      </w:r>
      <w:r w:rsidR="00FC4AA4" w:rsidRPr="00CB0730">
        <w:rPr>
          <w:rFonts w:ascii="Arial" w:hAnsi="Arial" w:cs="Arial"/>
          <w:vertAlign w:val="superscript"/>
        </w:rPr>
        <w:t>+</w:t>
      </w:r>
      <w:r w:rsidR="006656AE" w:rsidRPr="00CB0730">
        <w:rPr>
          <w:rFonts w:ascii="Arial" w:hAnsi="Arial" w:cs="Arial"/>
          <w:vertAlign w:val="superscript"/>
        </w:rPr>
        <w:t xml:space="preserve"> </w:t>
      </w:r>
      <w:r w:rsidR="00FC4AA4" w:rsidRPr="00CB0730">
        <w:rPr>
          <w:rFonts w:ascii="Arial" w:hAnsi="Arial" w:cs="Arial"/>
        </w:rPr>
        <w:t xml:space="preserve">ATPase </w:t>
      </w:r>
      <w:r w:rsidR="00B260E5">
        <w:rPr>
          <w:rFonts w:ascii="Arial" w:hAnsi="Arial" w:cs="Arial"/>
        </w:rPr>
        <w:fldChar w:fldCharType="begin">
          <w:fldData xml:space="preserve">PEVuZE5vdGU+PENpdGU+PEF1dGhvcj5EYXZpZDwvQXV0aG9yPjxZZWFyPjE5OTY8L1llYXI+PFJl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PEVuZE5vdGU+PENpdGU+PEF1dGhvcj5EYXZpZDwvQXV0aG9yPjxZZWFyPjE5OTY8L1llYXI+PFJl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260E5">
        <w:rPr>
          <w:rFonts w:ascii="Arial" w:hAnsi="Arial" w:cs="Arial"/>
        </w:rPr>
      </w:r>
      <w:r w:rsidR="00B260E5">
        <w:rPr>
          <w:rFonts w:ascii="Arial" w:hAnsi="Arial" w:cs="Arial"/>
        </w:rPr>
        <w:fldChar w:fldCharType="separate"/>
      </w:r>
      <w:r w:rsidR="008E761B">
        <w:rPr>
          <w:rFonts w:ascii="Arial" w:hAnsi="Arial" w:cs="Arial"/>
          <w:noProof/>
        </w:rPr>
        <w:t>(</w:t>
      </w:r>
      <w:hyperlink w:anchor="_ENREF_251" w:tooltip="David, 1996 #421" w:history="1">
        <w:r w:rsidR="003B725E">
          <w:rPr>
            <w:rFonts w:ascii="Arial" w:hAnsi="Arial" w:cs="Arial"/>
            <w:noProof/>
          </w:rPr>
          <w:t>251</w:t>
        </w:r>
      </w:hyperlink>
      <w:r w:rsidR="008E761B">
        <w:rPr>
          <w:rFonts w:ascii="Arial" w:hAnsi="Arial" w:cs="Arial"/>
          <w:noProof/>
        </w:rPr>
        <w:t>)</w:t>
      </w:r>
      <w:r w:rsidR="00B260E5">
        <w:rPr>
          <w:rFonts w:ascii="Arial" w:hAnsi="Arial" w:cs="Arial"/>
        </w:rPr>
        <w:fldChar w:fldCharType="end"/>
      </w:r>
      <w:r w:rsidRPr="00CB0730">
        <w:rPr>
          <w:rFonts w:ascii="Arial" w:hAnsi="Arial" w:cs="Arial"/>
        </w:rPr>
        <w:t xml:space="preserve">, iii) </w:t>
      </w:r>
      <w:r w:rsidR="00D84318">
        <w:rPr>
          <w:rFonts w:ascii="Arial" w:hAnsi="Arial" w:cs="Arial"/>
        </w:rPr>
        <w:t xml:space="preserve">tyrosine </w:t>
      </w:r>
      <w:r w:rsidRPr="00CB0730">
        <w:rPr>
          <w:rFonts w:ascii="Arial" w:hAnsi="Arial" w:cs="Arial"/>
        </w:rPr>
        <w:t>phosphatase</w:t>
      </w:r>
      <w:r w:rsidR="006656AE" w:rsidRPr="00CB0730">
        <w:rPr>
          <w:rFonts w:ascii="Arial" w:hAnsi="Arial" w:cs="Arial"/>
        </w:rPr>
        <w:t xml:space="preserve">s </w:t>
      </w:r>
      <w:r w:rsidR="00B260E5">
        <w:rPr>
          <w:rFonts w:ascii="Arial" w:hAnsi="Arial" w:cs="Arial"/>
        </w:rPr>
        <w:fldChar w:fldCharType="begin"/>
      </w:r>
      <w:r w:rsidR="008E761B">
        <w:rPr>
          <w:rFonts w:ascii="Arial" w:hAnsi="Arial" w:cs="Arial"/>
        </w:rPr>
        <w:instrText xml:space="preserve"> ADDIN EN.CITE &lt;EndNote&gt;&lt;Cite&gt;&lt;Author&gt;Murakami&lt;/Author&gt;&lt;Year&gt;1997&lt;/Year&gt;&lt;RecNum&gt;422&lt;/RecNum&gt;&lt;DisplayText&gt;(252)&lt;/DisplayText&gt;&lt;record&gt;&lt;rec-number&gt;422&lt;/rec-number&gt;&lt;foreign-keys&gt;&lt;key app="EN" db-id="p9a5ttsvyvde9me5aw2x05fp5p55axf0wr90" timestamp="1436180600"&gt;422&lt;/key&gt;&lt;/foreign-keys&gt;&lt;ref-type name="Journal Article"&gt;17&lt;/ref-type&gt;&lt;contributors&gt;&lt;authors&gt;&lt;author&gt;Murakami, H.&lt;/author&gt;&lt;author&gt;Takahashi, N.&lt;/author&gt;&lt;author&gt;Tanaka, S.&lt;/author&gt;&lt;author&gt;Nakamura, I.&lt;/author&gt;&lt;author&gt;Udagawa, N.&lt;/author&gt;&lt;author&gt;Nakajo, S.&lt;/author&gt;&lt;author&gt;Nakaya, K.&lt;/author&gt;&lt;author&gt;Abe, M.&lt;/author&gt;&lt;author&gt;Yuda, Y.&lt;/author&gt;&lt;author&gt;Konno, F.&lt;/author&gt;&lt;author&gt;Barbier, A.&lt;/author&gt;&lt;author&gt;Suda, T.&lt;/author&gt;&lt;/authors&gt;&lt;/contributors&gt;&lt;auth-address&gt;Department of Biochemistry, School of Dentistry, Showa University, Tokyo, Japan.&lt;/auth-address&gt;&lt;titles&gt;&lt;title&gt;Tiludronate inhibits protein tyrosine phosphatase activity in osteoclasts&lt;/title&gt;&lt;secondary-title&gt;Bone&lt;/secondary-title&gt;&lt;/titles&gt;&lt;periodical&gt;&lt;full-title&gt;Bone&lt;/full-title&gt;&lt;abbr-1&gt;Bone&lt;/abbr-1&gt;&lt;/periodical&gt;&lt;pages&gt;399-404&lt;/pages&gt;&lt;volume&gt;20&lt;/volume&gt;&lt;number&gt;5&lt;/number&gt;&lt;edition&gt;1997/05/01&lt;/edition&gt;&lt;keywords&gt;&lt;keyword&gt;Actins/metabolism&lt;/keyword&gt;&lt;keyword&gt;Animals&lt;/keyword&gt;&lt;keyword&gt;Bone Resorption/enzymology/prevention &amp;amp; control&lt;/keyword&gt;&lt;keyword&gt;Cattle&lt;/keyword&gt;&lt;keyword&gt;Cells, Cultured&lt;/keyword&gt;&lt;keyword&gt;Cytoskeleton/drug effects&lt;/keyword&gt;&lt;keyword&gt;Diphosphonates/ pharmacology&lt;/keyword&gt;&lt;keyword&gt;Enzyme Inhibitors/ pharmacology&lt;/keyword&gt;&lt;keyword&gt;Mice&lt;/keyword&gt;&lt;keyword&gt;Osteoclasts/ drug effects/ enzymology/metabolism&lt;/keyword&gt;&lt;keyword&gt;Phosphotyrosine/metabolism&lt;/keyword&gt;&lt;keyword&gt;Protein Tyrosine Phosphatases/ antagonists &amp;amp; inhibitors&lt;/keyword&gt;&lt;keyword&gt;Signal Transduction/drug effects&lt;/keyword&gt;&lt;/keywords&gt;&lt;dates&gt;&lt;year&gt;1997&lt;/year&gt;&lt;pub-dates&gt;&lt;date&gt;May&lt;/date&gt;&lt;/pub-dates&gt;&lt;/dates&gt;&lt;isbn&gt;8756-3282 (Print)&amp;#xD;1873-2763 (Linking)&lt;/isbn&gt;&lt;accession-num&gt;9145236&lt;/accession-num&gt;&lt;urls&gt;&lt;/urls&gt;&lt;remote-database-provider&gt;NLM&lt;/remote-database-provider&gt;&lt;language&gt;eng&lt;/language&gt;&lt;/record&gt;&lt;/Cite&gt;&lt;/EndNote&gt;</w:instrText>
      </w:r>
      <w:r w:rsidR="00B260E5">
        <w:rPr>
          <w:rFonts w:ascii="Arial" w:hAnsi="Arial" w:cs="Arial"/>
        </w:rPr>
        <w:fldChar w:fldCharType="separate"/>
      </w:r>
      <w:r w:rsidR="008E761B">
        <w:rPr>
          <w:rFonts w:ascii="Arial" w:hAnsi="Arial" w:cs="Arial"/>
          <w:noProof/>
        </w:rPr>
        <w:t>(</w:t>
      </w:r>
      <w:hyperlink w:anchor="_ENREF_252" w:tooltip="Murakami, 1997 #422" w:history="1">
        <w:r w:rsidR="003B725E">
          <w:rPr>
            <w:rFonts w:ascii="Arial" w:hAnsi="Arial" w:cs="Arial"/>
            <w:noProof/>
          </w:rPr>
          <w:t>252</w:t>
        </w:r>
      </w:hyperlink>
      <w:r w:rsidR="008E761B">
        <w:rPr>
          <w:rFonts w:ascii="Arial" w:hAnsi="Arial" w:cs="Arial"/>
          <w:noProof/>
        </w:rPr>
        <w:t>)</w:t>
      </w:r>
      <w:r w:rsidR="00B260E5">
        <w:rPr>
          <w:rFonts w:ascii="Arial" w:hAnsi="Arial" w:cs="Arial"/>
        </w:rPr>
        <w:fldChar w:fldCharType="end"/>
      </w:r>
      <w:r w:rsidR="00613E8E">
        <w:rPr>
          <w:rFonts w:ascii="Arial" w:hAnsi="Arial" w:cs="Arial"/>
        </w:rPr>
        <w:t xml:space="preserve"> iv) acid phosphohyrdolases</w:t>
      </w:r>
      <w:r w:rsidR="00D84318">
        <w:rPr>
          <w:rFonts w:ascii="Arial" w:hAnsi="Arial" w:cs="Arial"/>
        </w:rPr>
        <w:t xml:space="preserve"> and lysosomal enzymes</w:t>
      </w:r>
      <w:r w:rsidRPr="00CB0730">
        <w:rPr>
          <w:rFonts w:ascii="Arial" w:hAnsi="Arial" w:cs="Arial"/>
        </w:rPr>
        <w:t xml:space="preserve"> </w:t>
      </w:r>
      <w:r w:rsidR="00D84318">
        <w:rPr>
          <w:rFonts w:ascii="Arial" w:hAnsi="Arial" w:cs="Arial"/>
        </w:rPr>
        <w:fldChar w:fldCharType="begin"/>
      </w:r>
      <w:r w:rsidR="008E761B">
        <w:rPr>
          <w:rFonts w:ascii="Arial" w:hAnsi="Arial" w:cs="Arial"/>
        </w:rPr>
        <w:instrText xml:space="preserve"> ADDIN EN.CITE &lt;EndNote&gt;&lt;Cite&gt;&lt;Author&gt;Felix&lt;/Author&gt;&lt;Year&gt;1976&lt;/Year&gt;&lt;RecNum&gt;423&lt;/RecNum&gt;&lt;DisplayText&gt;(253)&lt;/DisplayText&gt;&lt;record&gt;&lt;rec-number&gt;423&lt;/rec-number&gt;&lt;foreign-keys&gt;&lt;key app="EN" db-id="p9a5ttsvyvde9me5aw2x05fp5p55axf0wr90" timestamp="1436180783"&gt;423&lt;/key&gt;&lt;/foreign-keys&gt;&lt;ref-type name="Journal Article"&gt;17&lt;/ref-type&gt;&lt;contributors&gt;&lt;authors&gt;&lt;author&gt;Felix, R.&lt;/author&gt;&lt;author&gt;Graham, R.&lt;/author&gt;&lt;author&gt;Russell, G.&lt;/author&gt;&lt;author&gt;Fleisch, H.&lt;/author&gt;&lt;/authors&gt;&lt;/contributors&gt;&lt;titles&gt;&lt;title&gt;The effect of several diphosphonates on acid phosphohydrolases and other lysosomal enzymes&lt;/title&gt;&lt;secondary-title&gt;Biochim Biophys Acta&lt;/secondary-title&gt;&lt;/titles&gt;&lt;periodical&gt;&lt;full-title&gt;Biochim Biophys Acta&lt;/full-title&gt;&lt;abbr-1&gt;Biochimica et biophysica acta&lt;/abbr-1&gt;&lt;/periodical&gt;&lt;pages&gt;429-38&lt;/pages&gt;&lt;volume&gt;429&lt;/volume&gt;&lt;number&gt;2&lt;/number&gt;&lt;edition&gt;1976/04/08&lt;/edition&gt;&lt;keywords&gt;&lt;keyword&gt;Acid Phosphatase/metabolism&lt;/keyword&gt;&lt;keyword&gt;Animals&lt;/keyword&gt;&lt;keyword&gt;Bone and Bones/enzymology&lt;/keyword&gt;&lt;keyword&gt;Etidronic Acid/pharmacology&lt;/keyword&gt;&lt;keyword&gt;Female&lt;/keyword&gt;&lt;keyword&gt;Fetus&lt;/keyword&gt;&lt;keyword&gt;Kinetics&lt;/keyword&gt;&lt;keyword&gt;Liver/enzymology&lt;/keyword&gt;&lt;keyword&gt;Lysosomes/drug effects/ enzymology&lt;/keyword&gt;&lt;keyword&gt;Organophosphonates/ pharmacology&lt;/keyword&gt;&lt;keyword&gt;Organophosphorus Compounds/ pharmacology&lt;/keyword&gt;&lt;keyword&gt;Phosphoric Monoester Hydrolases/ metabolism&lt;/keyword&gt;&lt;keyword&gt;Rats&lt;/keyword&gt;&lt;/keywords&gt;&lt;dates&gt;&lt;year&gt;1976&lt;/year&gt;&lt;pub-dates&gt;&lt;date&gt;Apr 8&lt;/date&gt;&lt;/pub-dates&gt;&lt;/dates&gt;&lt;isbn&gt;0006-3002 (Print)&amp;#xD;0006-3002 (Linking)&lt;/isbn&gt;&lt;accession-num&gt;177070&lt;/accession-num&gt;&lt;urls&gt;&lt;/urls&gt;&lt;remote-database-provider&gt;NLM&lt;/remote-database-provider&gt;&lt;language&gt;eng&lt;/language&gt;&lt;/record&gt;&lt;/Cite&gt;&lt;/EndNote&gt;</w:instrText>
      </w:r>
      <w:r w:rsidR="00D84318">
        <w:rPr>
          <w:rFonts w:ascii="Arial" w:hAnsi="Arial" w:cs="Arial"/>
        </w:rPr>
        <w:fldChar w:fldCharType="separate"/>
      </w:r>
      <w:r w:rsidR="008E761B">
        <w:rPr>
          <w:rFonts w:ascii="Arial" w:hAnsi="Arial" w:cs="Arial"/>
          <w:noProof/>
        </w:rPr>
        <w:t>(</w:t>
      </w:r>
      <w:hyperlink w:anchor="_ENREF_253" w:tooltip="Felix, 1976 #423" w:history="1">
        <w:r w:rsidR="003B725E">
          <w:rPr>
            <w:rFonts w:ascii="Arial" w:hAnsi="Arial" w:cs="Arial"/>
            <w:noProof/>
          </w:rPr>
          <w:t>253</w:t>
        </w:r>
      </w:hyperlink>
      <w:r w:rsidR="008E761B">
        <w:rPr>
          <w:rFonts w:ascii="Arial" w:hAnsi="Arial" w:cs="Arial"/>
          <w:noProof/>
        </w:rPr>
        <w:t>)</w:t>
      </w:r>
      <w:r w:rsidR="00D84318">
        <w:rPr>
          <w:rFonts w:ascii="Arial" w:hAnsi="Arial" w:cs="Arial"/>
        </w:rPr>
        <w:fldChar w:fldCharType="end"/>
      </w:r>
      <w:r w:rsidRPr="00CB0730">
        <w:rPr>
          <w:rFonts w:ascii="Arial" w:hAnsi="Arial" w:cs="Arial"/>
        </w:rPr>
        <w:t xml:space="preserve"> </w:t>
      </w:r>
      <w:r w:rsidR="00613E8E">
        <w:rPr>
          <w:rFonts w:ascii="Arial" w:hAnsi="Arial" w:cs="Arial"/>
        </w:rPr>
        <w:t xml:space="preserve">and </w:t>
      </w:r>
      <w:r w:rsidRPr="00CB0730">
        <w:rPr>
          <w:rFonts w:ascii="Arial" w:hAnsi="Arial" w:cs="Arial"/>
        </w:rPr>
        <w:t xml:space="preserve">v) inducing the osteoblast to secrete an osteoclast inhibitory factor </w:t>
      </w:r>
      <w:r w:rsidR="00D84318">
        <w:rPr>
          <w:rFonts w:ascii="Arial" w:hAnsi="Arial" w:cs="Arial"/>
        </w:rPr>
        <w:fldChar w:fldCharType="begin"/>
      </w:r>
      <w:r w:rsidR="008E761B">
        <w:rPr>
          <w:rFonts w:ascii="Arial" w:hAnsi="Arial" w:cs="Arial"/>
        </w:rPr>
        <w:instrText xml:space="preserve"> ADDIN EN.CITE &lt;EndNote&gt;&lt;Cite&gt;&lt;Author&gt;Vitte&lt;/Author&gt;&lt;Year&gt;1996&lt;/Year&gt;&lt;RecNum&gt;424&lt;/RecNum&gt;&lt;DisplayText&gt;(254)&lt;/DisplayText&gt;&lt;record&gt;&lt;rec-number&gt;424&lt;/rec-number&gt;&lt;foreign-keys&gt;&lt;key app="EN" db-id="p9a5ttsvyvde9me5aw2x05fp5p55axf0wr90" timestamp="1436180946"&gt;424&lt;/key&gt;&lt;/foreign-keys&gt;&lt;ref-type name="Journal Article"&gt;17&lt;/ref-type&gt;&lt;contributors&gt;&lt;authors&gt;&lt;author&gt;Vitte, C.&lt;/author&gt;&lt;author&gt;Fleisch, H.&lt;/author&gt;&lt;author&gt;Guenther, H. L.&lt;/author&gt;&lt;/authors&gt;&lt;/contributors&gt;&lt;auth-address&gt;Department of Pathophysiology, University of Berne, Switzerland.&lt;/auth-address&gt;&lt;titles&gt;&lt;title&gt;Bisphosphonates induce osteoblasts to secrete an inhibitor of osteoclast-mediated resorption&lt;/title&gt;&lt;secondary-title&gt;Endocrinology&lt;/secondary-title&gt;&lt;/titles&gt;&lt;periodical&gt;&lt;full-title&gt;Endocrinology&lt;/full-title&gt;&lt;abbr-1&gt;Endocrinology&lt;/abbr-1&gt;&lt;/periodical&gt;&lt;pages&gt;2324-33&lt;/pages&gt;&lt;volume&gt;137&lt;/volume&gt;&lt;number&gt;6&lt;/number&gt;&lt;edition&gt;1996/06/01&lt;/edition&gt;&lt;keywords&gt;&lt;keyword&gt;Acid Phosphatase/analysis&lt;/keyword&gt;&lt;keyword&gt;Alendronate&lt;/keyword&gt;&lt;keyword&gt;Animals&lt;/keyword&gt;&lt;keyword&gt;Bone Resorption&lt;/keyword&gt;&lt;keyword&gt;Cell Line&lt;/keyword&gt;&lt;keyword&gt;Culture Media, Conditioned&lt;/keyword&gt;&lt;keyword&gt;Diphosphonates/ pharmacology&lt;/keyword&gt;&lt;keyword&gt;Endopeptidases/metabolism&lt;/keyword&gt;&lt;keyword&gt;Hot Temperature&lt;/keyword&gt;&lt;keyword&gt;Isoenzymes/analysis&lt;/keyword&gt;&lt;keyword&gt;Kinetics&lt;/keyword&gt;&lt;keyword&gt;Molecular Weight&lt;/keyword&gt;&lt;keyword&gt;Osteoblasts/drug effects/ physiology&lt;/keyword&gt;&lt;keyword&gt;Osteoclasts/ drug effects/ physiology&lt;/keyword&gt;&lt;keyword&gt;Rats&lt;/keyword&gt;&lt;keyword&gt;Rats, Wistar&lt;/keyword&gt;&lt;/keywords&gt;&lt;dates&gt;&lt;year&gt;1996&lt;/year&gt;&lt;pub-dates&gt;&lt;date&gt;Jun&lt;/date&gt;&lt;/pub-dates&gt;&lt;/dates&gt;&lt;isbn&gt;0013-7227 (Print)&amp;#xD;0013-7227 (Linking)&lt;/isbn&gt;&lt;accession-num&gt;8641182&lt;/accession-num&gt;&lt;urls&gt;&lt;/urls&gt;&lt;electronic-resource-num&gt;10.1210/endo.137.6.8641182&lt;/electronic-resource-num&gt;&lt;remote-database-provider&gt;NLM&lt;/remote-database-provider&gt;&lt;language&gt;eng&lt;/language&gt;&lt;/record&gt;&lt;/Cite&gt;&lt;/EndNote&gt;</w:instrText>
      </w:r>
      <w:r w:rsidR="00D84318">
        <w:rPr>
          <w:rFonts w:ascii="Arial" w:hAnsi="Arial" w:cs="Arial"/>
        </w:rPr>
        <w:fldChar w:fldCharType="separate"/>
      </w:r>
      <w:r w:rsidR="008E761B">
        <w:rPr>
          <w:rFonts w:ascii="Arial" w:hAnsi="Arial" w:cs="Arial"/>
          <w:noProof/>
        </w:rPr>
        <w:t>(</w:t>
      </w:r>
      <w:hyperlink w:anchor="_ENREF_254" w:tooltip="Vitte, 1996 #424" w:history="1">
        <w:r w:rsidR="003B725E">
          <w:rPr>
            <w:rFonts w:ascii="Arial" w:hAnsi="Arial" w:cs="Arial"/>
            <w:noProof/>
          </w:rPr>
          <w:t>254</w:t>
        </w:r>
      </w:hyperlink>
      <w:r w:rsidR="008E761B">
        <w:rPr>
          <w:rFonts w:ascii="Arial" w:hAnsi="Arial" w:cs="Arial"/>
          <w:noProof/>
        </w:rPr>
        <w:t>)</w:t>
      </w:r>
      <w:r w:rsidR="00D84318">
        <w:rPr>
          <w:rFonts w:ascii="Arial" w:hAnsi="Arial" w:cs="Arial"/>
        </w:rPr>
        <w:fldChar w:fldCharType="end"/>
      </w:r>
      <w:r w:rsidRPr="00CB0730">
        <w:rPr>
          <w:rFonts w:ascii="Arial" w:hAnsi="Arial" w:cs="Arial"/>
        </w:rPr>
        <w:t>.</w:t>
      </w:r>
      <w:r w:rsidR="00D273AA" w:rsidRPr="00CB0730">
        <w:rPr>
          <w:rFonts w:ascii="Arial" w:hAnsi="Arial" w:cs="Arial"/>
        </w:rPr>
        <w:t xml:space="preserve"> Bisphosphonates are therefore divided in to two groups generally based on their mechanisms and modes of actions on the osteoclasts, namely non-nitrogen containing and nitrogen cont</w:t>
      </w:r>
      <w:r w:rsidR="00746BD4">
        <w:rPr>
          <w:rFonts w:ascii="Arial" w:hAnsi="Arial" w:cs="Arial"/>
        </w:rPr>
        <w:t>aining</w:t>
      </w:r>
      <w:r w:rsidR="00D273AA" w:rsidRPr="00CB0730">
        <w:rPr>
          <w:rFonts w:ascii="Arial" w:hAnsi="Arial" w:cs="Arial"/>
        </w:rPr>
        <w:t>.</w:t>
      </w:r>
    </w:p>
    <w:p w:rsidR="00707A39" w:rsidRPr="00707A39" w:rsidRDefault="00707A39" w:rsidP="003E6719">
      <w:pPr>
        <w:pStyle w:val="Heading6"/>
        <w:jc w:val="both"/>
      </w:pPr>
      <w:r w:rsidRPr="001E3F08">
        <w:t>Non</w:t>
      </w:r>
      <w:r>
        <w:t>-nitrogen containing bisphosphonates</w:t>
      </w:r>
    </w:p>
    <w:p w:rsidR="005439DA" w:rsidRDefault="006656AE" w:rsidP="003B725E">
      <w:pPr>
        <w:spacing w:line="360" w:lineRule="auto"/>
        <w:jc w:val="both"/>
        <w:rPr>
          <w:rFonts w:ascii="Arial" w:hAnsi="Arial" w:cs="Arial"/>
        </w:rPr>
      </w:pPr>
      <w:r>
        <w:rPr>
          <w:rFonts w:ascii="Arial" w:hAnsi="Arial" w:cs="Arial"/>
        </w:rPr>
        <w:t>T</w:t>
      </w:r>
      <w:r w:rsidR="00802CD7">
        <w:rPr>
          <w:rFonts w:ascii="Arial" w:hAnsi="Arial" w:cs="Arial"/>
        </w:rPr>
        <w:t>he non-nitr</w:t>
      </w:r>
      <w:r>
        <w:rPr>
          <w:rFonts w:ascii="Arial" w:hAnsi="Arial" w:cs="Arial"/>
        </w:rPr>
        <w:t>ogen containing bisphosphonate have simple</w:t>
      </w:r>
      <w:r w:rsidR="005439DA">
        <w:rPr>
          <w:rFonts w:ascii="Arial" w:hAnsi="Arial" w:cs="Arial"/>
        </w:rPr>
        <w:t xml:space="preserve"> R</w:t>
      </w:r>
      <w:r w:rsidR="005439DA">
        <w:rPr>
          <w:rFonts w:ascii="Arial" w:hAnsi="Arial" w:cs="Arial"/>
          <w:vertAlign w:val="subscript"/>
        </w:rPr>
        <w:t>1</w:t>
      </w:r>
      <w:r w:rsidR="005439DA">
        <w:rPr>
          <w:rFonts w:ascii="Arial" w:hAnsi="Arial" w:cs="Arial"/>
        </w:rPr>
        <w:t xml:space="preserve"> and R</w:t>
      </w:r>
      <w:r>
        <w:rPr>
          <w:rFonts w:ascii="Arial" w:hAnsi="Arial" w:cs="Arial"/>
          <w:vertAlign w:val="subscript"/>
        </w:rPr>
        <w:t>2</w:t>
      </w:r>
      <w:r w:rsidR="00802CD7">
        <w:rPr>
          <w:rFonts w:ascii="Arial" w:hAnsi="Arial" w:cs="Arial"/>
        </w:rPr>
        <w:t xml:space="preserve"> s</w:t>
      </w:r>
      <w:r w:rsidR="008D7D38">
        <w:rPr>
          <w:rFonts w:ascii="Arial" w:hAnsi="Arial" w:cs="Arial"/>
        </w:rPr>
        <w:t xml:space="preserve">ide chains. For example </w:t>
      </w:r>
      <w:r>
        <w:rPr>
          <w:rFonts w:ascii="Arial" w:hAnsi="Arial" w:cs="Arial"/>
        </w:rPr>
        <w:t xml:space="preserve">these side chains in </w:t>
      </w:r>
      <w:r w:rsidR="008D7D38">
        <w:rPr>
          <w:rFonts w:ascii="Arial" w:hAnsi="Arial" w:cs="Arial"/>
        </w:rPr>
        <w:t xml:space="preserve">clodronate </w:t>
      </w:r>
      <w:r>
        <w:rPr>
          <w:rFonts w:ascii="Arial" w:hAnsi="Arial" w:cs="Arial"/>
        </w:rPr>
        <w:t xml:space="preserve">are substituted with chlorine </w:t>
      </w:r>
      <w:r w:rsidR="008D7D38">
        <w:rPr>
          <w:rFonts w:ascii="Arial" w:hAnsi="Arial" w:cs="Arial"/>
        </w:rPr>
        <w:t xml:space="preserve">and </w:t>
      </w:r>
      <w:r>
        <w:rPr>
          <w:rFonts w:ascii="Arial" w:hAnsi="Arial" w:cs="Arial"/>
        </w:rPr>
        <w:t xml:space="preserve">in </w:t>
      </w:r>
      <w:r w:rsidR="008D7D38">
        <w:rPr>
          <w:rFonts w:ascii="Arial" w:hAnsi="Arial" w:cs="Arial"/>
        </w:rPr>
        <w:t>etidronate</w:t>
      </w:r>
      <w:r w:rsidR="00311E44">
        <w:rPr>
          <w:rFonts w:ascii="Arial" w:hAnsi="Arial" w:cs="Arial"/>
        </w:rPr>
        <w:t xml:space="preserve"> it is</w:t>
      </w:r>
      <w:r w:rsidR="008D7D38">
        <w:rPr>
          <w:rFonts w:ascii="Arial" w:hAnsi="Arial" w:cs="Arial"/>
        </w:rPr>
        <w:t xml:space="preserve"> a hydroxyl group.</w:t>
      </w:r>
      <w:r w:rsidR="00802CD7">
        <w:rPr>
          <w:rFonts w:ascii="Arial" w:hAnsi="Arial" w:cs="Arial"/>
        </w:rPr>
        <w:t xml:space="preserve"> </w:t>
      </w:r>
      <w:r w:rsidR="00F73696">
        <w:rPr>
          <w:rFonts w:ascii="Arial" w:hAnsi="Arial" w:cs="Arial"/>
        </w:rPr>
        <w:t xml:space="preserve">These bisphosphonates are metabolised in the osteoclast </w:t>
      </w:r>
      <w:r w:rsidR="00707A39">
        <w:rPr>
          <w:rFonts w:ascii="Arial" w:hAnsi="Arial" w:cs="Arial"/>
        </w:rPr>
        <w:t>where they</w:t>
      </w:r>
      <w:r w:rsidR="00311E44">
        <w:rPr>
          <w:rFonts w:ascii="Arial" w:hAnsi="Arial" w:cs="Arial"/>
        </w:rPr>
        <w:t xml:space="preserve"> </w:t>
      </w:r>
      <w:r w:rsidR="00F73696">
        <w:rPr>
          <w:rFonts w:ascii="Arial" w:hAnsi="Arial" w:cs="Arial"/>
        </w:rPr>
        <w:t>generate toxic non-hydrolysable</w:t>
      </w:r>
      <w:r w:rsidR="008D7D38">
        <w:rPr>
          <w:rFonts w:ascii="Arial" w:hAnsi="Arial" w:cs="Arial"/>
        </w:rPr>
        <w:t xml:space="preserve">, β, γ-methylene </w:t>
      </w:r>
      <w:r w:rsidR="00F73696">
        <w:rPr>
          <w:rFonts w:ascii="Arial" w:hAnsi="Arial" w:cs="Arial"/>
        </w:rPr>
        <w:t xml:space="preserve">analogues of adenosine triphosphate (ATP). </w:t>
      </w:r>
      <w:r w:rsidR="00667209">
        <w:rPr>
          <w:rFonts w:ascii="Arial" w:hAnsi="Arial" w:cs="Arial"/>
        </w:rPr>
        <w:t xml:space="preserve">The accumulation of ATP </w:t>
      </w:r>
      <w:r w:rsidR="008D7D38">
        <w:rPr>
          <w:rFonts w:ascii="Arial" w:hAnsi="Arial" w:cs="Arial"/>
        </w:rPr>
        <w:t>is toxic to the cell</w:t>
      </w:r>
      <w:r w:rsidR="00311E44">
        <w:rPr>
          <w:rFonts w:ascii="Arial" w:hAnsi="Arial" w:cs="Arial"/>
        </w:rPr>
        <w:t xml:space="preserve"> inhibits their function</w:t>
      </w:r>
      <w:r w:rsidR="008D7D38">
        <w:rPr>
          <w:rFonts w:ascii="Arial" w:hAnsi="Arial" w:cs="Arial"/>
        </w:rPr>
        <w:t xml:space="preserve"> and </w:t>
      </w:r>
      <w:r w:rsidR="00667209">
        <w:rPr>
          <w:rFonts w:ascii="Arial" w:hAnsi="Arial" w:cs="Arial"/>
        </w:rPr>
        <w:t>induces premature osteoclast cell dea</w:t>
      </w:r>
      <w:r w:rsidR="00707A39">
        <w:rPr>
          <w:rFonts w:ascii="Arial" w:hAnsi="Arial" w:cs="Arial"/>
        </w:rPr>
        <w:t>th via apoptosis</w:t>
      </w:r>
      <w:r w:rsidR="00D84318">
        <w:rPr>
          <w:rFonts w:ascii="Arial" w:hAnsi="Arial" w:cs="Arial"/>
        </w:rPr>
        <w:t xml:space="preserve"> </w:t>
      </w:r>
      <w:r w:rsidR="00D84318">
        <w:rPr>
          <w:rFonts w:ascii="Arial" w:hAnsi="Arial" w:cs="Arial"/>
        </w:rPr>
        <w:fldChar w:fldCharType="begin">
          <w:fldData xml:space="preserve">PEVuZE5vdGU+PENpdGU+PEF1dGhvcj5Sb2dlcnM8L0F1dGhvcj48WWVhcj4xOTk3PC9ZZWFyPjxS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==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PEVuZE5vdGU+PENpdGU+PEF1dGhvcj5Sb2dlcnM8L0F1dGhvcj48WWVhcj4xOTk3PC9ZZWFyPjxS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==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D84318">
        <w:rPr>
          <w:rFonts w:ascii="Arial" w:hAnsi="Arial" w:cs="Arial"/>
        </w:rPr>
      </w:r>
      <w:r w:rsidR="00D84318">
        <w:rPr>
          <w:rFonts w:ascii="Arial" w:hAnsi="Arial" w:cs="Arial"/>
        </w:rPr>
        <w:fldChar w:fldCharType="separate"/>
      </w:r>
      <w:r w:rsidR="008E761B">
        <w:rPr>
          <w:rFonts w:ascii="Arial" w:hAnsi="Arial" w:cs="Arial"/>
          <w:noProof/>
        </w:rPr>
        <w:t>(</w:t>
      </w:r>
      <w:hyperlink w:anchor="_ENREF_255" w:tooltip="Rogers, 1997 #425" w:history="1">
        <w:r w:rsidR="003B725E">
          <w:rPr>
            <w:rFonts w:ascii="Arial" w:hAnsi="Arial" w:cs="Arial"/>
            <w:noProof/>
          </w:rPr>
          <w:t>255</w:t>
        </w:r>
      </w:hyperlink>
      <w:r w:rsidR="008E761B">
        <w:rPr>
          <w:rFonts w:ascii="Arial" w:hAnsi="Arial" w:cs="Arial"/>
          <w:noProof/>
        </w:rPr>
        <w:t xml:space="preserve">, </w:t>
      </w:r>
      <w:hyperlink w:anchor="_ENREF_256" w:tooltip="Frith, 2001 #208" w:history="1">
        <w:r w:rsidR="003B725E">
          <w:rPr>
            <w:rFonts w:ascii="Arial" w:hAnsi="Arial" w:cs="Arial"/>
            <w:noProof/>
          </w:rPr>
          <w:t>256</w:t>
        </w:r>
      </w:hyperlink>
      <w:r w:rsidR="008E761B">
        <w:rPr>
          <w:rFonts w:ascii="Arial" w:hAnsi="Arial" w:cs="Arial"/>
          <w:noProof/>
        </w:rPr>
        <w:t>)</w:t>
      </w:r>
      <w:r w:rsidR="00D84318">
        <w:rPr>
          <w:rFonts w:ascii="Arial" w:hAnsi="Arial" w:cs="Arial"/>
        </w:rPr>
        <w:fldChar w:fldCharType="end"/>
      </w:r>
      <w:r w:rsidR="00704283">
        <w:rPr>
          <w:rFonts w:ascii="Arial" w:hAnsi="Arial" w:cs="Arial"/>
        </w:rPr>
        <w:t>. Osteoclast apoptosis may occur</w:t>
      </w:r>
      <w:r w:rsidR="00311E44">
        <w:rPr>
          <w:rFonts w:ascii="Arial" w:hAnsi="Arial" w:cs="Arial"/>
        </w:rPr>
        <w:t xml:space="preserve"> </w:t>
      </w:r>
      <w:r w:rsidR="00704283">
        <w:rPr>
          <w:rFonts w:ascii="Arial" w:hAnsi="Arial" w:cs="Arial"/>
        </w:rPr>
        <w:t xml:space="preserve">by </w:t>
      </w:r>
      <w:r w:rsidR="00311E44">
        <w:rPr>
          <w:rFonts w:ascii="Arial" w:hAnsi="Arial" w:cs="Arial"/>
        </w:rPr>
        <w:t xml:space="preserve">inactivating </w:t>
      </w:r>
      <w:r w:rsidR="00704283">
        <w:rPr>
          <w:rFonts w:ascii="Arial" w:hAnsi="Arial" w:cs="Arial"/>
        </w:rPr>
        <w:t>the adenine translocase enzyme in the mitochondrial membrane as shown with clodronate treatment</w:t>
      </w:r>
      <w:r w:rsidR="00311E44">
        <w:rPr>
          <w:rFonts w:ascii="Arial" w:hAnsi="Arial" w:cs="Arial"/>
        </w:rPr>
        <w:t xml:space="preserve"> </w:t>
      </w:r>
      <w:r w:rsidR="00D84318">
        <w:rPr>
          <w:rFonts w:ascii="Arial" w:hAnsi="Arial" w:cs="Arial"/>
        </w:rPr>
        <w:fldChar w:fldCharType="begin">
          <w:fldData xml:space="preserve">PEVuZE5vdGU+PENpdGU+PEF1dGhvcj5MZWhlbmthcmk8L0F1dGhvcj48WWVhcj4yMDAyPC9ZZWFy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PEVuZE5vdGU+PENpdGU+PEF1dGhvcj5MZWhlbmthcmk8L0F1dGhvcj48WWVhcj4yMDAyPC9ZZWFy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D84318">
        <w:rPr>
          <w:rFonts w:ascii="Arial" w:hAnsi="Arial" w:cs="Arial"/>
        </w:rPr>
      </w:r>
      <w:r w:rsidR="00D84318">
        <w:rPr>
          <w:rFonts w:ascii="Arial" w:hAnsi="Arial" w:cs="Arial"/>
        </w:rPr>
        <w:fldChar w:fldCharType="separate"/>
      </w:r>
      <w:r w:rsidR="008E761B">
        <w:rPr>
          <w:rFonts w:ascii="Arial" w:hAnsi="Arial" w:cs="Arial"/>
          <w:noProof/>
        </w:rPr>
        <w:t>(</w:t>
      </w:r>
      <w:hyperlink w:anchor="_ENREF_257" w:tooltip="Lehenkari, 2002 #426" w:history="1">
        <w:r w:rsidR="003B725E">
          <w:rPr>
            <w:rFonts w:ascii="Arial" w:hAnsi="Arial" w:cs="Arial"/>
            <w:noProof/>
          </w:rPr>
          <w:t>257</w:t>
        </w:r>
      </w:hyperlink>
      <w:r w:rsidR="008E761B">
        <w:rPr>
          <w:rFonts w:ascii="Arial" w:hAnsi="Arial" w:cs="Arial"/>
          <w:noProof/>
        </w:rPr>
        <w:t>)</w:t>
      </w:r>
      <w:r w:rsidR="00D84318">
        <w:rPr>
          <w:rFonts w:ascii="Arial" w:hAnsi="Arial" w:cs="Arial"/>
        </w:rPr>
        <w:fldChar w:fldCharType="end"/>
      </w:r>
      <w:r w:rsidR="00707A39">
        <w:rPr>
          <w:rFonts w:ascii="Arial" w:hAnsi="Arial" w:cs="Arial"/>
        </w:rPr>
        <w:t>.</w:t>
      </w:r>
      <w:r w:rsidR="00311E44">
        <w:rPr>
          <w:rFonts w:ascii="Arial" w:hAnsi="Arial" w:cs="Arial"/>
        </w:rPr>
        <w:t xml:space="preserve"> </w:t>
      </w:r>
      <w:r w:rsidR="00704283">
        <w:rPr>
          <w:rFonts w:ascii="Arial" w:hAnsi="Arial" w:cs="Arial"/>
        </w:rPr>
        <w:t xml:space="preserve">This may alter the </w:t>
      </w:r>
      <w:r w:rsidR="00612C14">
        <w:rPr>
          <w:rFonts w:ascii="Arial" w:hAnsi="Arial" w:cs="Arial"/>
        </w:rPr>
        <w:t>permeability</w:t>
      </w:r>
      <w:r w:rsidR="00704283">
        <w:rPr>
          <w:rFonts w:ascii="Arial" w:hAnsi="Arial" w:cs="Arial"/>
        </w:rPr>
        <w:t xml:space="preserve"> of the mitochondri</w:t>
      </w:r>
      <w:r w:rsidR="00704283" w:rsidRPr="00DA6B25">
        <w:rPr>
          <w:rFonts w:ascii="Arial" w:hAnsi="Arial" w:cs="Arial"/>
          <w:color w:val="000000" w:themeColor="text1"/>
        </w:rPr>
        <w:t>a</w:t>
      </w:r>
      <w:r w:rsidR="00704283" w:rsidRPr="004C61F7">
        <w:rPr>
          <w:rFonts w:ascii="Arial" w:hAnsi="Arial" w:cs="Arial"/>
          <w:color w:val="FF0000"/>
        </w:rPr>
        <w:t xml:space="preserve"> </w:t>
      </w:r>
      <w:r w:rsidR="00704283">
        <w:rPr>
          <w:rFonts w:ascii="Arial" w:hAnsi="Arial" w:cs="Arial"/>
        </w:rPr>
        <w:t xml:space="preserve">by activating </w:t>
      </w:r>
      <w:r w:rsidR="00612C14">
        <w:rPr>
          <w:rFonts w:ascii="Arial" w:hAnsi="Arial" w:cs="Arial"/>
        </w:rPr>
        <w:t>caspase leading to apoptotic cell death</w:t>
      </w:r>
      <w:r w:rsidR="003061C4">
        <w:rPr>
          <w:rFonts w:ascii="Arial" w:hAnsi="Arial" w:cs="Arial"/>
        </w:rPr>
        <w:t xml:space="preserve"> </w:t>
      </w:r>
      <w:r w:rsidR="003061C4">
        <w:rPr>
          <w:rFonts w:ascii="Arial" w:hAnsi="Arial" w:cs="Arial"/>
        </w:rPr>
        <w:fldChar w:fldCharType="begin">
          <w:fldData xml:space="preserve">PEVuZE5vdGU+PENpdGU+PEF1dGhvcj5CZW5mb3JkPC9BdXRob3I+PFllYXI+MjAwMTwvWWVhcj48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PEVuZE5vdGU+PENpdGU+PEF1dGhvcj5CZW5mb3JkPC9BdXRob3I+PFllYXI+MjAwMTwvWWVhcj48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3061C4">
        <w:rPr>
          <w:rFonts w:ascii="Arial" w:hAnsi="Arial" w:cs="Arial"/>
        </w:rPr>
      </w:r>
      <w:r w:rsidR="003061C4">
        <w:rPr>
          <w:rFonts w:ascii="Arial" w:hAnsi="Arial" w:cs="Arial"/>
        </w:rPr>
        <w:fldChar w:fldCharType="separate"/>
      </w:r>
      <w:r w:rsidR="008E761B">
        <w:rPr>
          <w:rFonts w:ascii="Arial" w:hAnsi="Arial" w:cs="Arial"/>
          <w:noProof/>
        </w:rPr>
        <w:t>(</w:t>
      </w:r>
      <w:hyperlink w:anchor="_ENREF_258" w:tooltip="Benford, 2001 #427" w:history="1">
        <w:r w:rsidR="003B725E">
          <w:rPr>
            <w:rFonts w:ascii="Arial" w:hAnsi="Arial" w:cs="Arial"/>
            <w:noProof/>
          </w:rPr>
          <w:t>258</w:t>
        </w:r>
      </w:hyperlink>
      <w:r w:rsidR="008E761B">
        <w:rPr>
          <w:rFonts w:ascii="Arial" w:hAnsi="Arial" w:cs="Arial"/>
          <w:noProof/>
        </w:rPr>
        <w:t>)</w:t>
      </w:r>
      <w:r w:rsidR="003061C4">
        <w:rPr>
          <w:rFonts w:ascii="Arial" w:hAnsi="Arial" w:cs="Arial"/>
        </w:rPr>
        <w:fldChar w:fldCharType="end"/>
      </w:r>
      <w:r w:rsidR="00612C14">
        <w:rPr>
          <w:rFonts w:ascii="Arial" w:hAnsi="Arial" w:cs="Arial"/>
        </w:rPr>
        <w:t>.</w:t>
      </w:r>
      <w:r w:rsidR="00F73696">
        <w:rPr>
          <w:rFonts w:ascii="Arial" w:hAnsi="Arial" w:cs="Arial"/>
        </w:rPr>
        <w:t xml:space="preserve"> </w:t>
      </w:r>
    </w:p>
    <w:p w:rsidR="00707A39" w:rsidRDefault="00707A39" w:rsidP="003E6719">
      <w:pPr>
        <w:pStyle w:val="Heading6"/>
        <w:jc w:val="both"/>
      </w:pPr>
      <w:r>
        <w:t>Nitrogen containing bisphosphonates</w:t>
      </w:r>
    </w:p>
    <w:p w:rsidR="00C36B7E" w:rsidRDefault="006A454D" w:rsidP="003B725E">
      <w:pPr>
        <w:spacing w:line="360" w:lineRule="auto"/>
        <w:jc w:val="both"/>
        <w:rPr>
          <w:rFonts w:ascii="Arial" w:hAnsi="Arial" w:cs="Arial"/>
        </w:rPr>
      </w:pPr>
      <w:r w:rsidRPr="00CB0730">
        <w:rPr>
          <w:rFonts w:ascii="Arial" w:hAnsi="Arial" w:cs="Arial"/>
        </w:rPr>
        <w:t>The second group of bisphosphonates contain a nitrogen atom in the compound at the R</w:t>
      </w:r>
      <w:r w:rsidRPr="00CB0730">
        <w:rPr>
          <w:rFonts w:ascii="Arial" w:hAnsi="Arial" w:cs="Arial"/>
          <w:vertAlign w:val="subscript"/>
        </w:rPr>
        <w:t>2</w:t>
      </w:r>
      <w:r w:rsidRPr="00CB0730">
        <w:rPr>
          <w:rFonts w:ascii="Arial" w:hAnsi="Arial" w:cs="Arial"/>
        </w:rPr>
        <w:t xml:space="preserve"> side chain</w:t>
      </w:r>
      <w:r w:rsidR="00746BD4">
        <w:rPr>
          <w:rFonts w:ascii="Arial" w:hAnsi="Arial" w:cs="Arial"/>
        </w:rPr>
        <w:t>, (Table 1)</w:t>
      </w:r>
      <w:r w:rsidRPr="00CB0730">
        <w:rPr>
          <w:rFonts w:ascii="Arial" w:hAnsi="Arial" w:cs="Arial"/>
        </w:rPr>
        <w:t>. These bisphosphonates are more potent and are</w:t>
      </w:r>
      <w:r w:rsidR="00613E8E">
        <w:rPr>
          <w:rFonts w:ascii="Arial" w:hAnsi="Arial" w:cs="Arial"/>
        </w:rPr>
        <w:t xml:space="preserve"> not metabolised in the same way</w:t>
      </w:r>
      <w:r w:rsidRPr="00CB0730">
        <w:rPr>
          <w:rFonts w:ascii="Arial" w:hAnsi="Arial" w:cs="Arial"/>
        </w:rPr>
        <w:t xml:space="preserve"> as </w:t>
      </w:r>
      <w:r w:rsidR="00D665B4">
        <w:rPr>
          <w:rFonts w:ascii="Arial" w:hAnsi="Arial" w:cs="Arial"/>
        </w:rPr>
        <w:t>non-</w:t>
      </w:r>
      <w:r w:rsidRPr="00CB0730">
        <w:rPr>
          <w:rFonts w:ascii="Arial" w:hAnsi="Arial" w:cs="Arial"/>
        </w:rPr>
        <w:t>nitrogen con</w:t>
      </w:r>
      <w:r w:rsidR="00D35BC2" w:rsidRPr="00CB0730">
        <w:rPr>
          <w:rFonts w:ascii="Arial" w:hAnsi="Arial" w:cs="Arial"/>
        </w:rPr>
        <w:t>taining bisphosphonates. They</w:t>
      </w:r>
      <w:r w:rsidRPr="00CB0730">
        <w:rPr>
          <w:rFonts w:ascii="Arial" w:hAnsi="Arial" w:cs="Arial"/>
        </w:rPr>
        <w:t xml:space="preserve"> </w:t>
      </w:r>
      <w:r w:rsidR="00D35BC2" w:rsidRPr="00CB0730">
        <w:rPr>
          <w:rFonts w:ascii="Arial" w:hAnsi="Arial" w:cs="Arial"/>
        </w:rPr>
        <w:t>inactivate the osteoclasts via the inhibition of the metabolic reactions in the mevalonate biosynthetic pathway</w:t>
      </w:r>
      <w:r w:rsidR="00204CBD" w:rsidRPr="00CB0730">
        <w:rPr>
          <w:rFonts w:ascii="Arial" w:hAnsi="Arial" w:cs="Arial"/>
        </w:rPr>
        <w:t xml:space="preserve"> that synthesises cholesterol and other sterols</w:t>
      </w:r>
      <w:r w:rsidR="00D35BC2" w:rsidRPr="00CB0730">
        <w:rPr>
          <w:rFonts w:ascii="Arial" w:hAnsi="Arial" w:cs="Arial"/>
        </w:rPr>
        <w:t xml:space="preserve">. They inhibit several enzymes in this pathway that bind to the substrate isoprenoid diphosphates </w:t>
      </w:r>
      <w:r w:rsidR="00204CBD" w:rsidRPr="00CB0730">
        <w:rPr>
          <w:rFonts w:ascii="Arial" w:hAnsi="Arial" w:cs="Arial"/>
        </w:rPr>
        <w:t xml:space="preserve">i.e. isopentenylpyrophosphate isomerase, farnesyl pyrophosphate synthase (FPPS), </w:t>
      </w:r>
      <w:r w:rsidR="0057644A" w:rsidRPr="00CB0730">
        <w:rPr>
          <w:rFonts w:ascii="Arial" w:hAnsi="Arial" w:cs="Arial"/>
        </w:rPr>
        <w:t>geranylgeranyl pyrophosphate</w:t>
      </w:r>
      <w:r w:rsidR="00204CBD" w:rsidRPr="00CB0730">
        <w:rPr>
          <w:rFonts w:ascii="Arial" w:hAnsi="Arial" w:cs="Arial"/>
        </w:rPr>
        <w:t xml:space="preserve"> (GGPP) synthase and squalene synthase </w:t>
      </w:r>
      <w:r w:rsidR="003061C4">
        <w:rPr>
          <w:rFonts w:ascii="Arial" w:hAnsi="Arial" w:cs="Arial"/>
        </w:rPr>
        <w:fldChar w:fldCharType="begin">
          <w:fldData xml:space="preserve">PEVuZE5vdGU+PENpdGU+PEF1dGhvcj5BbWluPC9BdXRob3I+PFllYXI+MTk5NjwvWWVhcj48UmVj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bHQtcGVyaW9kaWNhbD48cGFnZXM+NTgxLTk8L3BhZ2VzPjx2b2x1bWU+MTM8L3ZvbHVtZT48bnVt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PEVuZE5vdGU+PENpdGU+PEF1dGhvcj5BbWluPC9BdXRob3I+PFllYXI+MTk5NjwvWWVhcj48UmVj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bHQtcGVyaW9kaWNhbD48cGFnZXM+NTgxLTk8L3BhZ2VzPjx2b2x1bWU+MTM8L3ZvbHVtZT48bnVt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3061C4">
        <w:rPr>
          <w:rFonts w:ascii="Arial" w:hAnsi="Arial" w:cs="Arial"/>
        </w:rPr>
      </w:r>
      <w:r w:rsidR="003061C4">
        <w:rPr>
          <w:rFonts w:ascii="Arial" w:hAnsi="Arial" w:cs="Arial"/>
        </w:rPr>
        <w:fldChar w:fldCharType="separate"/>
      </w:r>
      <w:r w:rsidR="008E761B">
        <w:rPr>
          <w:rFonts w:ascii="Arial" w:hAnsi="Arial" w:cs="Arial"/>
          <w:noProof/>
        </w:rPr>
        <w:t>(</w:t>
      </w:r>
      <w:hyperlink w:anchor="_ENREF_241" w:tooltip="Russell, 2008 #491" w:history="1">
        <w:r w:rsidR="003B725E">
          <w:rPr>
            <w:rFonts w:ascii="Arial" w:hAnsi="Arial" w:cs="Arial"/>
            <w:noProof/>
          </w:rPr>
          <w:t>241</w:t>
        </w:r>
      </w:hyperlink>
      <w:proofErr w:type="gramStart"/>
      <w:r w:rsidR="008E761B">
        <w:rPr>
          <w:rFonts w:ascii="Arial" w:hAnsi="Arial" w:cs="Arial"/>
          <w:noProof/>
        </w:rPr>
        <w:t xml:space="preserve">, </w:t>
      </w:r>
      <w:hyperlink w:anchor="_ENREF_259" w:tooltip="Amin, 1996 #428" w:history="1">
        <w:r w:rsidR="003B725E">
          <w:rPr>
            <w:rFonts w:ascii="Arial" w:hAnsi="Arial" w:cs="Arial"/>
            <w:noProof/>
          </w:rPr>
          <w:t>259</w:t>
        </w:r>
      </w:hyperlink>
      <w:r w:rsidR="008E761B">
        <w:rPr>
          <w:rFonts w:ascii="Arial" w:hAnsi="Arial" w:cs="Arial"/>
          <w:noProof/>
        </w:rPr>
        <w:t>,</w:t>
      </w:r>
      <w:proofErr w:type="gramEnd"/>
      <w:r w:rsidR="008E761B">
        <w:rPr>
          <w:rFonts w:ascii="Arial" w:hAnsi="Arial" w:cs="Arial"/>
          <w:noProof/>
        </w:rPr>
        <w:t xml:space="preserve"> </w:t>
      </w:r>
      <w:hyperlink w:anchor="_ENREF_260" w:tooltip="Luckman, 1998 #209" w:history="1">
        <w:r w:rsidR="003B725E">
          <w:rPr>
            <w:rFonts w:ascii="Arial" w:hAnsi="Arial" w:cs="Arial"/>
            <w:noProof/>
          </w:rPr>
          <w:t>260</w:t>
        </w:r>
      </w:hyperlink>
      <w:r w:rsidR="008E761B">
        <w:rPr>
          <w:rFonts w:ascii="Arial" w:hAnsi="Arial" w:cs="Arial"/>
          <w:noProof/>
        </w:rPr>
        <w:t>)</w:t>
      </w:r>
      <w:r w:rsidR="003061C4">
        <w:rPr>
          <w:rFonts w:ascii="Arial" w:hAnsi="Arial" w:cs="Arial"/>
        </w:rPr>
        <w:fldChar w:fldCharType="end"/>
      </w:r>
      <w:r w:rsidR="00D562AA" w:rsidRPr="00CB0730">
        <w:rPr>
          <w:rFonts w:ascii="Arial" w:hAnsi="Arial" w:cs="Arial"/>
        </w:rPr>
        <w:t>. FPP</w:t>
      </w:r>
      <w:r w:rsidR="00D45BF2" w:rsidRPr="00CB0730">
        <w:rPr>
          <w:rFonts w:ascii="Arial" w:hAnsi="Arial" w:cs="Arial"/>
        </w:rPr>
        <w:t>S is a peroxisomal enzyme and its activity is</w:t>
      </w:r>
      <w:r w:rsidR="00D562AA" w:rsidRPr="00CB0730">
        <w:rPr>
          <w:rFonts w:ascii="Arial" w:hAnsi="Arial" w:cs="Arial"/>
        </w:rPr>
        <w:t xml:space="preserve"> inhibited by bisphosphonates. </w:t>
      </w:r>
      <w:r w:rsidR="00CA2838" w:rsidRPr="00CB0730">
        <w:rPr>
          <w:rFonts w:ascii="Arial" w:hAnsi="Arial" w:cs="Arial"/>
        </w:rPr>
        <w:t>Inactive FPPS causes a reduction in the synthesis of farnesyl pyrophosphate (FPP) substrate which is required for the synthesis of GGPP by GGPP synthase. FPP and GGPP are isoprenoid metabolites necessary for the prenylation of the signalling proteins GTPases.</w:t>
      </w:r>
      <w:r w:rsidR="00B8215F">
        <w:rPr>
          <w:rFonts w:ascii="Arial" w:hAnsi="Arial" w:cs="Arial"/>
        </w:rPr>
        <w:t xml:space="preserve"> GTPases signal important processes </w:t>
      </w:r>
      <w:r w:rsidR="00DA0387">
        <w:rPr>
          <w:rFonts w:ascii="Arial" w:hAnsi="Arial" w:cs="Arial"/>
        </w:rPr>
        <w:t xml:space="preserve">required for </w:t>
      </w:r>
      <w:r w:rsidR="00B8215F">
        <w:rPr>
          <w:rFonts w:ascii="Arial" w:hAnsi="Arial" w:cs="Arial"/>
        </w:rPr>
        <w:t xml:space="preserve">cell </w:t>
      </w:r>
      <w:r w:rsidR="00DA0387">
        <w:rPr>
          <w:rFonts w:ascii="Arial" w:hAnsi="Arial" w:cs="Arial"/>
        </w:rPr>
        <w:t xml:space="preserve">normal </w:t>
      </w:r>
      <w:r w:rsidR="00B8215F">
        <w:rPr>
          <w:rFonts w:ascii="Arial" w:hAnsi="Arial" w:cs="Arial"/>
        </w:rPr>
        <w:t>morphology</w:t>
      </w:r>
      <w:r w:rsidR="00DA0387">
        <w:rPr>
          <w:rFonts w:ascii="Arial" w:hAnsi="Arial" w:cs="Arial"/>
        </w:rPr>
        <w:t xml:space="preserve"> (including maintenance of the actin cytoskeleton, membrane ruffling and</w:t>
      </w:r>
      <w:r w:rsidR="00B8215F">
        <w:rPr>
          <w:rFonts w:ascii="Arial" w:hAnsi="Arial" w:cs="Arial"/>
        </w:rPr>
        <w:t xml:space="preserve"> trafikking vesicles</w:t>
      </w:r>
      <w:r w:rsidR="00DA0387">
        <w:rPr>
          <w:rFonts w:ascii="Arial" w:hAnsi="Arial" w:cs="Arial"/>
        </w:rPr>
        <w:t>)</w:t>
      </w:r>
      <w:r w:rsidR="00B8215F">
        <w:rPr>
          <w:rFonts w:ascii="Arial" w:hAnsi="Arial" w:cs="Arial"/>
        </w:rPr>
        <w:t xml:space="preserve"> and apoptosis</w:t>
      </w:r>
      <w:r w:rsidR="00CA117D">
        <w:rPr>
          <w:rFonts w:ascii="Arial" w:hAnsi="Arial" w:cs="Arial"/>
        </w:rPr>
        <w:t xml:space="preserve"> </w:t>
      </w:r>
      <w:r w:rsidR="00363944">
        <w:rPr>
          <w:rFonts w:ascii="Arial" w:hAnsi="Arial" w:cs="Arial"/>
        </w:rPr>
        <w:fldChar w:fldCharType="begin">
          <w:fldData xml:space="preserve">PEVuZE5vdGU+PENpdGU+PEF1dGhvcj5SaWRsZXk8L0F1dGhvcj48WWVhcj4xOTkyPC9ZZWFyPjxS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PEVuZE5vdGU+PENpdGU+PEF1dGhvcj5SaWRsZXk8L0F1dGhvcj48WWVhcj4xOTkyPC9ZZWFyPjxS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363944">
        <w:rPr>
          <w:rFonts w:ascii="Arial" w:hAnsi="Arial" w:cs="Arial"/>
        </w:rPr>
      </w:r>
      <w:r w:rsidR="00363944">
        <w:rPr>
          <w:rFonts w:ascii="Arial" w:hAnsi="Arial" w:cs="Arial"/>
        </w:rPr>
        <w:fldChar w:fldCharType="separate"/>
      </w:r>
      <w:r w:rsidR="008E761B">
        <w:rPr>
          <w:rFonts w:ascii="Arial" w:hAnsi="Arial" w:cs="Arial"/>
          <w:noProof/>
        </w:rPr>
        <w:t>(</w:t>
      </w:r>
      <w:hyperlink w:anchor="_ENREF_261" w:tooltip="Ridley, 1992 #429" w:history="1">
        <w:r w:rsidR="003B725E">
          <w:rPr>
            <w:rFonts w:ascii="Arial" w:hAnsi="Arial" w:cs="Arial"/>
            <w:noProof/>
          </w:rPr>
          <w:t>261-263</w:t>
        </w:r>
      </w:hyperlink>
      <w:r w:rsidR="008E761B">
        <w:rPr>
          <w:rFonts w:ascii="Arial" w:hAnsi="Arial" w:cs="Arial"/>
          <w:noProof/>
        </w:rPr>
        <w:t>)</w:t>
      </w:r>
      <w:r w:rsidR="00363944">
        <w:rPr>
          <w:rFonts w:ascii="Arial" w:hAnsi="Arial" w:cs="Arial"/>
        </w:rPr>
        <w:fldChar w:fldCharType="end"/>
      </w:r>
      <w:r w:rsidR="00CA117D">
        <w:rPr>
          <w:rFonts w:ascii="Arial" w:hAnsi="Arial" w:cs="Arial"/>
        </w:rPr>
        <w:t xml:space="preserve">. </w:t>
      </w:r>
      <w:r w:rsidR="0047486E" w:rsidRPr="00CB0730">
        <w:rPr>
          <w:rFonts w:ascii="Arial" w:hAnsi="Arial" w:cs="Arial"/>
        </w:rPr>
        <w:t>Inhibition of FPP and GGPP leads to u</w:t>
      </w:r>
      <w:r w:rsidR="00CA2838" w:rsidRPr="00CB0730">
        <w:rPr>
          <w:rFonts w:ascii="Arial" w:hAnsi="Arial" w:cs="Arial"/>
        </w:rPr>
        <w:t>nprenylated GTPases</w:t>
      </w:r>
      <w:r w:rsidR="0047486E" w:rsidRPr="00CB0730">
        <w:rPr>
          <w:rFonts w:ascii="Arial" w:hAnsi="Arial" w:cs="Arial"/>
        </w:rPr>
        <w:t xml:space="preserve"> and this</w:t>
      </w:r>
      <w:r w:rsidR="00CA117D">
        <w:rPr>
          <w:rFonts w:ascii="Arial" w:hAnsi="Arial" w:cs="Arial"/>
        </w:rPr>
        <w:t xml:space="preserve"> impairs the</w:t>
      </w:r>
      <w:r w:rsidR="00DA0387">
        <w:rPr>
          <w:rFonts w:ascii="Arial" w:hAnsi="Arial" w:cs="Arial"/>
        </w:rPr>
        <w:t>se</w:t>
      </w:r>
      <w:r w:rsidR="00CA117D">
        <w:rPr>
          <w:rFonts w:ascii="Arial" w:hAnsi="Arial" w:cs="Arial"/>
        </w:rPr>
        <w:t xml:space="preserve"> osteoclast f</w:t>
      </w:r>
      <w:r w:rsidR="00CA2838" w:rsidRPr="00CB0730">
        <w:rPr>
          <w:rFonts w:ascii="Arial" w:hAnsi="Arial" w:cs="Arial"/>
        </w:rPr>
        <w:t>unctions</w:t>
      </w:r>
      <w:r w:rsidR="00DA0387">
        <w:rPr>
          <w:rFonts w:ascii="Arial" w:hAnsi="Arial" w:cs="Arial"/>
        </w:rPr>
        <w:t xml:space="preserve"> and activity</w:t>
      </w:r>
      <w:r w:rsidR="00CA2838" w:rsidRPr="00CB0730">
        <w:rPr>
          <w:rFonts w:ascii="Arial" w:hAnsi="Arial" w:cs="Arial"/>
        </w:rPr>
        <w:t>.</w:t>
      </w:r>
      <w:r w:rsidR="0047486E" w:rsidRPr="00CB0730">
        <w:rPr>
          <w:rFonts w:ascii="Arial" w:hAnsi="Arial" w:cs="Arial"/>
        </w:rPr>
        <w:t xml:space="preserve"> Therefore the effect of bisphosphonates on osteoclast activity may be due to the accumulation of active and unprenylated GTPases </w:t>
      </w:r>
      <w:r w:rsidR="00363944">
        <w:rPr>
          <w:rFonts w:ascii="Arial" w:hAnsi="Arial" w:cs="Arial"/>
        </w:rPr>
        <w:fldChar w:fldCharType="begin">
          <w:fldData xml:space="preserve">PEVuZE5vdGU+PENpdGU+PEF1dGhvcj5Sb2dlcnM8L0F1dGhvcj48WWVhcj4yMDAzPC9ZZWFyPjxS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PEVuZE5vdGU+PENpdGU+PEF1dGhvcj5Sb2dlcnM8L0F1dGhvcj48WWVhcj4yMDAzPC9ZZWFyPjxS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363944">
        <w:rPr>
          <w:rFonts w:ascii="Arial" w:hAnsi="Arial" w:cs="Arial"/>
        </w:rPr>
      </w:r>
      <w:r w:rsidR="00363944">
        <w:rPr>
          <w:rFonts w:ascii="Arial" w:hAnsi="Arial" w:cs="Arial"/>
        </w:rPr>
        <w:fldChar w:fldCharType="separate"/>
      </w:r>
      <w:r w:rsidR="008E761B">
        <w:rPr>
          <w:rFonts w:ascii="Arial" w:hAnsi="Arial" w:cs="Arial"/>
          <w:noProof/>
        </w:rPr>
        <w:t>(</w:t>
      </w:r>
      <w:hyperlink w:anchor="_ENREF_264" w:tooltip="Rogers, 2003 #207" w:history="1">
        <w:r w:rsidR="003B725E">
          <w:rPr>
            <w:rFonts w:ascii="Arial" w:hAnsi="Arial" w:cs="Arial"/>
            <w:noProof/>
          </w:rPr>
          <w:t>264-266</w:t>
        </w:r>
      </w:hyperlink>
      <w:r w:rsidR="008E761B">
        <w:rPr>
          <w:rFonts w:ascii="Arial" w:hAnsi="Arial" w:cs="Arial"/>
          <w:noProof/>
        </w:rPr>
        <w:t>)</w:t>
      </w:r>
      <w:r w:rsidR="00363944">
        <w:rPr>
          <w:rFonts w:ascii="Arial" w:hAnsi="Arial" w:cs="Arial"/>
        </w:rPr>
        <w:fldChar w:fldCharType="end"/>
      </w:r>
      <w:r w:rsidR="0047486E" w:rsidRPr="00CB0730">
        <w:rPr>
          <w:rFonts w:ascii="Arial" w:hAnsi="Arial" w:cs="Arial"/>
        </w:rPr>
        <w:t>.</w:t>
      </w:r>
      <w:r w:rsidR="00390B76" w:rsidRPr="00CB0730">
        <w:rPr>
          <w:rFonts w:ascii="Arial" w:hAnsi="Arial" w:cs="Arial"/>
        </w:rPr>
        <w:t xml:space="preserve"> </w:t>
      </w:r>
      <w:r w:rsidR="00650D69" w:rsidRPr="00CB0730">
        <w:rPr>
          <w:rFonts w:ascii="Arial" w:hAnsi="Arial" w:cs="Arial"/>
        </w:rPr>
        <w:t xml:space="preserve">This effect on protein prenylation </w:t>
      </w:r>
      <w:r w:rsidR="004D6ED9" w:rsidRPr="00CB0730">
        <w:rPr>
          <w:rFonts w:ascii="Arial" w:hAnsi="Arial" w:cs="Arial"/>
        </w:rPr>
        <w:t xml:space="preserve">by bisphosphates </w:t>
      </w:r>
      <w:r w:rsidR="00650D69" w:rsidRPr="00CB0730">
        <w:rPr>
          <w:rFonts w:ascii="Arial" w:hAnsi="Arial" w:cs="Arial"/>
        </w:rPr>
        <w:t xml:space="preserve">is similar to that of statins or </w:t>
      </w:r>
      <w:r w:rsidR="004D6ED9" w:rsidRPr="00CB0730">
        <w:rPr>
          <w:rFonts w:ascii="Arial" w:hAnsi="Arial" w:cs="Arial"/>
        </w:rPr>
        <w:t xml:space="preserve">prenyltransferase inhibitors </w:t>
      </w:r>
      <w:r w:rsidR="009D176D">
        <w:rPr>
          <w:rFonts w:ascii="Arial" w:hAnsi="Arial" w:cs="Arial"/>
        </w:rPr>
        <w:fldChar w:fldCharType="begin">
          <w:fldData xml:space="preserve">PEVuZE5vdGU+PENpdGU+PEF1dGhvcj5MdWNrbWFuPC9BdXRob3I+PFllYXI+MTk5ODwvWWVhcj48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b2RpY2FsPjxwYWdlcz41ODEtOTwvcGFnZXM+PHZvbHVtZT4xMzwvdm9sdW1lPjxudW1iZXI+NDwv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TWluZXJhbCBSZXNlYXJjaDwvYWJici0xPjwvcGVyaW9kaWNhbD48cGFnZXM+MTQ2Ny03NjwvcGFn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PEVuZE5vdGU+PENpdGU+PEF1dGhvcj5MdWNrbWFuPC9BdXRob3I+PFllYXI+MTk5ODwvWWVhcj48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b2RpY2FsPjxwYWdlcz41ODEtOTwvcGFnZXM+PHZvbHVtZT4xMzwvdm9sdW1lPjxudW1iZXI+NDwv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TWluZXJhbCBSZXNlYXJjaDwvYWJici0xPjwvcGVyaW9kaWNhbD48cGFnZXM+MTQ2Ny03NjwvcGFn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9D176D">
        <w:rPr>
          <w:rFonts w:ascii="Arial" w:hAnsi="Arial" w:cs="Arial"/>
        </w:rPr>
      </w:r>
      <w:r w:rsidR="009D176D">
        <w:rPr>
          <w:rFonts w:ascii="Arial" w:hAnsi="Arial" w:cs="Arial"/>
        </w:rPr>
        <w:fldChar w:fldCharType="separate"/>
      </w:r>
      <w:r w:rsidR="008E761B">
        <w:rPr>
          <w:rFonts w:ascii="Arial" w:hAnsi="Arial" w:cs="Arial"/>
          <w:noProof/>
        </w:rPr>
        <w:t>(</w:t>
      </w:r>
      <w:hyperlink w:anchor="_ENREF_260" w:tooltip="Luckman, 1998 #209" w:history="1">
        <w:r w:rsidR="003B725E">
          <w:rPr>
            <w:rFonts w:ascii="Arial" w:hAnsi="Arial" w:cs="Arial"/>
            <w:noProof/>
          </w:rPr>
          <w:t>260</w:t>
        </w:r>
      </w:hyperlink>
      <w:r w:rsidR="008E761B">
        <w:rPr>
          <w:rFonts w:ascii="Arial" w:hAnsi="Arial" w:cs="Arial"/>
          <w:noProof/>
        </w:rPr>
        <w:t xml:space="preserve">, </w:t>
      </w:r>
      <w:hyperlink w:anchor="_ENREF_267" w:tooltip="Coxon, 2000 #434" w:history="1">
        <w:r w:rsidR="003B725E">
          <w:rPr>
            <w:rFonts w:ascii="Arial" w:hAnsi="Arial" w:cs="Arial"/>
            <w:noProof/>
          </w:rPr>
          <w:t>267</w:t>
        </w:r>
      </w:hyperlink>
      <w:r w:rsidR="008E761B">
        <w:rPr>
          <w:rFonts w:ascii="Arial" w:hAnsi="Arial" w:cs="Arial"/>
          <w:noProof/>
        </w:rPr>
        <w:t>)</w:t>
      </w:r>
      <w:r w:rsidR="009D176D">
        <w:rPr>
          <w:rFonts w:ascii="Arial" w:hAnsi="Arial" w:cs="Arial"/>
        </w:rPr>
        <w:fldChar w:fldCharType="end"/>
      </w:r>
      <w:r w:rsidR="004D6ED9" w:rsidRPr="00CB0730">
        <w:rPr>
          <w:rFonts w:ascii="Arial" w:hAnsi="Arial" w:cs="Arial"/>
        </w:rPr>
        <w:t xml:space="preserve">. </w:t>
      </w:r>
      <w:r w:rsidR="00390B76" w:rsidRPr="00CB0730">
        <w:rPr>
          <w:rFonts w:ascii="Arial" w:hAnsi="Arial" w:cs="Arial"/>
        </w:rPr>
        <w:t>In</w:t>
      </w:r>
      <w:r w:rsidR="004D6ED9" w:rsidRPr="00CB0730">
        <w:rPr>
          <w:rFonts w:ascii="Arial" w:hAnsi="Arial" w:cs="Arial"/>
        </w:rPr>
        <w:t xml:space="preserve"> </w:t>
      </w:r>
      <w:r w:rsidR="00390B76" w:rsidRPr="00CB0730">
        <w:rPr>
          <w:rFonts w:ascii="Arial" w:hAnsi="Arial" w:cs="Arial"/>
        </w:rPr>
        <w:t>contrast, non-</w:t>
      </w:r>
      <w:r w:rsidR="00390B76" w:rsidRPr="00CB0730">
        <w:rPr>
          <w:rFonts w:ascii="Arial" w:hAnsi="Arial" w:cs="Arial"/>
        </w:rPr>
        <w:lastRenderedPageBreak/>
        <w:t>nitrogen containing bisphosphonates do not inhibit FPPS and hence the prenylation of GTPases occurs</w:t>
      </w:r>
      <w:r w:rsidR="00650D69" w:rsidRPr="00CB0730">
        <w:rPr>
          <w:rFonts w:ascii="Arial" w:hAnsi="Arial" w:cs="Arial"/>
        </w:rPr>
        <w:t xml:space="preserve"> </w:t>
      </w:r>
      <w:r w:rsidR="009D176D">
        <w:rPr>
          <w:rFonts w:ascii="Arial" w:hAnsi="Arial" w:cs="Arial"/>
        </w:rPr>
        <w:fldChar w:fldCharType="begin">
          <w:fldData xml:space="preserve">PEVuZE5vdGU+PENpdGU+PEF1dGhvcj5Gcml0aDwvQXV0aG9yPjxZZWFyPjIwMDE8L1llYXI+PFJl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PEVuZE5vdGU+PENpdGU+PEF1dGhvcj5Gcml0aDwvQXV0aG9yPjxZZWFyPjIwMDE8L1llYXI+PFJl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9D176D">
        <w:rPr>
          <w:rFonts w:ascii="Arial" w:hAnsi="Arial" w:cs="Arial"/>
        </w:rPr>
      </w:r>
      <w:r w:rsidR="009D176D">
        <w:rPr>
          <w:rFonts w:ascii="Arial" w:hAnsi="Arial" w:cs="Arial"/>
        </w:rPr>
        <w:fldChar w:fldCharType="separate"/>
      </w:r>
      <w:r w:rsidR="008E761B">
        <w:rPr>
          <w:rFonts w:ascii="Arial" w:hAnsi="Arial" w:cs="Arial"/>
          <w:noProof/>
        </w:rPr>
        <w:t>(</w:t>
      </w:r>
      <w:hyperlink w:anchor="_ENREF_256" w:tooltip="Frith, 2001 #208" w:history="1">
        <w:r w:rsidR="003B725E">
          <w:rPr>
            <w:rFonts w:ascii="Arial" w:hAnsi="Arial" w:cs="Arial"/>
            <w:noProof/>
          </w:rPr>
          <w:t>256</w:t>
        </w:r>
      </w:hyperlink>
      <w:r w:rsidR="008E761B">
        <w:rPr>
          <w:rFonts w:ascii="Arial" w:hAnsi="Arial" w:cs="Arial"/>
          <w:noProof/>
        </w:rPr>
        <w:t>)</w:t>
      </w:r>
      <w:r w:rsidR="009D176D">
        <w:rPr>
          <w:rFonts w:ascii="Arial" w:hAnsi="Arial" w:cs="Arial"/>
        </w:rPr>
        <w:fldChar w:fldCharType="end"/>
      </w:r>
      <w:r w:rsidR="00390B76" w:rsidRPr="00CB0730">
        <w:rPr>
          <w:rFonts w:ascii="Arial" w:hAnsi="Arial" w:cs="Arial"/>
        </w:rPr>
        <w:t>, therefore their cellular mechanism of action is different.</w:t>
      </w:r>
      <w:r w:rsidR="00AD7D73">
        <w:rPr>
          <w:rFonts w:ascii="Arial" w:hAnsi="Arial" w:cs="Arial"/>
        </w:rPr>
        <w:t xml:space="preserve"> </w:t>
      </w:r>
    </w:p>
    <w:p w:rsidR="009C41CC" w:rsidRDefault="009C41CC" w:rsidP="003E6719">
      <w:pPr>
        <w:pStyle w:val="Heading5"/>
        <w:jc w:val="both"/>
      </w:pPr>
      <w:r>
        <w:t>Effec</w:t>
      </w:r>
      <w:r w:rsidR="007A75B9">
        <w:t>ts on osteocytes</w:t>
      </w:r>
    </w:p>
    <w:p w:rsidR="001E3F08" w:rsidRPr="00F711D8" w:rsidRDefault="00351342" w:rsidP="003B725E">
      <w:pPr>
        <w:spacing w:line="360" w:lineRule="auto"/>
        <w:jc w:val="both"/>
        <w:rPr>
          <w:rFonts w:ascii="Arial" w:hAnsi="Arial" w:cs="Arial"/>
        </w:rPr>
      </w:pPr>
      <w:r w:rsidRPr="00F711D8">
        <w:rPr>
          <w:rFonts w:ascii="Arial" w:hAnsi="Arial" w:cs="Arial"/>
        </w:rPr>
        <w:t>In contrast to</w:t>
      </w:r>
      <w:r w:rsidR="001E3F08" w:rsidRPr="00F711D8">
        <w:rPr>
          <w:rFonts w:ascii="Arial" w:hAnsi="Arial" w:cs="Arial"/>
        </w:rPr>
        <w:t xml:space="preserve"> their ability to ind</w:t>
      </w:r>
      <w:r w:rsidRPr="00F711D8">
        <w:rPr>
          <w:rFonts w:ascii="Arial" w:hAnsi="Arial" w:cs="Arial"/>
        </w:rPr>
        <w:t>uce osteoclast opoptosis</w:t>
      </w:r>
      <w:r w:rsidR="001E3F08" w:rsidRPr="00F711D8">
        <w:rPr>
          <w:rFonts w:ascii="Arial" w:hAnsi="Arial" w:cs="Arial"/>
        </w:rPr>
        <w:t>, bisphosphonates app</w:t>
      </w:r>
      <w:r w:rsidRPr="00F711D8">
        <w:rPr>
          <w:rFonts w:ascii="Arial" w:hAnsi="Arial" w:cs="Arial"/>
        </w:rPr>
        <w:t>ear to inhibit osteocyte apoptosis</w:t>
      </w:r>
      <w:r w:rsidR="001E3F08" w:rsidRPr="00F711D8">
        <w:rPr>
          <w:rFonts w:ascii="Arial" w:hAnsi="Arial" w:cs="Arial"/>
        </w:rPr>
        <w:t xml:space="preserve"> caused by mechanical loading for example </w:t>
      </w:r>
      <w:r w:rsidR="009D176D">
        <w:rPr>
          <w:rFonts w:ascii="Arial" w:hAnsi="Arial" w:cs="Arial"/>
        </w:rPr>
        <w:fldChar w:fldCharType="begin">
          <w:fldData xml:space="preserve">PEVuZE5vdGU+PENpdGU+PEF1dGhvcj5BZ3VpcnJlPC9BdXRob3I+PFllYXI+MjAwNjwvWWVhcj48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PEVuZE5vdGU+PENpdGU+PEF1dGhvcj5BZ3VpcnJlPC9BdXRob3I+PFllYXI+MjAwNjwvWWVhcj48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9D176D">
        <w:rPr>
          <w:rFonts w:ascii="Arial" w:hAnsi="Arial" w:cs="Arial"/>
        </w:rPr>
      </w:r>
      <w:r w:rsidR="009D176D">
        <w:rPr>
          <w:rFonts w:ascii="Arial" w:hAnsi="Arial" w:cs="Arial"/>
        </w:rPr>
        <w:fldChar w:fldCharType="separate"/>
      </w:r>
      <w:r w:rsidR="008E761B">
        <w:rPr>
          <w:rFonts w:ascii="Arial" w:hAnsi="Arial" w:cs="Arial"/>
          <w:noProof/>
        </w:rPr>
        <w:t>(</w:t>
      </w:r>
      <w:hyperlink w:anchor="_ENREF_268" w:tooltip="Aguirre, 2006 #435" w:history="1">
        <w:r w:rsidR="003B725E">
          <w:rPr>
            <w:rFonts w:ascii="Arial" w:hAnsi="Arial" w:cs="Arial"/>
            <w:noProof/>
          </w:rPr>
          <w:t>268</w:t>
        </w:r>
      </w:hyperlink>
      <w:r w:rsidR="008E761B">
        <w:rPr>
          <w:rFonts w:ascii="Arial" w:hAnsi="Arial" w:cs="Arial"/>
          <w:noProof/>
        </w:rPr>
        <w:t xml:space="preserve">, </w:t>
      </w:r>
      <w:hyperlink w:anchor="_ENREF_269" w:tooltip="Plotkin, 1999 #436" w:history="1">
        <w:r w:rsidR="003B725E">
          <w:rPr>
            <w:rFonts w:ascii="Arial" w:hAnsi="Arial" w:cs="Arial"/>
            <w:noProof/>
          </w:rPr>
          <w:t>269</w:t>
        </w:r>
      </w:hyperlink>
      <w:r w:rsidR="008E761B">
        <w:rPr>
          <w:rFonts w:ascii="Arial" w:hAnsi="Arial" w:cs="Arial"/>
          <w:noProof/>
        </w:rPr>
        <w:t>)</w:t>
      </w:r>
      <w:r w:rsidR="009D176D">
        <w:rPr>
          <w:rFonts w:ascii="Arial" w:hAnsi="Arial" w:cs="Arial"/>
        </w:rPr>
        <w:fldChar w:fldCharType="end"/>
      </w:r>
      <w:r w:rsidR="001E3F08" w:rsidRPr="00F711D8">
        <w:rPr>
          <w:rFonts w:ascii="Arial" w:hAnsi="Arial" w:cs="Arial"/>
        </w:rPr>
        <w:t>.</w:t>
      </w:r>
      <w:r w:rsidR="002B19D4" w:rsidRPr="00F711D8">
        <w:rPr>
          <w:rFonts w:ascii="Arial" w:hAnsi="Arial" w:cs="Arial"/>
        </w:rPr>
        <w:t xml:space="preserve"> The signalling pathway that mediates this is unknown but may be related to the activation of extracellular signal regulated kinases </w:t>
      </w:r>
      <w:r w:rsidR="00BB5F72">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B5F72">
        <w:rPr>
          <w:rFonts w:ascii="Arial" w:hAnsi="Arial" w:cs="Arial"/>
        </w:rPr>
      </w:r>
      <w:r w:rsidR="00BB5F72">
        <w:rPr>
          <w:rFonts w:ascii="Arial" w:hAnsi="Arial" w:cs="Arial"/>
        </w:rPr>
        <w:fldChar w:fldCharType="separate"/>
      </w:r>
      <w:r w:rsidR="008E761B">
        <w:rPr>
          <w:rFonts w:ascii="Arial" w:hAnsi="Arial" w:cs="Arial"/>
          <w:noProof/>
        </w:rPr>
        <w:t>(</w:t>
      </w:r>
      <w:hyperlink w:anchor="_ENREF_270" w:tooltip="Plotkin, 2006 #437" w:history="1">
        <w:r w:rsidR="003B725E">
          <w:rPr>
            <w:rFonts w:ascii="Arial" w:hAnsi="Arial" w:cs="Arial"/>
            <w:noProof/>
          </w:rPr>
          <w:t>270</w:t>
        </w:r>
      </w:hyperlink>
      <w:r w:rsidR="008E761B">
        <w:rPr>
          <w:rFonts w:ascii="Arial" w:hAnsi="Arial" w:cs="Arial"/>
          <w:noProof/>
        </w:rPr>
        <w:t>)</w:t>
      </w:r>
      <w:r w:rsidR="00BB5F72">
        <w:rPr>
          <w:rFonts w:ascii="Arial" w:hAnsi="Arial" w:cs="Arial"/>
        </w:rPr>
        <w:fldChar w:fldCharType="end"/>
      </w:r>
      <w:r w:rsidR="002B19D4" w:rsidRPr="00F711D8">
        <w:rPr>
          <w:rFonts w:ascii="Arial" w:hAnsi="Arial" w:cs="Arial"/>
        </w:rPr>
        <w:t xml:space="preserve">. </w:t>
      </w:r>
      <w:r w:rsidR="00BB5F72" w:rsidRPr="00F711D8">
        <w:rPr>
          <w:rFonts w:ascii="Arial" w:hAnsi="Arial" w:cs="Arial"/>
        </w:rPr>
        <w:t>Bisphosphonates</w:t>
      </w:r>
      <w:r w:rsidR="002B19D4" w:rsidRPr="00F711D8">
        <w:rPr>
          <w:rFonts w:ascii="Arial" w:hAnsi="Arial" w:cs="Arial"/>
        </w:rPr>
        <w:t xml:space="preserve"> may gain access to the osteocytes via the interconnecting canaliculi</w:t>
      </w:r>
      <w:r w:rsidR="00872349" w:rsidRPr="00F711D8">
        <w:rPr>
          <w:rFonts w:ascii="Arial" w:hAnsi="Arial" w:cs="Arial"/>
        </w:rPr>
        <w:t xml:space="preserve"> networ</w:t>
      </w:r>
      <w:r w:rsidR="002B19D4" w:rsidRPr="00F711D8">
        <w:rPr>
          <w:rFonts w:ascii="Arial" w:hAnsi="Arial" w:cs="Arial"/>
        </w:rPr>
        <w:t>k and uptake may be dependent on their specific affinity to bone (those with lower affinity able to penetrate furt</w:t>
      </w:r>
      <w:r w:rsidRPr="00F711D8">
        <w:rPr>
          <w:rFonts w:ascii="Arial" w:hAnsi="Arial" w:cs="Arial"/>
        </w:rPr>
        <w:t>her in to the matrix and get</w:t>
      </w:r>
      <w:r w:rsidR="002B19D4" w:rsidRPr="00F711D8">
        <w:rPr>
          <w:rFonts w:ascii="Arial" w:hAnsi="Arial" w:cs="Arial"/>
        </w:rPr>
        <w:t xml:space="preserve"> closer to the osteocyte) </w:t>
      </w:r>
      <w:r w:rsidR="00BB5F72">
        <w:rPr>
          <w:rFonts w:ascii="Arial" w:hAnsi="Arial" w:cs="Arial"/>
        </w:rPr>
        <w:fldChar w:fldCharType="begin">
          <w:fldData xml:space="preserve">PEVuZE5vdGU+PENpdGU+PEF1dGhvcj5SdXNzZWxsPC9BdXRob3I+PFllYXI+MjAwODwvWWVhcj48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b2RpY2FsPjxhbHQtcGVyaW9kaWNhbD48ZnVsbC10aXRsZT5Pc3Rlb3Bvcm9zIEludDwvZnVsbC10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PEVuZE5vdGU+PENpdGU+PEF1dGhvcj5SdXNzZWxsPC9BdXRob3I+PFllYXI+MjAwODwvWWVhcj48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b2RpY2FsPjxhbHQtcGVyaW9kaWNhbD48ZnVsbC10aXRsZT5Pc3Rlb3Bvcm9zIEludDwvZnVsbC10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B5F72">
        <w:rPr>
          <w:rFonts w:ascii="Arial" w:hAnsi="Arial" w:cs="Arial"/>
        </w:rPr>
      </w:r>
      <w:r w:rsidR="00BB5F72">
        <w:rPr>
          <w:rFonts w:ascii="Arial" w:hAnsi="Arial" w:cs="Arial"/>
        </w:rPr>
        <w:fldChar w:fldCharType="separate"/>
      </w:r>
      <w:r w:rsidR="008E761B">
        <w:rPr>
          <w:rFonts w:ascii="Arial" w:hAnsi="Arial" w:cs="Arial"/>
          <w:noProof/>
        </w:rPr>
        <w:t>(</w:t>
      </w:r>
      <w:hyperlink w:anchor="_ENREF_241" w:tooltip="Russell, 2008 #491" w:history="1">
        <w:r w:rsidR="003B725E">
          <w:rPr>
            <w:rFonts w:ascii="Arial" w:hAnsi="Arial" w:cs="Arial"/>
            <w:noProof/>
          </w:rPr>
          <w:t>241</w:t>
        </w:r>
      </w:hyperlink>
      <w:r w:rsidR="008E761B">
        <w:rPr>
          <w:rFonts w:ascii="Arial" w:hAnsi="Arial" w:cs="Arial"/>
          <w:noProof/>
        </w:rPr>
        <w:t>)</w:t>
      </w:r>
      <w:r w:rsidR="00BB5F72">
        <w:rPr>
          <w:rFonts w:ascii="Arial" w:hAnsi="Arial" w:cs="Arial"/>
        </w:rPr>
        <w:fldChar w:fldCharType="end"/>
      </w:r>
      <w:r w:rsidR="002B19D4" w:rsidRPr="00F711D8">
        <w:rPr>
          <w:rFonts w:ascii="Arial" w:hAnsi="Arial" w:cs="Arial"/>
        </w:rPr>
        <w:t>. If this is indeed the case</w:t>
      </w:r>
      <w:r w:rsidRPr="00F711D8">
        <w:rPr>
          <w:rFonts w:ascii="Arial" w:hAnsi="Arial" w:cs="Arial"/>
        </w:rPr>
        <w:t>,</w:t>
      </w:r>
      <w:r w:rsidR="002B19D4" w:rsidRPr="00F711D8">
        <w:rPr>
          <w:rFonts w:ascii="Arial" w:hAnsi="Arial" w:cs="Arial"/>
        </w:rPr>
        <w:t xml:space="preserve"> then risedronate (which has a lower binding affinity than alendronate</w:t>
      </w:r>
      <w:r w:rsidRPr="00F711D8">
        <w:rPr>
          <w:rFonts w:ascii="Arial" w:hAnsi="Arial" w:cs="Arial"/>
        </w:rPr>
        <w:t>) penetrates</w:t>
      </w:r>
      <w:r w:rsidR="00872349" w:rsidRPr="00F711D8">
        <w:rPr>
          <w:rFonts w:ascii="Arial" w:hAnsi="Arial" w:cs="Arial"/>
        </w:rPr>
        <w:t xml:space="preserve"> further in to </w:t>
      </w:r>
      <w:r w:rsidR="0047605B">
        <w:rPr>
          <w:rFonts w:ascii="Arial" w:hAnsi="Arial" w:cs="Arial"/>
        </w:rPr>
        <w:t>the canaliculi network.</w:t>
      </w:r>
      <w:r w:rsidR="00872349" w:rsidRPr="00F711D8">
        <w:rPr>
          <w:rFonts w:ascii="Arial" w:hAnsi="Arial" w:cs="Arial"/>
        </w:rPr>
        <w:t xml:space="preserve"> In my thesis I aim</w:t>
      </w:r>
      <w:r w:rsidRPr="00F711D8">
        <w:rPr>
          <w:rFonts w:ascii="Arial" w:hAnsi="Arial" w:cs="Arial"/>
        </w:rPr>
        <w:t>ed</w:t>
      </w:r>
      <w:r w:rsidR="00872349" w:rsidRPr="00F711D8">
        <w:rPr>
          <w:rFonts w:ascii="Arial" w:hAnsi="Arial" w:cs="Arial"/>
        </w:rPr>
        <w:t xml:space="preserve"> to</w:t>
      </w:r>
      <w:r w:rsidR="005A16EB">
        <w:rPr>
          <w:rFonts w:ascii="Arial" w:hAnsi="Arial" w:cs="Arial"/>
        </w:rPr>
        <w:t xml:space="preserve"> investigate whether there is an </w:t>
      </w:r>
      <w:r w:rsidR="00BB5F72">
        <w:rPr>
          <w:rFonts w:ascii="Arial" w:hAnsi="Arial" w:cs="Arial"/>
        </w:rPr>
        <w:t xml:space="preserve">indirect </w:t>
      </w:r>
      <w:r w:rsidR="005A16EB">
        <w:rPr>
          <w:rFonts w:ascii="Arial" w:hAnsi="Arial" w:cs="Arial"/>
        </w:rPr>
        <w:t>effect of bisphosphonates on osteocytes</w:t>
      </w:r>
      <w:r w:rsidR="00872349" w:rsidRPr="00F711D8">
        <w:rPr>
          <w:rFonts w:ascii="Arial" w:hAnsi="Arial" w:cs="Arial"/>
        </w:rPr>
        <w:t>. I aimed to do this by measuring the levels of circulating sclerostin that the osteocytes produce after treatment with ibandronate, alendronate and risedronate</w:t>
      </w:r>
      <w:r w:rsidR="001A0209" w:rsidRPr="00F711D8">
        <w:rPr>
          <w:rFonts w:ascii="Arial" w:hAnsi="Arial" w:cs="Arial"/>
        </w:rPr>
        <w:t xml:space="preserve"> in women with postmenopausal osteoporosis</w:t>
      </w:r>
      <w:r w:rsidR="00872349" w:rsidRPr="00F711D8">
        <w:rPr>
          <w:rFonts w:ascii="Arial" w:hAnsi="Arial" w:cs="Arial"/>
        </w:rPr>
        <w:t xml:space="preserve">. The hypothesis being </w:t>
      </w:r>
      <w:r w:rsidRPr="00F711D8">
        <w:rPr>
          <w:rFonts w:ascii="Arial" w:hAnsi="Arial" w:cs="Arial"/>
        </w:rPr>
        <w:t xml:space="preserve">that </w:t>
      </w:r>
      <w:r w:rsidR="00872349" w:rsidRPr="00F711D8">
        <w:rPr>
          <w:rFonts w:ascii="Arial" w:hAnsi="Arial" w:cs="Arial"/>
        </w:rPr>
        <w:t xml:space="preserve">risedronate increases levels of </w:t>
      </w:r>
      <w:r w:rsidR="001A0209" w:rsidRPr="00F711D8">
        <w:rPr>
          <w:rFonts w:ascii="Arial" w:hAnsi="Arial" w:cs="Arial"/>
        </w:rPr>
        <w:t xml:space="preserve">circulating </w:t>
      </w:r>
      <w:r w:rsidR="00872349" w:rsidRPr="00F711D8">
        <w:rPr>
          <w:rFonts w:ascii="Arial" w:hAnsi="Arial" w:cs="Arial"/>
        </w:rPr>
        <w:t>sclerostin</w:t>
      </w:r>
      <w:r w:rsidR="001A0209" w:rsidRPr="00F711D8">
        <w:rPr>
          <w:rFonts w:ascii="Arial" w:hAnsi="Arial" w:cs="Arial"/>
        </w:rPr>
        <w:t xml:space="preserve"> by inhibiting osteocyte apoptosis more than alendronate.</w:t>
      </w:r>
    </w:p>
    <w:p w:rsidR="007A75B9" w:rsidRDefault="007A75B9" w:rsidP="003E6719">
      <w:pPr>
        <w:pStyle w:val="Heading5"/>
        <w:jc w:val="both"/>
      </w:pPr>
      <w:r>
        <w:t>The clinical utility of bisphosphonates</w:t>
      </w:r>
    </w:p>
    <w:p w:rsidR="008E23BD" w:rsidRPr="00945C20" w:rsidRDefault="00363429" w:rsidP="003B725E">
      <w:pPr>
        <w:spacing w:line="360" w:lineRule="auto"/>
        <w:jc w:val="both"/>
        <w:rPr>
          <w:rFonts w:ascii="Arial" w:hAnsi="Arial" w:cs="Arial"/>
        </w:rPr>
      </w:pPr>
      <w:r w:rsidRPr="00945C20">
        <w:rPr>
          <w:rFonts w:ascii="Arial" w:hAnsi="Arial" w:cs="Arial"/>
        </w:rPr>
        <w:t>The effects of bisphosphonates on osteoclasts in particular and overall skeletal health have allowed them to be widely used in clinical diseases where bone resorption is increased such as Paget’s disease, osteogenesis imperfect</w:t>
      </w:r>
      <w:r w:rsidR="0081044A" w:rsidRPr="00945C20">
        <w:rPr>
          <w:rFonts w:ascii="Arial" w:hAnsi="Arial" w:cs="Arial"/>
        </w:rPr>
        <w:t>a</w:t>
      </w:r>
      <w:r w:rsidRPr="00945C20">
        <w:rPr>
          <w:rFonts w:ascii="Arial" w:hAnsi="Arial" w:cs="Arial"/>
        </w:rPr>
        <w:t xml:space="preserve">, </w:t>
      </w:r>
      <w:r w:rsidR="00C57F29">
        <w:rPr>
          <w:rFonts w:ascii="Arial" w:hAnsi="Arial" w:cs="Arial"/>
        </w:rPr>
        <w:t>some multiple</w:t>
      </w:r>
      <w:r w:rsidRPr="00945C20">
        <w:rPr>
          <w:rFonts w:ascii="Arial" w:hAnsi="Arial" w:cs="Arial"/>
        </w:rPr>
        <w:t xml:space="preserve"> myeloma</w:t>
      </w:r>
      <w:r w:rsidR="00C57F29">
        <w:rPr>
          <w:rFonts w:ascii="Arial" w:hAnsi="Arial" w:cs="Arial"/>
        </w:rPr>
        <w:t>s related to the skeleton</w:t>
      </w:r>
      <w:r w:rsidRPr="00945C20">
        <w:rPr>
          <w:rFonts w:ascii="Arial" w:hAnsi="Arial" w:cs="Arial"/>
        </w:rPr>
        <w:t>, metastatic breast/prostate</w:t>
      </w:r>
      <w:r w:rsidR="00D665B4">
        <w:rPr>
          <w:rFonts w:ascii="Arial" w:hAnsi="Arial" w:cs="Arial"/>
        </w:rPr>
        <w:t>/lung cancers and</w:t>
      </w:r>
      <w:r w:rsidRPr="00945C20">
        <w:rPr>
          <w:rFonts w:ascii="Arial" w:hAnsi="Arial" w:cs="Arial"/>
        </w:rPr>
        <w:t xml:space="preserve"> osteoporosis </w:t>
      </w:r>
      <w:r w:rsidR="00BB5F72">
        <w:rPr>
          <w:rFonts w:ascii="Arial" w:hAnsi="Arial" w:cs="Arial"/>
        </w:rPr>
        <w:fldChar w:fldCharType="begin">
          <w:fldData xml:space="preserve">PEVuZE5vdGU+PENpdGU+PEF1dGhvcj5SZWlkPC9BdXRob3I+PFllYXI+MjAwNTwvWWVhcj48UmVj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PEVuZE5vdGU+PENpdGU+PEF1dGhvcj5SZWlkPC9BdXRob3I+PFllYXI+MjAwNTwvWWVhcj48UmVj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B5F72">
        <w:rPr>
          <w:rFonts w:ascii="Arial" w:hAnsi="Arial" w:cs="Arial"/>
        </w:rPr>
      </w:r>
      <w:r w:rsidR="00BB5F72">
        <w:rPr>
          <w:rFonts w:ascii="Arial" w:hAnsi="Arial" w:cs="Arial"/>
        </w:rPr>
        <w:fldChar w:fldCharType="separate"/>
      </w:r>
      <w:r w:rsidR="008E761B">
        <w:rPr>
          <w:rFonts w:ascii="Arial" w:hAnsi="Arial" w:cs="Arial"/>
          <w:noProof/>
        </w:rPr>
        <w:t>(</w:t>
      </w:r>
      <w:hyperlink w:anchor="_ENREF_271" w:tooltip="Reid, 2005 #438" w:history="1">
        <w:r w:rsidR="003B725E">
          <w:rPr>
            <w:rFonts w:ascii="Arial" w:hAnsi="Arial" w:cs="Arial"/>
            <w:noProof/>
          </w:rPr>
          <w:t>271-277</w:t>
        </w:r>
      </w:hyperlink>
      <w:r w:rsidR="008E761B">
        <w:rPr>
          <w:rFonts w:ascii="Arial" w:hAnsi="Arial" w:cs="Arial"/>
          <w:noProof/>
        </w:rPr>
        <w:t>)</w:t>
      </w:r>
      <w:r w:rsidR="00BB5F72">
        <w:rPr>
          <w:rFonts w:ascii="Arial" w:hAnsi="Arial" w:cs="Arial"/>
        </w:rPr>
        <w:fldChar w:fldCharType="end"/>
      </w:r>
      <w:r w:rsidR="00C7731E">
        <w:rPr>
          <w:rFonts w:ascii="Arial" w:hAnsi="Arial" w:cs="Arial"/>
        </w:rPr>
        <w:t>.</w:t>
      </w:r>
      <w:r w:rsidRPr="00945C20">
        <w:rPr>
          <w:rFonts w:ascii="Arial" w:hAnsi="Arial" w:cs="Arial"/>
        </w:rPr>
        <w:t xml:space="preserve"> </w:t>
      </w:r>
    </w:p>
    <w:p w:rsidR="008174AE" w:rsidRPr="00E75604" w:rsidRDefault="00F2633A" w:rsidP="003B725E">
      <w:pPr>
        <w:spacing w:line="360" w:lineRule="auto"/>
        <w:jc w:val="both"/>
        <w:rPr>
          <w:rFonts w:ascii="Arial" w:hAnsi="Arial" w:cs="Arial"/>
        </w:rPr>
      </w:pPr>
      <w:r w:rsidRPr="00945C20">
        <w:rPr>
          <w:rFonts w:ascii="Arial" w:hAnsi="Arial" w:cs="Arial"/>
        </w:rPr>
        <w:t>The most common bisphosphonates licenced to treat osteoporosis worldwide are the nitrogen-containing ibandronate, alendronate, risedronate and zoledronate</w:t>
      </w:r>
      <w:r w:rsidR="008644FC">
        <w:rPr>
          <w:rFonts w:ascii="Arial" w:hAnsi="Arial" w:cs="Arial"/>
        </w:rPr>
        <w:t>, (Table 1)</w:t>
      </w:r>
      <w:r w:rsidRPr="00945C20">
        <w:rPr>
          <w:rFonts w:ascii="Arial" w:hAnsi="Arial" w:cs="Arial"/>
        </w:rPr>
        <w:t xml:space="preserve">. In randomised controlled clinical trials these have been shown to reduce the risk of vertebral fractures by 39 to 70% </w:t>
      </w:r>
      <w:r w:rsidR="001D18A8">
        <w:rPr>
          <w:rFonts w:ascii="Arial" w:hAnsi="Arial" w:cs="Arial"/>
        </w:rPr>
        <w:fldChar w:fldCharType="begin">
          <w:fldData xml:space="preserve">PEVuZE5vdGU+PENpdGU+PEF1dGhvcj5CbGFjazwvQXV0aG9yPjxZZWFyPjIwMDc8L1llYXI+PFJl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bmFsIG9mIG1lZGljaW5lPC9hYmJyLTE+PC9hbHQtcGVyaW9kaWNhbD48cGFnZXM+MTgwOS0yMjwv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PEVuZE5vdGU+PENpdGU+PEF1dGhvcj5CbGFjazwvQXV0aG9yPjxZZWFyPjIwMDc8L1llYXI+PFJl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bmFsIG9mIG1lZGljaW5lPC9hYmJyLTE+PC9hbHQtcGVyaW9kaWNhbD48cGFnZXM+MTgwOS0yMjwv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1D18A8">
        <w:rPr>
          <w:rFonts w:ascii="Arial" w:hAnsi="Arial" w:cs="Arial"/>
        </w:rPr>
      </w:r>
      <w:r w:rsidR="001D18A8">
        <w:rPr>
          <w:rFonts w:ascii="Arial" w:hAnsi="Arial" w:cs="Arial"/>
        </w:rPr>
        <w:fldChar w:fldCharType="separate"/>
      </w:r>
      <w:r w:rsidR="008E761B">
        <w:rPr>
          <w:rFonts w:ascii="Arial" w:hAnsi="Arial" w:cs="Arial"/>
          <w:noProof/>
        </w:rPr>
        <w:t>(</w:t>
      </w:r>
      <w:hyperlink w:anchor="_ENREF_278" w:tooltip="Black, 2007 #182" w:history="1">
        <w:r w:rsidR="003B725E">
          <w:rPr>
            <w:rFonts w:ascii="Arial" w:hAnsi="Arial" w:cs="Arial"/>
            <w:noProof/>
          </w:rPr>
          <w:t>278-280</w:t>
        </w:r>
      </w:hyperlink>
      <w:r w:rsidR="008E761B">
        <w:rPr>
          <w:rFonts w:ascii="Arial" w:hAnsi="Arial" w:cs="Arial"/>
          <w:noProof/>
        </w:rPr>
        <w:t>)</w:t>
      </w:r>
      <w:r w:rsidR="001D18A8">
        <w:rPr>
          <w:rFonts w:ascii="Arial" w:hAnsi="Arial" w:cs="Arial"/>
        </w:rPr>
        <w:fldChar w:fldCharType="end"/>
      </w:r>
      <w:r w:rsidR="00FC54AB" w:rsidRPr="00945C20">
        <w:rPr>
          <w:rFonts w:ascii="Arial" w:hAnsi="Arial" w:cs="Arial"/>
        </w:rPr>
        <w:t xml:space="preserve">, non-vertebral fractures by 20% and hip fractures by 40% </w:t>
      </w:r>
      <w:r w:rsidR="00F15E04">
        <w:rPr>
          <w:rFonts w:ascii="Arial" w:hAnsi="Arial" w:cs="Arial"/>
        </w:rPr>
        <w:fldChar w:fldCharType="begin">
          <w:fldData xml:space="preserve">PEVuZE5vdGU+PENpdGU+PEF1dGhvcj5FYXN0ZWxsPC9BdXRob3I+PFllYXI+MjAwOTwvWWVhcj48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=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PEVuZE5vdGU+PENpdGU+PEF1dGhvcj5FYXN0ZWxsPC9BdXRob3I+PFllYXI+MjAwOTwvWWVhcj48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=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F15E04">
        <w:rPr>
          <w:rFonts w:ascii="Arial" w:hAnsi="Arial" w:cs="Arial"/>
        </w:rPr>
      </w:r>
      <w:r w:rsidR="00F15E04">
        <w:rPr>
          <w:rFonts w:ascii="Arial" w:hAnsi="Arial" w:cs="Arial"/>
        </w:rPr>
        <w:fldChar w:fldCharType="separate"/>
      </w:r>
      <w:r w:rsidR="008E761B">
        <w:rPr>
          <w:rFonts w:ascii="Arial" w:hAnsi="Arial" w:cs="Arial"/>
          <w:noProof/>
        </w:rPr>
        <w:t>(</w:t>
      </w:r>
      <w:hyperlink w:anchor="_ENREF_281" w:tooltip="Eastell, 2009 #446" w:history="1">
        <w:r w:rsidR="003B725E">
          <w:rPr>
            <w:rFonts w:ascii="Arial" w:hAnsi="Arial" w:cs="Arial"/>
            <w:noProof/>
          </w:rPr>
          <w:t>281</w:t>
        </w:r>
      </w:hyperlink>
      <w:r w:rsidR="008E761B">
        <w:rPr>
          <w:rFonts w:ascii="Arial" w:hAnsi="Arial" w:cs="Arial"/>
          <w:noProof/>
        </w:rPr>
        <w:t xml:space="preserve">, </w:t>
      </w:r>
      <w:hyperlink w:anchor="_ENREF_282" w:tooltip="Boonen, 2005 #447" w:history="1">
        <w:r w:rsidR="003B725E">
          <w:rPr>
            <w:rFonts w:ascii="Arial" w:hAnsi="Arial" w:cs="Arial"/>
            <w:noProof/>
          </w:rPr>
          <w:t>282</w:t>
        </w:r>
      </w:hyperlink>
      <w:r w:rsidR="008E761B">
        <w:rPr>
          <w:rFonts w:ascii="Arial" w:hAnsi="Arial" w:cs="Arial"/>
          <w:noProof/>
        </w:rPr>
        <w:t>)</w:t>
      </w:r>
      <w:r w:rsidR="00F15E04">
        <w:rPr>
          <w:rFonts w:ascii="Arial" w:hAnsi="Arial" w:cs="Arial"/>
        </w:rPr>
        <w:fldChar w:fldCharType="end"/>
      </w:r>
      <w:r w:rsidR="00FC54AB" w:rsidRPr="00945C20">
        <w:rPr>
          <w:rFonts w:ascii="Arial" w:hAnsi="Arial" w:cs="Arial"/>
        </w:rPr>
        <w:t xml:space="preserve">. The differences of the effects of bisphosphonates on bone turnover and fracture risk are difficult to investigate in great detail due to the lack of head-to-head randomised clinical trials being performed. </w:t>
      </w:r>
      <w:r w:rsidR="00405179" w:rsidRPr="00945C20">
        <w:rPr>
          <w:rFonts w:ascii="Arial" w:hAnsi="Arial" w:cs="Arial"/>
        </w:rPr>
        <w:t>Such trials would need to be extremely</w:t>
      </w:r>
      <w:r w:rsidR="006C59D5" w:rsidRPr="00945C20">
        <w:rPr>
          <w:rFonts w:ascii="Arial" w:hAnsi="Arial" w:cs="Arial"/>
        </w:rPr>
        <w:t xml:space="preserve"> large, however</w:t>
      </w:r>
      <w:r w:rsidR="00405179" w:rsidRPr="00945C20">
        <w:rPr>
          <w:rFonts w:ascii="Arial" w:hAnsi="Arial" w:cs="Arial"/>
        </w:rPr>
        <w:t xml:space="preserve"> different approach</w:t>
      </w:r>
      <w:r w:rsidR="006C59D5" w:rsidRPr="00945C20">
        <w:rPr>
          <w:rFonts w:ascii="Arial" w:hAnsi="Arial" w:cs="Arial"/>
        </w:rPr>
        <w:t>es</w:t>
      </w:r>
      <w:r w:rsidR="00FC54AB" w:rsidRPr="00945C20">
        <w:rPr>
          <w:rFonts w:ascii="Arial" w:hAnsi="Arial" w:cs="Arial"/>
        </w:rPr>
        <w:t xml:space="preserve"> can be made in order to investigate</w:t>
      </w:r>
      <w:r w:rsidR="00405179" w:rsidRPr="00945C20">
        <w:rPr>
          <w:rFonts w:ascii="Arial" w:hAnsi="Arial" w:cs="Arial"/>
        </w:rPr>
        <w:t xml:space="preserve"> this. Large population-based observational studies can help identify the determinants </w:t>
      </w:r>
      <w:r w:rsidR="00355DFF" w:rsidRPr="00945C20">
        <w:rPr>
          <w:rFonts w:ascii="Arial" w:hAnsi="Arial" w:cs="Arial"/>
        </w:rPr>
        <w:t>and how these</w:t>
      </w:r>
      <w:r w:rsidR="00405179" w:rsidRPr="00945C20">
        <w:rPr>
          <w:rFonts w:ascii="Arial" w:hAnsi="Arial" w:cs="Arial"/>
        </w:rPr>
        <w:t xml:space="preserve"> may be related to the risk of fracture (for example changes in bone turnover, bone balance, BMD and bone loss) and contribute </w:t>
      </w:r>
      <w:r w:rsidR="00355DFF" w:rsidRPr="00945C20">
        <w:rPr>
          <w:rFonts w:ascii="Arial" w:hAnsi="Arial" w:cs="Arial"/>
        </w:rPr>
        <w:t xml:space="preserve">to the evidence base </w:t>
      </w:r>
      <w:r w:rsidR="00B853DA">
        <w:rPr>
          <w:rFonts w:ascii="Arial" w:hAnsi="Arial" w:cs="Arial"/>
        </w:rPr>
        <w:fldChar w:fldCharType="begin">
          <w:fldData xml:space="preserve">PEVuZE5vdGU+PENpdGU+PEF1dGhvcj5LYW5pczwvQXV0aG9yPjxZZWFyPjIwMDc8L1llYXI+PFJl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PEVuZE5vdGU+PENpdGU+PEF1dGhvcj5LYW5pczwvQXV0aG9yPjxZZWFyPjIwMDc8L1llYXI+PFJl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853DA">
        <w:rPr>
          <w:rFonts w:ascii="Arial" w:hAnsi="Arial" w:cs="Arial"/>
        </w:rPr>
      </w:r>
      <w:r w:rsidR="00B853DA">
        <w:rPr>
          <w:rFonts w:ascii="Arial" w:hAnsi="Arial" w:cs="Arial"/>
        </w:rPr>
        <w:fldChar w:fldCharType="separate"/>
      </w:r>
      <w:r w:rsidR="008E761B">
        <w:rPr>
          <w:rFonts w:ascii="Arial" w:hAnsi="Arial" w:cs="Arial"/>
          <w:noProof/>
        </w:rPr>
        <w:t>(</w:t>
      </w:r>
      <w:hyperlink w:anchor="_ENREF_283" w:tooltip="Kanis, 2007 #448" w:history="1">
        <w:r w:rsidR="003B725E">
          <w:rPr>
            <w:rFonts w:ascii="Arial" w:hAnsi="Arial" w:cs="Arial"/>
            <w:noProof/>
          </w:rPr>
          <w:t>283</w:t>
        </w:r>
      </w:hyperlink>
      <w:r w:rsidR="008E761B">
        <w:rPr>
          <w:rFonts w:ascii="Arial" w:hAnsi="Arial" w:cs="Arial"/>
          <w:noProof/>
        </w:rPr>
        <w:t>)</w:t>
      </w:r>
      <w:r w:rsidR="00B853DA">
        <w:rPr>
          <w:rFonts w:ascii="Arial" w:hAnsi="Arial" w:cs="Arial"/>
        </w:rPr>
        <w:fldChar w:fldCharType="end"/>
      </w:r>
      <w:r w:rsidR="00405179" w:rsidRPr="00945C20">
        <w:rPr>
          <w:rFonts w:ascii="Arial" w:hAnsi="Arial" w:cs="Arial"/>
        </w:rPr>
        <w:t>.</w:t>
      </w:r>
      <w:r w:rsidR="00451F24" w:rsidRPr="00945C20">
        <w:rPr>
          <w:rFonts w:ascii="Arial" w:hAnsi="Arial" w:cs="Arial"/>
        </w:rPr>
        <w:t xml:space="preserve"> In addition the different changes in bone turnover markers observed with the licenced bisphosphonates need to be further investigated in a head-to-head randomised controlled trial. The differences in these </w:t>
      </w:r>
      <w:r w:rsidR="00DC2D13" w:rsidRPr="00945C20">
        <w:rPr>
          <w:rFonts w:ascii="Arial" w:hAnsi="Arial" w:cs="Arial"/>
        </w:rPr>
        <w:t>change</w:t>
      </w:r>
      <w:r w:rsidR="00613E8E">
        <w:rPr>
          <w:rFonts w:ascii="Arial" w:hAnsi="Arial" w:cs="Arial"/>
        </w:rPr>
        <w:t>s</w:t>
      </w:r>
      <w:r w:rsidR="00DC2D13" w:rsidRPr="00945C20">
        <w:rPr>
          <w:rFonts w:ascii="Arial" w:hAnsi="Arial" w:cs="Arial"/>
        </w:rPr>
        <w:t xml:space="preserve"> </w:t>
      </w:r>
      <w:r w:rsidR="00451F24" w:rsidRPr="00945C20">
        <w:rPr>
          <w:rFonts w:ascii="Arial" w:hAnsi="Arial" w:cs="Arial"/>
        </w:rPr>
        <w:t xml:space="preserve">may be due to </w:t>
      </w:r>
      <w:r w:rsidR="00DC2D13" w:rsidRPr="00945C20">
        <w:rPr>
          <w:rFonts w:ascii="Arial" w:hAnsi="Arial" w:cs="Arial"/>
        </w:rPr>
        <w:t xml:space="preserve">the bisphosphonates mechanisms of actions that have not yet been investigated in postmenopausal </w:t>
      </w:r>
      <w:r w:rsidR="00DC2D13" w:rsidRPr="00945C20">
        <w:rPr>
          <w:rFonts w:ascii="Arial" w:hAnsi="Arial" w:cs="Arial"/>
        </w:rPr>
        <w:lastRenderedPageBreak/>
        <w:t>osteoporosis. Findings from these may help us understand the clinical relevance in these differences.</w:t>
      </w:r>
      <w:r w:rsidR="00451F24" w:rsidRPr="00945C20">
        <w:rPr>
          <w:rFonts w:ascii="Arial" w:hAnsi="Arial" w:cs="Arial"/>
        </w:rPr>
        <w:t xml:space="preserve"> </w:t>
      </w:r>
    </w:p>
    <w:p w:rsidR="00802FA5" w:rsidRDefault="008174AE" w:rsidP="003E6719">
      <w:pPr>
        <w:pStyle w:val="Heading4"/>
        <w:jc w:val="both"/>
      </w:pPr>
      <w:r>
        <w:t>Selective estrogen receptor modulators (</w:t>
      </w:r>
      <w:r w:rsidR="00802FA5" w:rsidRPr="00146FA1">
        <w:t>SERMs</w:t>
      </w:r>
      <w:r>
        <w:t>)</w:t>
      </w:r>
    </w:p>
    <w:p w:rsidR="008174AE" w:rsidRDefault="008174AE" w:rsidP="003B725E">
      <w:pPr>
        <w:spacing w:line="360" w:lineRule="auto"/>
        <w:jc w:val="both"/>
        <w:rPr>
          <w:rFonts w:ascii="Arial" w:hAnsi="Arial" w:cs="Arial"/>
        </w:rPr>
      </w:pPr>
      <w:r w:rsidRPr="00C14CC4">
        <w:rPr>
          <w:rFonts w:ascii="Arial" w:hAnsi="Arial" w:cs="Arial"/>
        </w:rPr>
        <w:t>SERMs ar</w:t>
      </w:r>
      <w:r w:rsidR="00571631">
        <w:rPr>
          <w:rFonts w:ascii="Arial" w:hAnsi="Arial" w:cs="Arial"/>
        </w:rPr>
        <w:t xml:space="preserve">e synthetic non-steroidal </w:t>
      </w:r>
      <w:r w:rsidR="00553F77">
        <w:rPr>
          <w:rFonts w:ascii="Arial" w:hAnsi="Arial" w:cs="Arial"/>
        </w:rPr>
        <w:t>compounds</w:t>
      </w:r>
      <w:r w:rsidRPr="00C14CC4">
        <w:rPr>
          <w:rFonts w:ascii="Arial" w:hAnsi="Arial" w:cs="Arial"/>
        </w:rPr>
        <w:t xml:space="preserve"> which exert estrogen-like agonist and antagonist</w:t>
      </w:r>
      <w:r w:rsidR="002549D0" w:rsidRPr="00C14CC4">
        <w:rPr>
          <w:rFonts w:ascii="Arial" w:hAnsi="Arial" w:cs="Arial"/>
        </w:rPr>
        <w:t xml:space="preserve"> properties on</w:t>
      </w:r>
      <w:r w:rsidRPr="00C14CC4">
        <w:rPr>
          <w:rFonts w:ascii="Arial" w:hAnsi="Arial" w:cs="Arial"/>
        </w:rPr>
        <w:t xml:space="preserve"> tissues that express the estrogen receptor</w:t>
      </w:r>
      <w:r w:rsidR="002549D0" w:rsidRPr="00C14CC4">
        <w:rPr>
          <w:rFonts w:ascii="Arial" w:hAnsi="Arial" w:cs="Arial"/>
        </w:rPr>
        <w:t>, such as bone, heart, breast and endometrium</w:t>
      </w:r>
      <w:r w:rsidR="00580D38">
        <w:rPr>
          <w:rFonts w:ascii="Arial" w:hAnsi="Arial" w:cs="Arial"/>
        </w:rPr>
        <w:fldChar w:fldCharType="begin">
          <w:fldData xml:space="preserve">PEVuZE5vdGU+PENpdGU+PEF1dGhvcj5QaW5rZXJ0b248L0F1dGhvcj48WWVhcj4yMDE0PC9ZZWFy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PEVuZE5vdGU+PENpdGU+PEF1dGhvcj5QaW5rZXJ0b248L0F1dGhvcj48WWVhcj4yMDE0PC9ZZWFy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580D38">
        <w:rPr>
          <w:rFonts w:ascii="Arial" w:hAnsi="Arial" w:cs="Arial"/>
        </w:rPr>
      </w:r>
      <w:r w:rsidR="00580D38">
        <w:rPr>
          <w:rFonts w:ascii="Arial" w:hAnsi="Arial" w:cs="Arial"/>
        </w:rPr>
        <w:fldChar w:fldCharType="separate"/>
      </w:r>
      <w:r w:rsidR="008E761B">
        <w:rPr>
          <w:rFonts w:ascii="Arial" w:hAnsi="Arial" w:cs="Arial"/>
          <w:noProof/>
        </w:rPr>
        <w:t>(</w:t>
      </w:r>
      <w:hyperlink w:anchor="_ENREF_284" w:tooltip="Pinkerton, 2014 #131" w:history="1">
        <w:r w:rsidR="003B725E">
          <w:rPr>
            <w:rFonts w:ascii="Arial" w:hAnsi="Arial" w:cs="Arial"/>
            <w:noProof/>
          </w:rPr>
          <w:t>284</w:t>
        </w:r>
      </w:hyperlink>
      <w:r w:rsidR="008E761B">
        <w:rPr>
          <w:rFonts w:ascii="Arial" w:hAnsi="Arial" w:cs="Arial"/>
          <w:noProof/>
        </w:rPr>
        <w:t xml:space="preserve">, </w:t>
      </w:r>
      <w:hyperlink w:anchor="_ENREF_285" w:tooltip="Komm, 2014 #132" w:history="1">
        <w:r w:rsidR="003B725E">
          <w:rPr>
            <w:rFonts w:ascii="Arial" w:hAnsi="Arial" w:cs="Arial"/>
            <w:noProof/>
          </w:rPr>
          <w:t>285</w:t>
        </w:r>
      </w:hyperlink>
      <w:r w:rsidR="008E761B">
        <w:rPr>
          <w:rFonts w:ascii="Arial" w:hAnsi="Arial" w:cs="Arial"/>
          <w:noProof/>
        </w:rPr>
        <w:t>)</w:t>
      </w:r>
      <w:r w:rsidR="00580D38">
        <w:rPr>
          <w:rFonts w:ascii="Arial" w:hAnsi="Arial" w:cs="Arial"/>
        </w:rPr>
        <w:fldChar w:fldCharType="end"/>
      </w:r>
      <w:r w:rsidR="002549D0" w:rsidRPr="00C14CC4">
        <w:rPr>
          <w:rFonts w:ascii="Arial" w:hAnsi="Arial" w:cs="Arial"/>
        </w:rPr>
        <w:t xml:space="preserve">. </w:t>
      </w:r>
      <w:r w:rsidR="00571631">
        <w:rPr>
          <w:rFonts w:ascii="Arial" w:hAnsi="Arial" w:cs="Arial"/>
        </w:rPr>
        <w:t>They are used to treat osteoporosis, breast cancer</w:t>
      </w:r>
      <w:r w:rsidR="00590CEA">
        <w:rPr>
          <w:rFonts w:ascii="Arial" w:hAnsi="Arial" w:cs="Arial"/>
        </w:rPr>
        <w:t>, dyspareunia</w:t>
      </w:r>
      <w:r w:rsidR="00571631">
        <w:rPr>
          <w:rFonts w:ascii="Arial" w:hAnsi="Arial" w:cs="Arial"/>
        </w:rPr>
        <w:t xml:space="preserve"> and menopausal symptoms, with endometrial safety</w:t>
      </w:r>
      <w:r w:rsidR="003C5916">
        <w:rPr>
          <w:rFonts w:ascii="Arial" w:hAnsi="Arial" w:cs="Arial"/>
        </w:rPr>
        <w:t xml:space="preserve"> being a key factor in their us</w:t>
      </w:r>
      <w:r w:rsidR="00580D38">
        <w:rPr>
          <w:rFonts w:ascii="Arial" w:hAnsi="Arial" w:cs="Arial"/>
        </w:rPr>
        <w:t xml:space="preserve">e </w:t>
      </w:r>
      <w:r w:rsidR="00580D38">
        <w:rPr>
          <w:rFonts w:ascii="Arial" w:hAnsi="Arial" w:cs="Arial"/>
        </w:rPr>
        <w:fldChar w:fldCharType="begin">
          <w:fldData xml:space="preserve">PEVuZE5vdGU+PENpdGU+PEF1dGhvcj5QaW5rZXJ0b248L0F1dGhvcj48WWVhcj4yMDEwPC9ZZWFy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PEVuZE5vdGU+PENpdGU+PEF1dGhvcj5QaW5rZXJ0b248L0F1dGhvcj48WWVhcj4yMDEwPC9ZZWFy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580D38">
        <w:rPr>
          <w:rFonts w:ascii="Arial" w:hAnsi="Arial" w:cs="Arial"/>
        </w:rPr>
      </w:r>
      <w:r w:rsidR="00580D38">
        <w:rPr>
          <w:rFonts w:ascii="Arial" w:hAnsi="Arial" w:cs="Arial"/>
        </w:rPr>
        <w:fldChar w:fldCharType="separate"/>
      </w:r>
      <w:r w:rsidR="008E761B">
        <w:rPr>
          <w:rFonts w:ascii="Arial" w:hAnsi="Arial" w:cs="Arial"/>
          <w:noProof/>
        </w:rPr>
        <w:t>(</w:t>
      </w:r>
      <w:hyperlink w:anchor="_ENREF_286" w:tooltip="Pinkerton, 2010 #133" w:history="1">
        <w:r w:rsidR="003B725E">
          <w:rPr>
            <w:rFonts w:ascii="Arial" w:hAnsi="Arial" w:cs="Arial"/>
            <w:noProof/>
          </w:rPr>
          <w:t>286</w:t>
        </w:r>
      </w:hyperlink>
      <w:r w:rsidR="008E761B">
        <w:rPr>
          <w:rFonts w:ascii="Arial" w:hAnsi="Arial" w:cs="Arial"/>
          <w:noProof/>
        </w:rPr>
        <w:t>)</w:t>
      </w:r>
      <w:r w:rsidR="00580D38">
        <w:rPr>
          <w:rFonts w:ascii="Arial" w:hAnsi="Arial" w:cs="Arial"/>
        </w:rPr>
        <w:fldChar w:fldCharType="end"/>
      </w:r>
      <w:r w:rsidR="00571631">
        <w:rPr>
          <w:rFonts w:ascii="Arial" w:hAnsi="Arial" w:cs="Arial"/>
        </w:rPr>
        <w:t xml:space="preserve">. </w:t>
      </w:r>
      <w:r w:rsidR="002549D0" w:rsidRPr="00C14CC4">
        <w:rPr>
          <w:rFonts w:ascii="Arial" w:hAnsi="Arial" w:cs="Arial"/>
        </w:rPr>
        <w:t>Their mode of action</w:t>
      </w:r>
      <w:r w:rsidR="009B13E0">
        <w:rPr>
          <w:rFonts w:ascii="Arial" w:hAnsi="Arial" w:cs="Arial"/>
        </w:rPr>
        <w:t xml:space="preserve"> </w:t>
      </w:r>
      <w:r w:rsidR="00054E15">
        <w:rPr>
          <w:rFonts w:ascii="Arial" w:hAnsi="Arial" w:cs="Arial"/>
        </w:rPr>
        <w:t>is varied; they bind</w:t>
      </w:r>
      <w:r w:rsidR="002549D0" w:rsidRPr="00C14CC4">
        <w:rPr>
          <w:rFonts w:ascii="Arial" w:hAnsi="Arial" w:cs="Arial"/>
        </w:rPr>
        <w:t xml:space="preserve"> to the estrogen receptor</w:t>
      </w:r>
      <w:r w:rsidR="00054E15">
        <w:rPr>
          <w:rFonts w:ascii="Arial" w:hAnsi="Arial" w:cs="Arial"/>
        </w:rPr>
        <w:t>s</w:t>
      </w:r>
      <w:r w:rsidR="004B2D6D" w:rsidRPr="00C14CC4">
        <w:rPr>
          <w:rFonts w:ascii="Arial" w:hAnsi="Arial" w:cs="Arial"/>
        </w:rPr>
        <w:t xml:space="preserve"> either ERα </w:t>
      </w:r>
      <w:r w:rsidR="00054E15">
        <w:rPr>
          <w:rFonts w:ascii="Arial" w:hAnsi="Arial" w:cs="Arial"/>
        </w:rPr>
        <w:t>and/</w:t>
      </w:r>
      <w:r w:rsidR="004B2D6D" w:rsidRPr="00C14CC4">
        <w:rPr>
          <w:rFonts w:ascii="Arial" w:hAnsi="Arial" w:cs="Arial"/>
        </w:rPr>
        <w:t>or ERβ</w:t>
      </w:r>
      <w:r w:rsidR="00054E15">
        <w:rPr>
          <w:rFonts w:ascii="Arial" w:hAnsi="Arial" w:cs="Arial"/>
        </w:rPr>
        <w:t xml:space="preserve">, </w:t>
      </w:r>
      <w:r w:rsidR="00B44B3D">
        <w:rPr>
          <w:rFonts w:ascii="Arial" w:hAnsi="Arial" w:cs="Arial"/>
        </w:rPr>
        <w:t>regulating</w:t>
      </w:r>
      <w:r w:rsidR="004B2D6D" w:rsidRPr="00C14CC4">
        <w:rPr>
          <w:rFonts w:ascii="Arial" w:hAnsi="Arial" w:cs="Arial"/>
        </w:rPr>
        <w:t xml:space="preserve"> gene transcription</w:t>
      </w:r>
      <w:r w:rsidR="00984F03">
        <w:rPr>
          <w:rFonts w:ascii="Arial" w:hAnsi="Arial" w:cs="Arial"/>
        </w:rPr>
        <w:t xml:space="preserve"> </w:t>
      </w:r>
      <w:r w:rsidR="00054E15">
        <w:rPr>
          <w:rFonts w:ascii="Arial" w:hAnsi="Arial" w:cs="Arial"/>
        </w:rPr>
        <w:t xml:space="preserve">and exerting specific physiological effects </w:t>
      </w:r>
      <w:r w:rsidR="00B92937">
        <w:rPr>
          <w:rFonts w:ascii="Arial" w:hAnsi="Arial" w:cs="Arial"/>
        </w:rPr>
        <w:fldChar w:fldCharType="begin">
          <w:fldData xml:space="preserve">PEVuZE5vdGU+PENpdGU+PEF1dGhvcj5Pc2Jvcm5lPC9BdXRob3I+PFllYXI+MjAwMDwvWWVhcj48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PEVuZE5vdGU+PENpdGU+PEF1dGhvcj5Pc2Jvcm5lPC9BdXRob3I+PFllYXI+MjAwMDwvWWVhcj48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B92937">
        <w:rPr>
          <w:rFonts w:ascii="Arial" w:hAnsi="Arial" w:cs="Arial"/>
        </w:rPr>
      </w:r>
      <w:r w:rsidR="00B92937">
        <w:rPr>
          <w:rFonts w:ascii="Arial" w:hAnsi="Arial" w:cs="Arial"/>
        </w:rPr>
        <w:fldChar w:fldCharType="separate"/>
      </w:r>
      <w:r w:rsidR="008E761B">
        <w:rPr>
          <w:rFonts w:ascii="Arial" w:hAnsi="Arial" w:cs="Arial"/>
          <w:noProof/>
        </w:rPr>
        <w:t>(</w:t>
      </w:r>
      <w:hyperlink w:anchor="_ENREF_287" w:tooltip="Osborne, 2000 #134" w:history="1">
        <w:r w:rsidR="003B725E">
          <w:rPr>
            <w:rFonts w:ascii="Arial" w:hAnsi="Arial" w:cs="Arial"/>
            <w:noProof/>
          </w:rPr>
          <w:t>287</w:t>
        </w:r>
      </w:hyperlink>
      <w:r w:rsidR="008E761B">
        <w:rPr>
          <w:rFonts w:ascii="Arial" w:hAnsi="Arial" w:cs="Arial"/>
          <w:noProof/>
        </w:rPr>
        <w:t>)</w:t>
      </w:r>
      <w:r w:rsidR="00B92937">
        <w:rPr>
          <w:rFonts w:ascii="Arial" w:hAnsi="Arial" w:cs="Arial"/>
        </w:rPr>
        <w:fldChar w:fldCharType="end"/>
      </w:r>
      <w:r w:rsidR="00B92937">
        <w:rPr>
          <w:rFonts w:ascii="Arial" w:hAnsi="Arial" w:cs="Arial"/>
        </w:rPr>
        <w:t xml:space="preserve"> </w:t>
      </w:r>
      <w:r w:rsidR="00066C53">
        <w:rPr>
          <w:rFonts w:ascii="Arial" w:hAnsi="Arial" w:cs="Arial"/>
        </w:rPr>
        <w:t xml:space="preserve">related to pathological and therapeutic processes </w:t>
      </w:r>
      <w:r w:rsidR="00B92937">
        <w:rPr>
          <w:rFonts w:ascii="Arial" w:hAnsi="Arial" w:cs="Arial"/>
        </w:rPr>
        <w:fldChar w:fldCharType="begin"/>
      </w:r>
      <w:r w:rsidR="008E761B">
        <w:rPr>
          <w:rFonts w:ascii="Arial" w:hAnsi="Arial" w:cs="Arial"/>
        </w:rPr>
        <w:instrText xml:space="preserve"> ADDIN EN.CITE &lt;EndNote&gt;&lt;Cite&gt;&lt;Author&gt;Williams&lt;/Author&gt;&lt;Year&gt;2013&lt;/Year&gt;&lt;RecNum&gt;135&lt;/RecNum&gt;&lt;DisplayText&gt;(288)&lt;/DisplayText&gt;&lt;record&gt;&lt;rec-number&gt;135&lt;/rec-number&gt;&lt;foreign-keys&gt;&lt;key app="EN" db-id="p9a5ttsvyvde9me5aw2x05fp5p55axf0wr90" timestamp="1417715009"&gt;135&lt;/key&gt;&lt;/foreign-keys&gt;&lt;ref-type name="Journal Article"&gt;17&lt;/ref-type&gt;&lt;contributors&gt;&lt;authors&gt;&lt;author&gt;Williams, C.&lt;/author&gt;&lt;author&gt;Lin, C. Y.&lt;/author&gt;&lt;/authors&gt;&lt;/contributors&gt;&lt;auth-address&gt;Center for Nuclear Receptors and Cell Signaling, Department of Biology and Biochemistry, University of Houston, Houston, Texas 77204, USA.&lt;/auth-address&gt;&lt;titles&gt;&lt;title&gt;Oestrogen receptors in breast cancer: basic mechanisms and clinical implications&lt;/title&gt;&lt;secondary-title&gt;Ecancermedicalscience&lt;/secondary-title&gt;&lt;alt-title&gt;Ecancermedicalscience&lt;/alt-title&gt;&lt;/titles&gt;&lt;periodical&gt;&lt;full-title&gt;Ecancermedicalscience&lt;/full-title&gt;&lt;abbr-1&gt;Ecancermedicalscience&lt;/abbr-1&gt;&lt;/periodical&gt;&lt;alt-periodical&gt;&lt;full-title&gt;Ecancermedicalscience&lt;/full-title&gt;&lt;abbr-1&gt;Ecancermedicalscience&lt;/abbr-1&gt;&lt;/alt-periodical&gt;&lt;pages&gt;370&lt;/pages&gt;&lt;volume&gt;7&lt;/volume&gt;&lt;edition&gt;2013/11/14&lt;/edition&gt;&lt;dates&gt;&lt;year&gt;2013&lt;/year&gt;&lt;/dates&gt;&lt;isbn&gt;1754-6605 (Electronic)&amp;#xD;1754-6605 (Linking)&lt;/isbn&gt;&lt;accession-num&gt;24222786&lt;/accession-num&gt;&lt;urls&gt;&lt;/urls&gt;&lt;custom2&gt;PMC3816846&lt;/custom2&gt;&lt;electronic-resource-num&gt;10.3332/ecancer.2013.370&lt;/electronic-resource-num&gt;&lt;remote-database-provider&gt;NLM&lt;/remote-database-provider&gt;&lt;language&gt;eng&lt;/language&gt;&lt;/record&gt;&lt;/Cite&gt;&lt;/EndNote&gt;</w:instrText>
      </w:r>
      <w:r w:rsidR="00B92937">
        <w:rPr>
          <w:rFonts w:ascii="Arial" w:hAnsi="Arial" w:cs="Arial"/>
        </w:rPr>
        <w:fldChar w:fldCharType="separate"/>
      </w:r>
      <w:r w:rsidR="008E761B">
        <w:rPr>
          <w:rFonts w:ascii="Arial" w:hAnsi="Arial" w:cs="Arial"/>
          <w:noProof/>
        </w:rPr>
        <w:t>(</w:t>
      </w:r>
      <w:hyperlink w:anchor="_ENREF_288" w:tooltip="Williams, 2013 #135" w:history="1">
        <w:r w:rsidR="003B725E">
          <w:rPr>
            <w:rFonts w:ascii="Arial" w:hAnsi="Arial" w:cs="Arial"/>
            <w:noProof/>
          </w:rPr>
          <w:t>288</w:t>
        </w:r>
      </w:hyperlink>
      <w:r w:rsidR="008E761B">
        <w:rPr>
          <w:rFonts w:ascii="Arial" w:hAnsi="Arial" w:cs="Arial"/>
          <w:noProof/>
        </w:rPr>
        <w:t>)</w:t>
      </w:r>
      <w:r w:rsidR="00B92937">
        <w:rPr>
          <w:rFonts w:ascii="Arial" w:hAnsi="Arial" w:cs="Arial"/>
        </w:rPr>
        <w:fldChar w:fldCharType="end"/>
      </w:r>
      <w:r w:rsidR="00DA6B25">
        <w:rPr>
          <w:rFonts w:ascii="Arial" w:hAnsi="Arial" w:cs="Arial"/>
        </w:rPr>
        <w:t>, (Figure 18</w:t>
      </w:r>
      <w:r w:rsidR="00A95248">
        <w:rPr>
          <w:rFonts w:ascii="Arial" w:hAnsi="Arial" w:cs="Arial"/>
        </w:rPr>
        <w:t>)</w:t>
      </w:r>
      <w:r w:rsidR="00B92937">
        <w:rPr>
          <w:rFonts w:ascii="Arial" w:hAnsi="Arial" w:cs="Arial"/>
        </w:rPr>
        <w:t>.</w:t>
      </w:r>
      <w:r w:rsidR="00054E15">
        <w:rPr>
          <w:rFonts w:ascii="Arial" w:hAnsi="Arial" w:cs="Arial"/>
        </w:rPr>
        <w:t xml:space="preserve"> This mechanism </w:t>
      </w:r>
      <w:r w:rsidR="004B2D6D" w:rsidRPr="00C14CC4">
        <w:rPr>
          <w:rFonts w:ascii="Arial" w:hAnsi="Arial" w:cs="Arial"/>
        </w:rPr>
        <w:t xml:space="preserve">varies according to the type </w:t>
      </w:r>
      <w:r w:rsidR="00054E15">
        <w:rPr>
          <w:rFonts w:ascii="Arial" w:hAnsi="Arial" w:cs="Arial"/>
        </w:rPr>
        <w:t xml:space="preserve">and expression </w:t>
      </w:r>
      <w:r w:rsidR="004B2D6D" w:rsidRPr="00C14CC4">
        <w:rPr>
          <w:rFonts w:ascii="Arial" w:hAnsi="Arial" w:cs="Arial"/>
        </w:rPr>
        <w:t>of receptor</w:t>
      </w:r>
      <w:r w:rsidR="00054E15">
        <w:rPr>
          <w:rFonts w:ascii="Arial" w:hAnsi="Arial" w:cs="Arial"/>
        </w:rPr>
        <w:t xml:space="preserve"> on the tissue</w:t>
      </w:r>
      <w:r w:rsidR="004B2D6D" w:rsidRPr="00C14CC4">
        <w:rPr>
          <w:rFonts w:ascii="Arial" w:hAnsi="Arial" w:cs="Arial"/>
        </w:rPr>
        <w:t>, the complex it forms with the co</w:t>
      </w:r>
      <w:r w:rsidR="005C46B4" w:rsidRPr="00C14CC4">
        <w:rPr>
          <w:rFonts w:ascii="Arial" w:hAnsi="Arial" w:cs="Arial"/>
        </w:rPr>
        <w:t>-</w:t>
      </w:r>
      <w:r w:rsidR="004B2D6D" w:rsidRPr="00C14CC4">
        <w:rPr>
          <w:rFonts w:ascii="Arial" w:hAnsi="Arial" w:cs="Arial"/>
        </w:rPr>
        <w:t>regulator</w:t>
      </w:r>
      <w:r w:rsidR="005C46B4" w:rsidRPr="00C14CC4">
        <w:rPr>
          <w:rFonts w:ascii="Arial" w:hAnsi="Arial" w:cs="Arial"/>
        </w:rPr>
        <w:t>s</w:t>
      </w:r>
      <w:r w:rsidR="004B2D6D" w:rsidRPr="00C14CC4">
        <w:rPr>
          <w:rFonts w:ascii="Arial" w:hAnsi="Arial" w:cs="Arial"/>
        </w:rPr>
        <w:t xml:space="preserve"> and the cellular environment of the target tissue </w:t>
      </w:r>
      <w:r w:rsidR="00580D38">
        <w:rPr>
          <w:rFonts w:ascii="Arial" w:hAnsi="Arial" w:cs="Arial"/>
        </w:rPr>
        <w:fldChar w:fldCharType="begin">
          <w:fldData xml:space="preserve">PEVuZE5vdGU+PENpdGU+PEF1dGhvcj5UZWU8L0F1dGhvcj48WWVhcj4yMDA0PC9ZZWFyPjxSZWNO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PEVuZE5vdGU+PENpdGU+PEF1dGhvcj5UZWU8L0F1dGhvcj48WWVhcj4yMDA0PC9ZZWFyPjxSZWNO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580D38">
        <w:rPr>
          <w:rFonts w:ascii="Arial" w:hAnsi="Arial" w:cs="Arial"/>
        </w:rPr>
      </w:r>
      <w:r w:rsidR="00580D38">
        <w:rPr>
          <w:rFonts w:ascii="Arial" w:hAnsi="Arial" w:cs="Arial"/>
        </w:rPr>
        <w:fldChar w:fldCharType="separate"/>
      </w:r>
      <w:r w:rsidR="008E761B">
        <w:rPr>
          <w:rFonts w:ascii="Arial" w:hAnsi="Arial" w:cs="Arial"/>
          <w:noProof/>
        </w:rPr>
        <w:t>(</w:t>
      </w:r>
      <w:hyperlink w:anchor="_ENREF_289" w:tooltip="Tee, 2004 #136" w:history="1">
        <w:r w:rsidR="003B725E">
          <w:rPr>
            <w:rFonts w:ascii="Arial" w:hAnsi="Arial" w:cs="Arial"/>
            <w:noProof/>
          </w:rPr>
          <w:t>289</w:t>
        </w:r>
      </w:hyperlink>
      <w:r w:rsidR="008E761B">
        <w:rPr>
          <w:rFonts w:ascii="Arial" w:hAnsi="Arial" w:cs="Arial"/>
          <w:noProof/>
        </w:rPr>
        <w:t xml:space="preserve">, </w:t>
      </w:r>
      <w:hyperlink w:anchor="_ENREF_290" w:tooltip="Taylor, 2009 #137" w:history="1">
        <w:r w:rsidR="003B725E">
          <w:rPr>
            <w:rFonts w:ascii="Arial" w:hAnsi="Arial" w:cs="Arial"/>
            <w:noProof/>
          </w:rPr>
          <w:t>290</w:t>
        </w:r>
      </w:hyperlink>
      <w:r w:rsidR="008E761B">
        <w:rPr>
          <w:rFonts w:ascii="Arial" w:hAnsi="Arial" w:cs="Arial"/>
          <w:noProof/>
        </w:rPr>
        <w:t>)</w:t>
      </w:r>
      <w:r w:rsidR="00580D38">
        <w:rPr>
          <w:rFonts w:ascii="Arial" w:hAnsi="Arial" w:cs="Arial"/>
        </w:rPr>
        <w:fldChar w:fldCharType="end"/>
      </w:r>
      <w:r w:rsidR="00984F03">
        <w:rPr>
          <w:rFonts w:ascii="Arial" w:hAnsi="Arial" w:cs="Arial"/>
        </w:rPr>
        <w:t xml:space="preserve">. </w:t>
      </w:r>
      <w:r w:rsidR="00FE382B">
        <w:rPr>
          <w:rFonts w:ascii="Arial" w:hAnsi="Arial" w:cs="Arial"/>
        </w:rPr>
        <w:t xml:space="preserve">SERMs either activate or inhibit the </w:t>
      </w:r>
      <w:r w:rsidR="00571631">
        <w:rPr>
          <w:rFonts w:ascii="Arial" w:hAnsi="Arial" w:cs="Arial"/>
        </w:rPr>
        <w:t xml:space="preserve">effects of </w:t>
      </w:r>
      <w:r w:rsidR="00FE382B">
        <w:rPr>
          <w:rFonts w:ascii="Arial" w:hAnsi="Arial" w:cs="Arial"/>
        </w:rPr>
        <w:t>es</w:t>
      </w:r>
      <w:r w:rsidR="00571631">
        <w:rPr>
          <w:rFonts w:ascii="Arial" w:hAnsi="Arial" w:cs="Arial"/>
        </w:rPr>
        <w:t>trogen, and these effects can vary between</w:t>
      </w:r>
      <w:r w:rsidR="00054E15">
        <w:rPr>
          <w:rFonts w:ascii="Arial" w:hAnsi="Arial" w:cs="Arial"/>
        </w:rPr>
        <w:t xml:space="preserve"> the compounds. </w:t>
      </w:r>
      <w:r w:rsidR="00571631">
        <w:rPr>
          <w:rFonts w:ascii="Arial" w:hAnsi="Arial" w:cs="Arial"/>
        </w:rPr>
        <w:t>For example raloxifene and bazed</w:t>
      </w:r>
      <w:r w:rsidR="00590CEA">
        <w:rPr>
          <w:rFonts w:ascii="Arial" w:hAnsi="Arial" w:cs="Arial"/>
        </w:rPr>
        <w:t>oxifene have neutral effects on the uterus whereas tamoxifen is an estrogen agonist, causing endometrial hyperplasia and malignancy. T</w:t>
      </w:r>
      <w:r w:rsidR="00066C53">
        <w:rPr>
          <w:rFonts w:ascii="Arial" w:hAnsi="Arial" w:cs="Arial"/>
        </w:rPr>
        <w:t>hese</w:t>
      </w:r>
      <w:r w:rsidR="00B92937">
        <w:rPr>
          <w:rFonts w:ascii="Arial" w:hAnsi="Arial" w:cs="Arial"/>
        </w:rPr>
        <w:t xml:space="preserve"> SERMs</w:t>
      </w:r>
      <w:r w:rsidR="005C46B4" w:rsidRPr="00C14CC4">
        <w:rPr>
          <w:rFonts w:ascii="Arial" w:hAnsi="Arial" w:cs="Arial"/>
        </w:rPr>
        <w:t xml:space="preserve"> have an estrogen agonist effect </w:t>
      </w:r>
      <w:r w:rsidR="00FE382B">
        <w:rPr>
          <w:rFonts w:ascii="Arial" w:hAnsi="Arial" w:cs="Arial"/>
        </w:rPr>
        <w:t xml:space="preserve">in bone </w:t>
      </w:r>
      <w:r w:rsidR="005C46B4" w:rsidRPr="00C14CC4">
        <w:rPr>
          <w:rFonts w:ascii="Arial" w:hAnsi="Arial" w:cs="Arial"/>
        </w:rPr>
        <w:t>and an a</w:t>
      </w:r>
      <w:r w:rsidR="00B3054D" w:rsidRPr="00C14CC4">
        <w:rPr>
          <w:rFonts w:ascii="Arial" w:hAnsi="Arial" w:cs="Arial"/>
        </w:rPr>
        <w:t xml:space="preserve">ntagonist effect in the breast </w:t>
      </w:r>
      <w:r w:rsidR="00580D38">
        <w:rPr>
          <w:rFonts w:ascii="Arial" w:hAnsi="Arial" w:cs="Arial"/>
        </w:rPr>
        <w:fldChar w:fldCharType="begin">
          <w:fldData xml:space="preserve">PEVuZE5vdGU+PENpdGU+PEF1dGhvcj5DdW1taW5nczwvQXV0aG9yPjxZZWFyPjIwMTA8L1llYXI+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ZGljYWw+PHBhZ2VzPjY4Ni05NjwvcGFnZXM+PHZvbHVtZT4zNjI8L3ZvbHVtZT48bnVtYmVyPjg8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=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PEVuZE5vdGU+PENpdGU+PEF1dGhvcj5DdW1taW5nczwvQXV0aG9yPjxZZWFyPjIwMTA8L1llYXI+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ZGljYWw+PHBhZ2VzPjY4Ni05NjwvcGFnZXM+PHZvbHVtZT4zNjI8L3ZvbHVtZT48bnVtYmVyPjg8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=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580D38">
        <w:rPr>
          <w:rFonts w:ascii="Arial" w:hAnsi="Arial" w:cs="Arial"/>
        </w:rPr>
      </w:r>
      <w:r w:rsidR="00580D38">
        <w:rPr>
          <w:rFonts w:ascii="Arial" w:hAnsi="Arial" w:cs="Arial"/>
        </w:rPr>
        <w:fldChar w:fldCharType="separate"/>
      </w:r>
      <w:r w:rsidR="008E761B">
        <w:rPr>
          <w:rFonts w:ascii="Arial" w:hAnsi="Arial" w:cs="Arial"/>
          <w:noProof/>
        </w:rPr>
        <w:t>(</w:t>
      </w:r>
      <w:hyperlink w:anchor="_ENREF_291" w:tooltip="Cummings, 2010 #138" w:history="1">
        <w:r w:rsidR="003B725E">
          <w:rPr>
            <w:rFonts w:ascii="Arial" w:hAnsi="Arial" w:cs="Arial"/>
            <w:noProof/>
          </w:rPr>
          <w:t>291-294</w:t>
        </w:r>
      </w:hyperlink>
      <w:r w:rsidR="008E761B">
        <w:rPr>
          <w:rFonts w:ascii="Arial" w:hAnsi="Arial" w:cs="Arial"/>
          <w:noProof/>
        </w:rPr>
        <w:t>)</w:t>
      </w:r>
      <w:r w:rsidR="00580D38">
        <w:rPr>
          <w:rFonts w:ascii="Arial" w:hAnsi="Arial" w:cs="Arial"/>
        </w:rPr>
        <w:fldChar w:fldCharType="end"/>
      </w:r>
      <w:r w:rsidR="004B7840">
        <w:rPr>
          <w:rFonts w:ascii="Arial" w:hAnsi="Arial" w:cs="Arial"/>
        </w:rPr>
        <w:t>.</w:t>
      </w:r>
      <w:r w:rsidR="003A7F02">
        <w:rPr>
          <w:rFonts w:ascii="Arial" w:hAnsi="Arial" w:cs="Arial"/>
        </w:rPr>
        <w:t xml:space="preserve"> </w:t>
      </w:r>
    </w:p>
    <w:p w:rsidR="00AF4E85" w:rsidRDefault="00AF4E85" w:rsidP="009D3BB6">
      <w:pPr>
        <w:keepNext/>
        <w:spacing w:line="360" w:lineRule="auto"/>
        <w:jc w:val="center"/>
      </w:pPr>
      <w:r w:rsidRPr="00AF4E85">
        <w:rPr>
          <w:noProof/>
          <w:lang w:eastAsia="zh-CN"/>
        </w:rPr>
        <w:drawing>
          <wp:inline distT="0" distB="0" distL="0" distR="0" wp14:anchorId="04B96A15" wp14:editId="58274B98">
            <wp:extent cx="3794166" cy="2049217"/>
            <wp:effectExtent l="0" t="0" r="0" b="8255"/>
            <wp:docPr id="18444" name="Picture 1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99612" cy="2052158"/>
                    </a:xfrm>
                    <a:prstGeom prst="rect">
                      <a:avLst/>
                    </a:prstGeom>
                    <a:noFill/>
                    <a:ln>
                      <a:noFill/>
                    </a:ln>
                  </pic:spPr>
                </pic:pic>
              </a:graphicData>
            </a:graphic>
          </wp:inline>
        </w:drawing>
      </w:r>
    </w:p>
    <w:p w:rsidR="00AF4E85" w:rsidRPr="00A95248" w:rsidRDefault="00AF4E85" w:rsidP="003B725E">
      <w:pPr>
        <w:pStyle w:val="Caption"/>
        <w:jc w:val="both"/>
        <w:rPr>
          <w:rFonts w:ascii="Arial" w:hAnsi="Arial" w:cs="Arial"/>
          <w:b w:val="0"/>
          <w:color w:val="auto"/>
        </w:rPr>
      </w:pPr>
      <w:bookmarkStart w:id="49" w:name="_Toc425419501"/>
      <w:r w:rsidRPr="00A95248">
        <w:rPr>
          <w:b w:val="0"/>
          <w:color w:val="auto"/>
        </w:rPr>
        <w:t xml:space="preserve">Figure </w:t>
      </w:r>
      <w:r w:rsidR="00EB13E1" w:rsidRPr="00A95248">
        <w:rPr>
          <w:b w:val="0"/>
          <w:color w:val="auto"/>
        </w:rPr>
        <w:fldChar w:fldCharType="begin"/>
      </w:r>
      <w:r w:rsidR="00EB13E1" w:rsidRPr="00A95248">
        <w:rPr>
          <w:b w:val="0"/>
          <w:color w:val="auto"/>
        </w:rPr>
        <w:instrText xml:space="preserve"> SEQ Figure \* ARABIC </w:instrText>
      </w:r>
      <w:r w:rsidR="00EB13E1" w:rsidRPr="00A95248">
        <w:rPr>
          <w:b w:val="0"/>
          <w:color w:val="auto"/>
        </w:rPr>
        <w:fldChar w:fldCharType="separate"/>
      </w:r>
      <w:r w:rsidR="0040369A">
        <w:rPr>
          <w:b w:val="0"/>
          <w:noProof/>
          <w:color w:val="auto"/>
        </w:rPr>
        <w:t>18</w:t>
      </w:r>
      <w:r w:rsidR="00EB13E1" w:rsidRPr="00A95248">
        <w:rPr>
          <w:b w:val="0"/>
          <w:noProof/>
          <w:color w:val="auto"/>
        </w:rPr>
        <w:fldChar w:fldCharType="end"/>
      </w:r>
      <w:r w:rsidRPr="00A95248">
        <w:rPr>
          <w:b w:val="0"/>
          <w:color w:val="auto"/>
        </w:rPr>
        <w:t xml:space="preserve">: The binding of SERMs to </w:t>
      </w:r>
      <w:r w:rsidR="00984F03" w:rsidRPr="00A95248">
        <w:rPr>
          <w:b w:val="0"/>
          <w:color w:val="auto"/>
        </w:rPr>
        <w:t>ERα and ERβ and gene transcription</w:t>
      </w:r>
      <w:r w:rsidR="003148CC">
        <w:rPr>
          <w:b w:val="0"/>
          <w:color w:val="auto"/>
        </w:rPr>
        <w:t xml:space="preserve">. Copyright (2015) </w:t>
      </w:r>
      <w:r w:rsidR="00984F03" w:rsidRPr="00A95248">
        <w:rPr>
          <w:b w:val="0"/>
          <w:color w:val="auto"/>
        </w:rPr>
        <w:t>permission from American Socie</w:t>
      </w:r>
      <w:r w:rsidR="003148CC">
        <w:rPr>
          <w:b w:val="0"/>
          <w:color w:val="auto"/>
        </w:rPr>
        <w:t>ty of Clinical Oncology</w:t>
      </w:r>
      <w:r w:rsidR="00B92937" w:rsidRPr="00A95248">
        <w:rPr>
          <w:b w:val="0"/>
          <w:color w:val="auto"/>
        </w:rPr>
        <w:t xml:space="preserve"> </w:t>
      </w:r>
      <w:r w:rsidR="00B92937" w:rsidRPr="00A95248">
        <w:rPr>
          <w:b w:val="0"/>
          <w:color w:val="auto"/>
        </w:rPr>
        <w:fldChar w:fldCharType="begin">
          <w:fldData xml:space="preserve">PEVuZE5vdGU+PENpdGU+PEF1dGhvcj5Pc2Jvcm5lPC9BdXRob3I+PFllYXI+MjAwMDwvWWVhcj48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</w:fldData>
        </w:fldChar>
      </w:r>
      <w:r w:rsidR="008E761B">
        <w:rPr>
          <w:b w:val="0"/>
          <w:color w:val="auto"/>
        </w:rPr>
        <w:instrText xml:space="preserve"> ADDIN EN.CITE </w:instrText>
      </w:r>
      <w:r w:rsidR="008E761B">
        <w:rPr>
          <w:b w:val="0"/>
          <w:color w:val="auto"/>
        </w:rPr>
        <w:fldChar w:fldCharType="begin">
          <w:fldData xml:space="preserve">PEVuZE5vdGU+PENpdGU+PEF1dGhvcj5Pc2Jvcm5lPC9BdXRob3I+PFllYXI+MjAwMDwvWWVhcj48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</w:fldData>
        </w:fldChar>
      </w:r>
      <w:r w:rsidR="008E761B">
        <w:rPr>
          <w:b w:val="0"/>
          <w:color w:val="auto"/>
        </w:rPr>
        <w:instrText xml:space="preserve"> ADDIN EN.CITE.DATA </w:instrText>
      </w:r>
      <w:r w:rsidR="008E761B">
        <w:rPr>
          <w:b w:val="0"/>
          <w:color w:val="auto"/>
        </w:rPr>
      </w:r>
      <w:r w:rsidR="008E761B">
        <w:rPr>
          <w:b w:val="0"/>
          <w:color w:val="auto"/>
        </w:rPr>
        <w:fldChar w:fldCharType="end"/>
      </w:r>
      <w:r w:rsidR="00B92937" w:rsidRPr="00A95248">
        <w:rPr>
          <w:b w:val="0"/>
          <w:color w:val="auto"/>
        </w:rPr>
      </w:r>
      <w:r w:rsidR="00B92937" w:rsidRPr="00A95248">
        <w:rPr>
          <w:b w:val="0"/>
          <w:color w:val="auto"/>
        </w:rPr>
        <w:fldChar w:fldCharType="separate"/>
      </w:r>
      <w:bookmarkEnd w:id="49"/>
      <w:r w:rsidR="008E761B">
        <w:rPr>
          <w:b w:val="0"/>
          <w:noProof/>
          <w:color w:val="auto"/>
        </w:rPr>
        <w:t>(</w:t>
      </w:r>
      <w:hyperlink w:anchor="_ENREF_287" w:tooltip="Osborne, 2000 #134" w:history="1">
        <w:r w:rsidR="003B725E">
          <w:rPr>
            <w:b w:val="0"/>
            <w:noProof/>
            <w:color w:val="auto"/>
          </w:rPr>
          <w:t>287</w:t>
        </w:r>
      </w:hyperlink>
      <w:r w:rsidR="008E761B">
        <w:rPr>
          <w:b w:val="0"/>
          <w:noProof/>
          <w:color w:val="auto"/>
        </w:rPr>
        <w:t>)</w:t>
      </w:r>
      <w:r w:rsidR="00B92937" w:rsidRPr="00A95248">
        <w:rPr>
          <w:b w:val="0"/>
          <w:color w:val="auto"/>
        </w:rPr>
        <w:fldChar w:fldCharType="end"/>
      </w:r>
    </w:p>
    <w:p w:rsidR="00590CEA" w:rsidRPr="00C14CC4" w:rsidRDefault="00066C53" w:rsidP="003B725E">
      <w:pPr>
        <w:spacing w:line="360" w:lineRule="auto"/>
        <w:jc w:val="both"/>
        <w:rPr>
          <w:rFonts w:ascii="Arial" w:hAnsi="Arial" w:cs="Arial"/>
        </w:rPr>
      </w:pPr>
      <w:r>
        <w:rPr>
          <w:rFonts w:ascii="Arial" w:hAnsi="Arial" w:cs="Arial"/>
        </w:rPr>
        <w:t>Several SERMs have been developed, evaluated and</w:t>
      </w:r>
      <w:r w:rsidR="00B3054D" w:rsidRPr="00C14CC4">
        <w:rPr>
          <w:rFonts w:ascii="Arial" w:hAnsi="Arial" w:cs="Arial"/>
        </w:rPr>
        <w:t xml:space="preserve"> approved for the management and treatment of several diseases including breast cancer and osteoporosis. The</w:t>
      </w:r>
      <w:r w:rsidR="007C343B" w:rsidRPr="00C14CC4">
        <w:rPr>
          <w:rFonts w:ascii="Arial" w:hAnsi="Arial" w:cs="Arial"/>
        </w:rPr>
        <w:t>ir</w:t>
      </w:r>
      <w:r w:rsidR="00B3054D" w:rsidRPr="00C14CC4">
        <w:rPr>
          <w:rFonts w:ascii="Arial" w:hAnsi="Arial" w:cs="Arial"/>
        </w:rPr>
        <w:t xml:space="preserve"> estrogen agonist effect on bone</w:t>
      </w:r>
      <w:r w:rsidR="007C343B" w:rsidRPr="00C14CC4">
        <w:rPr>
          <w:rFonts w:ascii="Arial" w:hAnsi="Arial" w:cs="Arial"/>
        </w:rPr>
        <w:t xml:space="preserve"> impro</w:t>
      </w:r>
      <w:r w:rsidR="006B60D7">
        <w:rPr>
          <w:rFonts w:ascii="Arial" w:hAnsi="Arial" w:cs="Arial"/>
        </w:rPr>
        <w:t>ves BMD by reducing bone loss</w:t>
      </w:r>
      <w:r w:rsidR="007C343B" w:rsidRPr="00C14CC4">
        <w:rPr>
          <w:rFonts w:ascii="Arial" w:hAnsi="Arial" w:cs="Arial"/>
        </w:rPr>
        <w:t xml:space="preserve"> and fracture risk </w:t>
      </w:r>
      <w:r w:rsidR="004B7840">
        <w:rPr>
          <w:rFonts w:ascii="Arial" w:hAnsi="Arial" w:cs="Arial"/>
        </w:rPr>
        <w:fldChar w:fldCharType="begin">
          <w:fldData xml:space="preserve">PEVuZE5vdGU+PENpdGU+PEF1dGhvcj5QaWNrYXI8L0F1dGhvcj48WWVhcj4yMDEwPC9ZZWFyPjxS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OTIzLTM0PC9wYWdlcz48dm9sdW1lPjIzPC92b2x1bWU+PG51bWJlcj4xMjwvbnVtYmVyPjxlZGl0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PEVuZE5vdGU+PENpdGU+PEF1dGhvcj5QaWNrYXI8L0F1dGhvcj48WWVhcj4yMDEwPC9ZZWFyPjxS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OTIzLTM0PC9wYWdlcz48dm9sdW1lPjIzPC92b2x1bWU+PG51bWJlcj4xMjwvbnVtYmVyPjxlZGl0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4B7840">
        <w:rPr>
          <w:rFonts w:ascii="Arial" w:hAnsi="Arial" w:cs="Arial"/>
        </w:rPr>
      </w:r>
      <w:r w:rsidR="004B7840">
        <w:rPr>
          <w:rFonts w:ascii="Arial" w:hAnsi="Arial" w:cs="Arial"/>
        </w:rPr>
        <w:fldChar w:fldCharType="separate"/>
      </w:r>
      <w:r w:rsidR="008E761B">
        <w:rPr>
          <w:rFonts w:ascii="Arial" w:hAnsi="Arial" w:cs="Arial"/>
          <w:noProof/>
        </w:rPr>
        <w:t>(</w:t>
      </w:r>
      <w:hyperlink w:anchor="_ENREF_295" w:tooltip="Pickar, 2010 #142" w:history="1">
        <w:r w:rsidR="003B725E">
          <w:rPr>
            <w:rFonts w:ascii="Arial" w:hAnsi="Arial" w:cs="Arial"/>
            <w:noProof/>
          </w:rPr>
          <w:t>295-297</w:t>
        </w:r>
      </w:hyperlink>
      <w:r w:rsidR="008E761B">
        <w:rPr>
          <w:rFonts w:ascii="Arial" w:hAnsi="Arial" w:cs="Arial"/>
          <w:noProof/>
        </w:rPr>
        <w:t>)</w:t>
      </w:r>
      <w:r w:rsidR="004B7840">
        <w:rPr>
          <w:rFonts w:ascii="Arial" w:hAnsi="Arial" w:cs="Arial"/>
        </w:rPr>
        <w:fldChar w:fldCharType="end"/>
      </w:r>
      <w:r w:rsidR="004B7840">
        <w:rPr>
          <w:rFonts w:ascii="Arial" w:hAnsi="Arial" w:cs="Arial"/>
        </w:rPr>
        <w:t>.</w:t>
      </w:r>
      <w:r w:rsidR="00B3054D" w:rsidRPr="00C14CC4">
        <w:rPr>
          <w:rFonts w:ascii="Arial" w:hAnsi="Arial" w:cs="Arial"/>
        </w:rPr>
        <w:t xml:space="preserve"> </w:t>
      </w:r>
      <w:r w:rsidR="000845D8">
        <w:rPr>
          <w:rFonts w:ascii="Arial" w:hAnsi="Arial" w:cs="Arial"/>
        </w:rPr>
        <w:t>Their effect on bone balance has yet to be fully investigated.</w:t>
      </w:r>
    </w:p>
    <w:p w:rsidR="00802FA5" w:rsidRDefault="00253B00" w:rsidP="003E6719">
      <w:pPr>
        <w:pStyle w:val="Heading5"/>
        <w:jc w:val="both"/>
      </w:pPr>
      <w:r>
        <w:t>The clinical utility of r</w:t>
      </w:r>
      <w:r w:rsidR="00C14CC4">
        <w:t>aloxifene</w:t>
      </w:r>
    </w:p>
    <w:p w:rsidR="00F00BAB" w:rsidRDefault="00927E4A" w:rsidP="003B725E">
      <w:pPr>
        <w:spacing w:line="360" w:lineRule="auto"/>
        <w:jc w:val="both"/>
        <w:rPr>
          <w:rFonts w:ascii="Arial" w:hAnsi="Arial" w:cs="Arial"/>
        </w:rPr>
      </w:pPr>
      <w:r w:rsidRPr="00BC71DE">
        <w:rPr>
          <w:rFonts w:ascii="Arial" w:hAnsi="Arial" w:cs="Arial"/>
        </w:rPr>
        <w:t>Raloxifene was the first SERM to be developed to prevent</w:t>
      </w:r>
      <w:r w:rsidR="0065581E" w:rsidRPr="00BC71DE">
        <w:rPr>
          <w:rFonts w:ascii="Arial" w:hAnsi="Arial" w:cs="Arial"/>
        </w:rPr>
        <w:t xml:space="preserve"> </w:t>
      </w:r>
      <w:r w:rsidR="00AD68A4" w:rsidRPr="00BC71DE">
        <w:rPr>
          <w:rFonts w:ascii="Arial" w:hAnsi="Arial" w:cs="Arial"/>
        </w:rPr>
        <w:t xml:space="preserve">invasive </w:t>
      </w:r>
      <w:r w:rsidR="0065581E" w:rsidRPr="00BC71DE">
        <w:rPr>
          <w:rFonts w:ascii="Arial" w:hAnsi="Arial" w:cs="Arial"/>
        </w:rPr>
        <w:t>breast cancer and vertebral fractures</w:t>
      </w:r>
      <w:r w:rsidR="006F4E9C">
        <w:rPr>
          <w:rFonts w:ascii="Arial" w:hAnsi="Arial" w:cs="Arial"/>
        </w:rPr>
        <w:t xml:space="preserve"> in postmenopausal women with osteoporosis and osteopenia</w:t>
      </w:r>
      <w:r w:rsidRPr="00BC71DE">
        <w:rPr>
          <w:rFonts w:ascii="Arial" w:hAnsi="Arial" w:cs="Arial"/>
        </w:rPr>
        <w:t>. It is</w:t>
      </w:r>
      <w:r w:rsidR="00691DD5" w:rsidRPr="00BC71DE">
        <w:rPr>
          <w:rFonts w:ascii="Arial" w:hAnsi="Arial" w:cs="Arial"/>
        </w:rPr>
        <w:t xml:space="preserve"> a second generation benzothiophene </w:t>
      </w:r>
      <w:r w:rsidR="00AF6266" w:rsidRPr="00BC71DE">
        <w:rPr>
          <w:rFonts w:ascii="Arial" w:hAnsi="Arial" w:cs="Arial"/>
        </w:rPr>
        <w:t>compound SERM</w:t>
      </w:r>
      <w:r w:rsidR="00691DD5" w:rsidRPr="00BC71DE">
        <w:rPr>
          <w:rFonts w:ascii="Arial" w:hAnsi="Arial" w:cs="Arial"/>
        </w:rPr>
        <w:t xml:space="preserve"> that is approved</w:t>
      </w:r>
      <w:r w:rsidRPr="00BC71DE">
        <w:rPr>
          <w:rFonts w:ascii="Arial" w:hAnsi="Arial" w:cs="Arial"/>
        </w:rPr>
        <w:t xml:space="preserve"> </w:t>
      </w:r>
      <w:r w:rsidR="005A16EB">
        <w:rPr>
          <w:rFonts w:ascii="Arial" w:hAnsi="Arial" w:cs="Arial"/>
        </w:rPr>
        <w:t xml:space="preserve">for use </w:t>
      </w:r>
      <w:r w:rsidRPr="00BC71DE">
        <w:rPr>
          <w:rFonts w:ascii="Arial" w:hAnsi="Arial" w:cs="Arial"/>
        </w:rPr>
        <w:t>in</w:t>
      </w:r>
      <w:r w:rsidR="0065581E" w:rsidRPr="00BC71DE">
        <w:rPr>
          <w:rFonts w:ascii="Arial" w:hAnsi="Arial" w:cs="Arial"/>
        </w:rPr>
        <w:t xml:space="preserve"> many countries.</w:t>
      </w:r>
      <w:r w:rsidR="00691DD5" w:rsidRPr="00BC71DE">
        <w:rPr>
          <w:rFonts w:ascii="Arial" w:hAnsi="Arial" w:cs="Arial"/>
        </w:rPr>
        <w:t xml:space="preserve"> It is an estrogen agonist on bone and lipid profile and an estrogen antagonist on the uterus and breast tissue</w:t>
      </w:r>
      <w:r w:rsidR="00625851" w:rsidRPr="00BC71DE">
        <w:rPr>
          <w:rFonts w:ascii="Arial" w:hAnsi="Arial" w:cs="Arial"/>
        </w:rPr>
        <w:t xml:space="preserve"> </w:t>
      </w:r>
      <w:r w:rsidR="00625851" w:rsidRPr="00BC71DE">
        <w:rPr>
          <w:rFonts w:ascii="Arial" w:hAnsi="Arial" w:cs="Arial"/>
        </w:rPr>
        <w:fldChar w:fldCharType="begin">
          <w:fldData xml:space="preserve">PEVuZE5vdGU+PENpdGU+PEF1dGhvcj5EJmFwb3M7QW1lbGlvPC9BdXRob3I+PFllYXI+MjAxMzwv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PEVuZE5vdGU+PENpdGU+PEF1dGhvcj5EJmFwb3M7QW1lbGlvPC9BdXRob3I+PFllYXI+MjAxMzwv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625851" w:rsidRPr="00BC71DE">
        <w:rPr>
          <w:rFonts w:ascii="Arial" w:hAnsi="Arial" w:cs="Arial"/>
        </w:rPr>
      </w:r>
      <w:r w:rsidR="00625851" w:rsidRPr="00BC71DE">
        <w:rPr>
          <w:rFonts w:ascii="Arial" w:hAnsi="Arial" w:cs="Arial"/>
        </w:rPr>
        <w:fldChar w:fldCharType="separate"/>
      </w:r>
      <w:r w:rsidR="008E761B">
        <w:rPr>
          <w:rFonts w:ascii="Arial" w:hAnsi="Arial" w:cs="Arial"/>
          <w:noProof/>
        </w:rPr>
        <w:t>(</w:t>
      </w:r>
      <w:hyperlink w:anchor="_ENREF_298" w:tooltip="D'Amelio, 2013 #154" w:history="1">
        <w:r w:rsidR="003B725E">
          <w:rPr>
            <w:rFonts w:ascii="Arial" w:hAnsi="Arial" w:cs="Arial"/>
            <w:noProof/>
          </w:rPr>
          <w:t>298</w:t>
        </w:r>
      </w:hyperlink>
      <w:r w:rsidR="008E761B">
        <w:rPr>
          <w:rFonts w:ascii="Arial" w:hAnsi="Arial" w:cs="Arial"/>
          <w:noProof/>
        </w:rPr>
        <w:t>)</w:t>
      </w:r>
      <w:r w:rsidR="00625851" w:rsidRPr="00BC71DE">
        <w:rPr>
          <w:rFonts w:ascii="Arial" w:hAnsi="Arial" w:cs="Arial"/>
        </w:rPr>
        <w:fldChar w:fldCharType="end"/>
      </w:r>
      <w:r w:rsidR="00691DD5" w:rsidRPr="00BC71DE">
        <w:rPr>
          <w:rFonts w:ascii="Arial" w:hAnsi="Arial" w:cs="Arial"/>
        </w:rPr>
        <w:t xml:space="preserve">. </w:t>
      </w:r>
      <w:r w:rsidR="00AD68A4" w:rsidRPr="00BC71DE">
        <w:rPr>
          <w:rFonts w:ascii="Arial" w:hAnsi="Arial" w:cs="Arial"/>
        </w:rPr>
        <w:t xml:space="preserve">It binds to ERα with high affinity and </w:t>
      </w:r>
      <w:r w:rsidR="0073300B" w:rsidRPr="00BC71DE">
        <w:rPr>
          <w:rFonts w:ascii="Arial" w:hAnsi="Arial" w:cs="Arial"/>
        </w:rPr>
        <w:t>up regulates</w:t>
      </w:r>
      <w:r w:rsidR="00AD68A4" w:rsidRPr="00BC71DE">
        <w:rPr>
          <w:rFonts w:ascii="Arial" w:hAnsi="Arial" w:cs="Arial"/>
        </w:rPr>
        <w:t xml:space="preserve"> </w:t>
      </w:r>
      <w:r w:rsidR="00AD68A4" w:rsidRPr="00BC71DE">
        <w:rPr>
          <w:rFonts w:ascii="Arial" w:hAnsi="Arial" w:cs="Arial"/>
        </w:rPr>
        <w:lastRenderedPageBreak/>
        <w:t>the expression of transforming growth factor-β3 (TGF-β3), inhibiting the differentiation an</w:t>
      </w:r>
      <w:r w:rsidR="0073300B" w:rsidRPr="00BC71DE">
        <w:rPr>
          <w:rFonts w:ascii="Arial" w:hAnsi="Arial" w:cs="Arial"/>
        </w:rPr>
        <w:t xml:space="preserve">d proliferation of osteoclasts </w:t>
      </w:r>
      <w:r w:rsidR="0073300B" w:rsidRPr="00BC71DE">
        <w:rPr>
          <w:rFonts w:ascii="Arial" w:hAnsi="Arial" w:cs="Arial"/>
        </w:rPr>
        <w:fldChar w:fldCharType="begin">
          <w:fldData xml:space="preserve">PEVuZE5vdGU+PENpdGU+PEF1dGhvcj5ZYW5nPC9BdXRob3I+PFllYXI+MTk5NjwvWWVhcj48UmVj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PEVuZE5vdGU+PENpdGU+PEF1dGhvcj5ZYW5nPC9BdXRob3I+PFllYXI+MTk5NjwvWWVhcj48UmVj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299" w:tooltip="Yang, 1996 #155" w:history="1">
        <w:r w:rsidR="003B725E">
          <w:rPr>
            <w:rFonts w:ascii="Arial" w:hAnsi="Arial" w:cs="Arial"/>
            <w:noProof/>
          </w:rPr>
          <w:t>299</w:t>
        </w:r>
      </w:hyperlink>
      <w:r w:rsidR="008E761B">
        <w:rPr>
          <w:rFonts w:ascii="Arial" w:hAnsi="Arial" w:cs="Arial"/>
          <w:noProof/>
        </w:rPr>
        <w:t>)</w:t>
      </w:r>
      <w:r w:rsidR="0073300B" w:rsidRPr="00BC71DE">
        <w:rPr>
          <w:rFonts w:ascii="Arial" w:hAnsi="Arial" w:cs="Arial"/>
        </w:rPr>
        <w:fldChar w:fldCharType="end"/>
      </w:r>
      <w:r w:rsidR="00AD68A4" w:rsidRPr="00BC71DE">
        <w:rPr>
          <w:rFonts w:ascii="Arial" w:hAnsi="Arial" w:cs="Arial"/>
        </w:rPr>
        <w:t xml:space="preserve">. Preclinical data has shown that 3.0mg/kg/day of raloxifene administered for 6 months to ovariectomised rats increased </w:t>
      </w:r>
      <w:r w:rsidR="00E154DC" w:rsidRPr="00BC71DE">
        <w:rPr>
          <w:rFonts w:ascii="Arial" w:hAnsi="Arial" w:cs="Arial"/>
        </w:rPr>
        <w:t>BMD at the lumbar spine and tibia compared to controls</w:t>
      </w:r>
      <w:r w:rsidR="0073300B" w:rsidRPr="00BC71DE">
        <w:rPr>
          <w:rFonts w:ascii="Arial" w:hAnsi="Arial" w:cs="Arial"/>
        </w:rPr>
        <w:t xml:space="preserve"> </w:t>
      </w:r>
      <w:r w:rsidR="0073300B" w:rsidRPr="00BC71DE">
        <w:rPr>
          <w:rFonts w:ascii="Arial" w:hAnsi="Arial" w:cs="Arial"/>
        </w:rPr>
        <w:fldChar w:fldCharType="begin">
          <w:fldData xml:space="preserve">PEVuZE5vdGU+PENpdGU+PEF1dGhvcj5UdXJuZXI8L0F1dGhvcj48WWVhcj4xOTk0PC9ZZWFyPjxS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PEVuZE5vdGU+PENpdGU+PEF1dGhvcj5UdXJuZXI8L0F1dGhvcj48WWVhcj4xOTk0PC9ZZWFyPjxS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300" w:tooltip="Turner, 1994 #156" w:history="1">
        <w:r w:rsidR="003B725E">
          <w:rPr>
            <w:rFonts w:ascii="Arial" w:hAnsi="Arial" w:cs="Arial"/>
            <w:noProof/>
          </w:rPr>
          <w:t>300</w:t>
        </w:r>
      </w:hyperlink>
      <w:r w:rsidR="008E761B">
        <w:rPr>
          <w:rFonts w:ascii="Arial" w:hAnsi="Arial" w:cs="Arial"/>
          <w:noProof/>
        </w:rPr>
        <w:t>)</w:t>
      </w:r>
      <w:r w:rsidR="0073300B" w:rsidRPr="00BC71DE">
        <w:rPr>
          <w:rFonts w:ascii="Arial" w:hAnsi="Arial" w:cs="Arial"/>
        </w:rPr>
        <w:fldChar w:fldCharType="end"/>
      </w:r>
      <w:r w:rsidR="0073300B" w:rsidRPr="00BC71DE">
        <w:rPr>
          <w:rFonts w:ascii="Arial" w:hAnsi="Arial" w:cs="Arial"/>
        </w:rPr>
        <w:t xml:space="preserve">. </w:t>
      </w:r>
      <w:r w:rsidR="00E154DC" w:rsidRPr="00BC71DE">
        <w:rPr>
          <w:rFonts w:ascii="Arial" w:hAnsi="Arial" w:cs="Arial"/>
        </w:rPr>
        <w:t xml:space="preserve">Clinical data from the Multiple Outcomes of Raloxifene Evaluation (MORE) study, has demonstrated the use of raloxifene in reducing breast cancer risk in postmenopausal women with osteoporosis </w:t>
      </w:r>
      <w:r w:rsidR="0073300B" w:rsidRPr="00BC71DE">
        <w:rPr>
          <w:rFonts w:ascii="Arial" w:hAnsi="Arial" w:cs="Arial"/>
        </w:rPr>
        <w:fldChar w:fldCharType="begin">
          <w:fldData xml:space="preserve">PEVuZE5vdGU+PENpdGU+PEF1dGhvcj5DdW1taW5nczwvQXV0aG9yPjxZZWFyPjE5OTk8L1llYXI+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PEVuZE5vdGU+PENpdGU+PEF1dGhvcj5DdW1taW5nczwvQXV0aG9yPjxZZWFyPjE5OTk8L1llYXI+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293" w:tooltip="Cummings, 1999 #140" w:history="1">
        <w:r w:rsidR="003B725E">
          <w:rPr>
            <w:rFonts w:ascii="Arial" w:hAnsi="Arial" w:cs="Arial"/>
            <w:noProof/>
          </w:rPr>
          <w:t>293</w:t>
        </w:r>
      </w:hyperlink>
      <w:r w:rsidR="008E761B">
        <w:rPr>
          <w:rFonts w:ascii="Arial" w:hAnsi="Arial" w:cs="Arial"/>
          <w:noProof/>
        </w:rPr>
        <w:t>)</w:t>
      </w:r>
      <w:r w:rsidR="0073300B" w:rsidRPr="00BC71DE">
        <w:rPr>
          <w:rFonts w:ascii="Arial" w:hAnsi="Arial" w:cs="Arial"/>
        </w:rPr>
        <w:fldChar w:fldCharType="end"/>
      </w:r>
      <w:r w:rsidR="00E154DC" w:rsidRPr="00BC71DE">
        <w:rPr>
          <w:rFonts w:ascii="Arial" w:hAnsi="Arial" w:cs="Arial"/>
        </w:rPr>
        <w:t xml:space="preserve">. This was a 3 year randomised controlled clinical trial of 7705 women receiving 60mg/day of raloxifene. At 3 years BMD at the lumbar spine and femoral neck increased </w:t>
      </w:r>
      <w:r w:rsidR="00F0566D" w:rsidRPr="00BC71DE">
        <w:rPr>
          <w:rFonts w:ascii="Arial" w:hAnsi="Arial" w:cs="Arial"/>
        </w:rPr>
        <w:t xml:space="preserve">by 2.6% and 2.1% respectively and the risk of vertebral fracture was decreased by 68% in the overall population at 1 year and by 55% in in women at high risk at 3 years and no effect on hip or non-vertebral fracture risk compared to controls </w:t>
      </w:r>
      <w:r w:rsidR="0073300B" w:rsidRPr="00BC71DE">
        <w:rPr>
          <w:rFonts w:ascii="Arial" w:hAnsi="Arial" w:cs="Arial"/>
        </w:rPr>
        <w:fldChar w:fldCharType="begin">
          <w:fldData xml:space="preserve">PEVuZE5vdGU+PENpdGU+PEF1dGhvcj5LYW5pczwvQXV0aG9yPjxZZWFyPjIwMDM8L1llYXI+PFJl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b2RpY2FsPjxwYWdlcz41MjItMzI8L3BhZ2VzPjx2b2x1bWU+MzM8L3ZvbHVtZT48bnVtYmVyPjQ8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PEVuZE5vdGU+PENpdGU+PEF1dGhvcj5LYW5pczwvQXV0aG9yPjxZZWFyPjIwMDM8L1llYXI+PFJl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b2RpY2FsPjxwYWdlcz41MjItMzI8L3BhZ2VzPjx2b2x1bWU+MzM8L3ZvbHVtZT48bnVtYmVyPjQ8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301" w:tooltip="Kanis, 2003 #157" w:history="1">
        <w:r w:rsidR="003B725E">
          <w:rPr>
            <w:rFonts w:ascii="Arial" w:hAnsi="Arial" w:cs="Arial"/>
            <w:noProof/>
          </w:rPr>
          <w:t>301-303</w:t>
        </w:r>
      </w:hyperlink>
      <w:r w:rsidR="008E761B">
        <w:rPr>
          <w:rFonts w:ascii="Arial" w:hAnsi="Arial" w:cs="Arial"/>
          <w:noProof/>
        </w:rPr>
        <w:t>)</w:t>
      </w:r>
      <w:r w:rsidR="0073300B" w:rsidRPr="00BC71DE">
        <w:rPr>
          <w:rFonts w:ascii="Arial" w:hAnsi="Arial" w:cs="Arial"/>
        </w:rPr>
        <w:fldChar w:fldCharType="end"/>
      </w:r>
      <w:r w:rsidR="00746BD4">
        <w:rPr>
          <w:rFonts w:ascii="Arial" w:hAnsi="Arial" w:cs="Arial"/>
        </w:rPr>
        <w:t>, (Table 1)</w:t>
      </w:r>
      <w:r w:rsidR="00F0566D" w:rsidRPr="00BC71DE">
        <w:rPr>
          <w:rFonts w:ascii="Arial" w:hAnsi="Arial" w:cs="Arial"/>
        </w:rPr>
        <w:t>.</w:t>
      </w:r>
      <w:r w:rsidR="00C33995" w:rsidRPr="00BC71DE">
        <w:rPr>
          <w:rFonts w:ascii="Arial" w:hAnsi="Arial" w:cs="Arial"/>
        </w:rPr>
        <w:t xml:space="preserve"> With regards to the safety of raloxifene it was shown that is does not increase the risk of uterine or endometrial cancers </w:t>
      </w:r>
      <w:r w:rsidR="0073300B" w:rsidRPr="00BC71DE">
        <w:rPr>
          <w:rFonts w:ascii="Arial" w:hAnsi="Arial" w:cs="Arial"/>
        </w:rPr>
        <w:fldChar w:fldCharType="begin">
          <w:fldData xml:space="preserve">PEVuZE5vdGU+PENpdGU+PEF1dGhvcj5DdW1taW5nczwvQXV0aG9yPjxZZWFyPjE5OTk8L1llYXI+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PEVuZE5vdGU+PENpdGU+PEF1dGhvcj5DdW1taW5nczwvQXV0aG9yPjxZZWFyPjE5OTk8L1llYXI+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286" w:tooltip="Pinkerton, 2010 #133" w:history="1">
        <w:r w:rsidR="003B725E">
          <w:rPr>
            <w:rFonts w:ascii="Arial" w:hAnsi="Arial" w:cs="Arial"/>
            <w:noProof/>
          </w:rPr>
          <w:t>286</w:t>
        </w:r>
      </w:hyperlink>
      <w:proofErr w:type="gramStart"/>
      <w:r w:rsidR="008E761B">
        <w:rPr>
          <w:rFonts w:ascii="Arial" w:hAnsi="Arial" w:cs="Arial"/>
          <w:noProof/>
        </w:rPr>
        <w:t xml:space="preserve">, </w:t>
      </w:r>
      <w:hyperlink w:anchor="_ENREF_293" w:tooltip="Cummings, 1999 #140" w:history="1">
        <w:r w:rsidR="003B725E">
          <w:rPr>
            <w:rFonts w:ascii="Arial" w:hAnsi="Arial" w:cs="Arial"/>
            <w:noProof/>
          </w:rPr>
          <w:t>293</w:t>
        </w:r>
      </w:hyperlink>
      <w:r w:rsidR="008E761B">
        <w:rPr>
          <w:rFonts w:ascii="Arial" w:hAnsi="Arial" w:cs="Arial"/>
          <w:noProof/>
        </w:rPr>
        <w:t>,</w:t>
      </w:r>
      <w:proofErr w:type="gramEnd"/>
      <w:r w:rsidR="008E761B">
        <w:rPr>
          <w:rFonts w:ascii="Arial" w:hAnsi="Arial" w:cs="Arial"/>
          <w:noProof/>
        </w:rPr>
        <w:t xml:space="preserve"> </w:t>
      </w:r>
      <w:hyperlink w:anchor="_ENREF_304" w:tooltip="Vogel, 2006 #159" w:history="1">
        <w:r w:rsidR="003B725E">
          <w:rPr>
            <w:rFonts w:ascii="Arial" w:hAnsi="Arial" w:cs="Arial"/>
            <w:noProof/>
          </w:rPr>
          <w:t>304</w:t>
        </w:r>
      </w:hyperlink>
      <w:r w:rsidR="008E761B">
        <w:rPr>
          <w:rFonts w:ascii="Arial" w:hAnsi="Arial" w:cs="Arial"/>
          <w:noProof/>
        </w:rPr>
        <w:t>)</w:t>
      </w:r>
      <w:r w:rsidR="0073300B" w:rsidRPr="00BC71DE">
        <w:rPr>
          <w:rFonts w:ascii="Arial" w:hAnsi="Arial" w:cs="Arial"/>
        </w:rPr>
        <w:fldChar w:fldCharType="end"/>
      </w:r>
      <w:r w:rsidR="0073300B" w:rsidRPr="00BC71DE">
        <w:rPr>
          <w:rFonts w:ascii="Arial" w:hAnsi="Arial" w:cs="Arial"/>
        </w:rPr>
        <w:t>.</w:t>
      </w:r>
      <w:r w:rsidR="000636BF" w:rsidRPr="00BC71DE">
        <w:rPr>
          <w:rFonts w:ascii="Arial" w:hAnsi="Arial" w:cs="Arial"/>
        </w:rPr>
        <w:t xml:space="preserve"> However, in the Raloxifene Use for the Heart (RUTH) study, </w:t>
      </w:r>
      <w:r w:rsidR="0073300B" w:rsidRPr="00BC71DE">
        <w:rPr>
          <w:rFonts w:ascii="Arial" w:hAnsi="Arial" w:cs="Arial"/>
        </w:rPr>
        <w:t xml:space="preserve">raloxifene did not treat </w:t>
      </w:r>
      <w:r w:rsidR="000636BF" w:rsidRPr="00BC71DE">
        <w:rPr>
          <w:rFonts w:ascii="Arial" w:hAnsi="Arial" w:cs="Arial"/>
        </w:rPr>
        <w:t>coronary heart disease</w:t>
      </w:r>
      <w:r w:rsidR="00B87CA9" w:rsidRPr="00BC71DE">
        <w:rPr>
          <w:rFonts w:ascii="Arial" w:hAnsi="Arial" w:cs="Arial"/>
        </w:rPr>
        <w:t xml:space="preserve"> </w:t>
      </w:r>
      <w:r w:rsidR="0073300B" w:rsidRPr="00BC71DE">
        <w:rPr>
          <w:rFonts w:ascii="Arial" w:hAnsi="Arial" w:cs="Arial"/>
        </w:rPr>
        <w:t xml:space="preserve">in postmenopausal women </w:t>
      </w:r>
      <w:r w:rsidR="0073300B" w:rsidRPr="00BC71DE">
        <w:rPr>
          <w:rFonts w:ascii="Arial" w:hAnsi="Arial" w:cs="Arial"/>
        </w:rPr>
        <w:fldChar w:fldCharType="begin">
          <w:fldData xml:space="preserve">PEVuZE5vdGU+PENpdGU+PEF1dGhvcj5Db2xsaW5zPC9BdXRob3I+PFllYXI+MjAwOTwvWWVhcj48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PEVuZE5vdGU+PENpdGU+PEF1dGhvcj5Db2xsaW5zPC9BdXRob3I+PFllYXI+MjAwOTwvWWVhcj48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305" w:tooltip="Collins, 2009 #160" w:history="1">
        <w:r w:rsidR="003B725E">
          <w:rPr>
            <w:rFonts w:ascii="Arial" w:hAnsi="Arial" w:cs="Arial"/>
            <w:noProof/>
          </w:rPr>
          <w:t>305</w:t>
        </w:r>
      </w:hyperlink>
      <w:r w:rsidR="008E761B">
        <w:rPr>
          <w:rFonts w:ascii="Arial" w:hAnsi="Arial" w:cs="Arial"/>
          <w:noProof/>
        </w:rPr>
        <w:t>)</w:t>
      </w:r>
      <w:r w:rsidR="0073300B" w:rsidRPr="00BC71DE">
        <w:rPr>
          <w:rFonts w:ascii="Arial" w:hAnsi="Arial" w:cs="Arial"/>
        </w:rPr>
        <w:fldChar w:fldCharType="end"/>
      </w:r>
      <w:r w:rsidR="00B87CA9" w:rsidRPr="00BC71DE">
        <w:rPr>
          <w:rFonts w:ascii="Arial" w:hAnsi="Arial" w:cs="Arial"/>
        </w:rPr>
        <w:t xml:space="preserve"> </w:t>
      </w:r>
      <w:r w:rsidR="000636BF" w:rsidRPr="00BC71DE">
        <w:rPr>
          <w:rFonts w:ascii="Arial" w:hAnsi="Arial" w:cs="Arial"/>
        </w:rPr>
        <w:t>and there was an increased risk of venous thromboembolism and fatal stroke</w:t>
      </w:r>
      <w:r w:rsidR="0073300B" w:rsidRPr="00BC71DE">
        <w:rPr>
          <w:rFonts w:ascii="Arial" w:hAnsi="Arial" w:cs="Arial"/>
        </w:rPr>
        <w:t xml:space="preserve"> </w:t>
      </w:r>
      <w:r w:rsidR="0073300B" w:rsidRPr="00BC71DE">
        <w:rPr>
          <w:rFonts w:ascii="Arial" w:hAnsi="Arial" w:cs="Arial"/>
        </w:rPr>
        <w:fldChar w:fldCharType="begin">
          <w:fldData xml:space="preserve">PEVuZE5vdGU+PENpdGU+PEF1dGhvcj5CYXJyZXR0LUNvbm5vcjwvQXV0aG9yPjxZZWFyPjIwMDY8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==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PEVuZE5vdGU+PENpdGU+PEF1dGhvcj5CYXJyZXR0LUNvbm5vcjwvQXV0aG9yPjxZZWFyPjIwMDY8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==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3300B" w:rsidRPr="00BC71DE">
        <w:rPr>
          <w:rFonts w:ascii="Arial" w:hAnsi="Arial" w:cs="Arial"/>
        </w:rPr>
      </w:r>
      <w:r w:rsidR="0073300B" w:rsidRPr="00BC71DE">
        <w:rPr>
          <w:rFonts w:ascii="Arial" w:hAnsi="Arial" w:cs="Arial"/>
        </w:rPr>
        <w:fldChar w:fldCharType="separate"/>
      </w:r>
      <w:r w:rsidR="008E761B">
        <w:rPr>
          <w:rFonts w:ascii="Arial" w:hAnsi="Arial" w:cs="Arial"/>
          <w:noProof/>
        </w:rPr>
        <w:t>(</w:t>
      </w:r>
      <w:hyperlink w:anchor="_ENREF_306" w:tooltip="Barrett-Connor, 2006 #161" w:history="1">
        <w:r w:rsidR="003B725E">
          <w:rPr>
            <w:rFonts w:ascii="Arial" w:hAnsi="Arial" w:cs="Arial"/>
            <w:noProof/>
          </w:rPr>
          <w:t>306</w:t>
        </w:r>
      </w:hyperlink>
      <w:r w:rsidR="008E761B">
        <w:rPr>
          <w:rFonts w:ascii="Arial" w:hAnsi="Arial" w:cs="Arial"/>
          <w:noProof/>
        </w:rPr>
        <w:t>)</w:t>
      </w:r>
      <w:r w:rsidR="0073300B" w:rsidRPr="00BC71DE">
        <w:rPr>
          <w:rFonts w:ascii="Arial" w:hAnsi="Arial" w:cs="Arial"/>
        </w:rPr>
        <w:fldChar w:fldCharType="end"/>
      </w:r>
      <w:r w:rsidR="0079176F">
        <w:rPr>
          <w:rFonts w:ascii="Arial" w:hAnsi="Arial" w:cs="Arial"/>
        </w:rPr>
        <w:t>.</w:t>
      </w:r>
    </w:p>
    <w:p w:rsidR="0079176F" w:rsidRDefault="0079176F" w:rsidP="003E6719">
      <w:pPr>
        <w:spacing w:line="360" w:lineRule="auto"/>
        <w:jc w:val="both"/>
        <w:rPr>
          <w:rFonts w:ascii="Arial" w:hAnsi="Arial" w:cs="Arial"/>
        </w:rPr>
      </w:pPr>
      <w:r>
        <w:rPr>
          <w:rFonts w:ascii="Arial" w:hAnsi="Arial" w:cs="Arial"/>
        </w:rPr>
        <w:t xml:space="preserve">Table 1 summarises </w:t>
      </w:r>
      <w:r w:rsidR="00B065F9">
        <w:rPr>
          <w:rFonts w:ascii="Arial" w:hAnsi="Arial" w:cs="Arial"/>
        </w:rPr>
        <w:t xml:space="preserve">some of </w:t>
      </w:r>
      <w:r>
        <w:rPr>
          <w:rFonts w:ascii="Arial" w:hAnsi="Arial" w:cs="Arial"/>
        </w:rPr>
        <w:t>the current clinical findings from the studies that have investigated the licenced/</w:t>
      </w:r>
      <w:r w:rsidR="008B2D97">
        <w:rPr>
          <w:rFonts w:ascii="Arial" w:hAnsi="Arial" w:cs="Arial"/>
        </w:rPr>
        <w:t xml:space="preserve">most </w:t>
      </w:r>
      <w:r>
        <w:rPr>
          <w:rFonts w:ascii="Arial" w:hAnsi="Arial" w:cs="Arial"/>
        </w:rPr>
        <w:t xml:space="preserve">commonly used </w:t>
      </w:r>
      <w:r w:rsidR="008B2D97">
        <w:rPr>
          <w:rFonts w:ascii="Arial" w:hAnsi="Arial" w:cs="Arial"/>
        </w:rPr>
        <w:t>antiresorptive treatments</w:t>
      </w:r>
      <w:r>
        <w:rPr>
          <w:rFonts w:ascii="Arial" w:hAnsi="Arial" w:cs="Arial"/>
        </w:rPr>
        <w:t xml:space="preserve"> for postmenopausal osteoporosis in the United Kingdom. My thesis aims to contribute further to these findings and investigate</w:t>
      </w:r>
      <w:r w:rsidR="008B2D97">
        <w:rPr>
          <w:rFonts w:ascii="Arial" w:hAnsi="Arial" w:cs="Arial"/>
        </w:rPr>
        <w:t>/highlight</w:t>
      </w:r>
      <w:r>
        <w:rPr>
          <w:rFonts w:ascii="Arial" w:hAnsi="Arial" w:cs="Arial"/>
        </w:rPr>
        <w:t xml:space="preserve"> possible mechanisms of actions in which antiresorptives reduce bone turnover and fracture risk.</w:t>
      </w:r>
    </w:p>
    <w:p w:rsidR="00745AA9" w:rsidRDefault="00745AA9" w:rsidP="003E6719">
      <w:pPr>
        <w:spacing w:line="360" w:lineRule="auto"/>
        <w:jc w:val="both"/>
        <w:rPr>
          <w:rFonts w:ascii="Arial" w:hAnsi="Arial" w:cs="Arial"/>
        </w:rPr>
      </w:pPr>
    </w:p>
    <w:p w:rsidR="00745AA9" w:rsidRDefault="00745AA9" w:rsidP="003E6719">
      <w:pPr>
        <w:spacing w:line="360" w:lineRule="auto"/>
        <w:jc w:val="both"/>
        <w:rPr>
          <w:rFonts w:ascii="Arial" w:hAnsi="Arial" w:cs="Arial"/>
        </w:rPr>
      </w:pPr>
    </w:p>
    <w:p w:rsidR="00745AA9" w:rsidRDefault="00745AA9" w:rsidP="003E6719">
      <w:pPr>
        <w:spacing w:line="360" w:lineRule="auto"/>
        <w:jc w:val="both"/>
        <w:rPr>
          <w:rFonts w:ascii="Arial" w:hAnsi="Arial" w:cs="Arial"/>
        </w:rPr>
      </w:pPr>
    </w:p>
    <w:p w:rsidR="00745AA9" w:rsidRDefault="00745AA9" w:rsidP="003E6719">
      <w:pPr>
        <w:spacing w:line="360" w:lineRule="auto"/>
        <w:jc w:val="both"/>
        <w:rPr>
          <w:rFonts w:ascii="Arial" w:hAnsi="Arial" w:cs="Arial"/>
        </w:rPr>
      </w:pPr>
    </w:p>
    <w:p w:rsidR="00A36246" w:rsidRDefault="00A36246" w:rsidP="003E6719">
      <w:pPr>
        <w:pStyle w:val="Caption"/>
        <w:keepNext/>
        <w:jc w:val="both"/>
        <w:rPr>
          <w:b w:val="0"/>
          <w:color w:val="auto"/>
        </w:rPr>
      </w:pPr>
      <w:bookmarkStart w:id="50" w:name="_Toc424043675"/>
    </w:p>
    <w:p w:rsidR="00A36246" w:rsidRDefault="00A36246" w:rsidP="003E6719">
      <w:pPr>
        <w:pStyle w:val="Caption"/>
        <w:keepNext/>
        <w:jc w:val="both"/>
        <w:rPr>
          <w:b w:val="0"/>
          <w:color w:val="auto"/>
        </w:rPr>
      </w:pPr>
    </w:p>
    <w:p w:rsidR="00A36246" w:rsidRDefault="00A36246" w:rsidP="003E6719">
      <w:pPr>
        <w:pStyle w:val="Caption"/>
        <w:keepNext/>
        <w:jc w:val="both"/>
        <w:rPr>
          <w:b w:val="0"/>
          <w:color w:val="auto"/>
        </w:rPr>
      </w:pPr>
    </w:p>
    <w:p w:rsidR="00746BD4" w:rsidRPr="00D95738" w:rsidRDefault="00746BD4" w:rsidP="003E6719">
      <w:pPr>
        <w:pStyle w:val="Caption"/>
        <w:keepNext/>
        <w:jc w:val="both"/>
        <w:rPr>
          <w:b w:val="0"/>
          <w:color w:val="C00000"/>
        </w:rPr>
      </w:pPr>
      <w:r w:rsidRPr="00D95738">
        <w:rPr>
          <w:b w:val="0"/>
          <w:color w:val="auto"/>
        </w:rPr>
        <w:t xml:space="preserve">Table </w:t>
      </w:r>
      <w:r w:rsidRPr="00D95738">
        <w:rPr>
          <w:b w:val="0"/>
          <w:color w:val="auto"/>
        </w:rPr>
        <w:fldChar w:fldCharType="begin"/>
      </w:r>
      <w:r w:rsidRPr="00D95738">
        <w:rPr>
          <w:b w:val="0"/>
          <w:color w:val="auto"/>
        </w:rPr>
        <w:instrText xml:space="preserve"> SEQ Table \* ARABIC </w:instrText>
      </w:r>
      <w:r w:rsidRPr="00D95738">
        <w:rPr>
          <w:b w:val="0"/>
          <w:color w:val="auto"/>
        </w:rPr>
        <w:fldChar w:fldCharType="separate"/>
      </w:r>
      <w:r w:rsidR="00DD116A">
        <w:rPr>
          <w:b w:val="0"/>
          <w:noProof/>
          <w:color w:val="auto"/>
        </w:rPr>
        <w:t>1</w:t>
      </w:r>
      <w:r w:rsidRPr="00D95738">
        <w:rPr>
          <w:b w:val="0"/>
          <w:noProof/>
          <w:color w:val="auto"/>
        </w:rPr>
        <w:fldChar w:fldCharType="end"/>
      </w:r>
      <w:r w:rsidRPr="00D95738">
        <w:rPr>
          <w:b w:val="0"/>
          <w:color w:val="auto"/>
        </w:rPr>
        <w:t>: The name and structure of some antiresorptive treatments and their effects of fracture risk and bone turnover markers from clinical trials</w:t>
      </w:r>
      <w:bookmarkEnd w:id="50"/>
      <w:r w:rsidRPr="00D95738">
        <w:rPr>
          <w:b w:val="0"/>
          <w:color w:val="auto"/>
        </w:rPr>
        <w:t xml:space="preserve"> </w:t>
      </w:r>
    </w:p>
    <w:tbl>
      <w:tblPr>
        <w:tblStyle w:val="TableGrid"/>
        <w:tblW w:w="0" w:type="auto"/>
        <w:tblLook w:val="04A0" w:firstRow="1" w:lastRow="0" w:firstColumn="1" w:lastColumn="0" w:noHBand="0" w:noVBand="1"/>
      </w:tblPr>
      <w:tblGrid>
        <w:gridCol w:w="2500"/>
        <w:gridCol w:w="3576"/>
        <w:gridCol w:w="2418"/>
      </w:tblGrid>
      <w:tr w:rsidR="00066E61" w:rsidRPr="00097581" w:rsidTr="0049063E">
        <w:tc>
          <w:tcPr>
            <w:tcW w:w="2812" w:type="dxa"/>
          </w:tcPr>
          <w:p w:rsidR="00746BD4" w:rsidRPr="00097581" w:rsidRDefault="00746BD4" w:rsidP="00900F2C">
            <w:pPr>
              <w:spacing w:line="360" w:lineRule="auto"/>
              <w:rPr>
                <w:rFonts w:ascii="Arial" w:hAnsi="Arial" w:cs="Arial"/>
                <w:b/>
                <w:sz w:val="16"/>
                <w:szCs w:val="16"/>
              </w:rPr>
            </w:pPr>
            <w:r w:rsidRPr="00097581">
              <w:rPr>
                <w:rFonts w:ascii="Arial" w:hAnsi="Arial" w:cs="Arial"/>
                <w:b/>
                <w:sz w:val="16"/>
                <w:szCs w:val="16"/>
              </w:rPr>
              <w:t>Compound name/description</w:t>
            </w:r>
          </w:p>
        </w:tc>
        <w:tc>
          <w:tcPr>
            <w:tcW w:w="3576" w:type="dxa"/>
          </w:tcPr>
          <w:p w:rsidR="00746BD4" w:rsidRPr="00097581" w:rsidRDefault="00746BD4" w:rsidP="00900F2C">
            <w:pPr>
              <w:spacing w:line="360" w:lineRule="auto"/>
              <w:rPr>
                <w:rFonts w:ascii="Arial" w:hAnsi="Arial" w:cs="Arial"/>
                <w:b/>
                <w:noProof/>
                <w:sz w:val="16"/>
                <w:szCs w:val="16"/>
                <w:lang w:eastAsia="en-GB"/>
              </w:rPr>
            </w:pPr>
            <w:r w:rsidRPr="00097581">
              <w:rPr>
                <w:rFonts w:ascii="Arial" w:hAnsi="Arial" w:cs="Arial"/>
                <w:b/>
                <w:noProof/>
                <w:sz w:val="16"/>
                <w:szCs w:val="16"/>
                <w:lang w:eastAsia="en-GB"/>
              </w:rPr>
              <w:t>Chemical structure</w:t>
            </w:r>
          </w:p>
        </w:tc>
        <w:tc>
          <w:tcPr>
            <w:tcW w:w="2854" w:type="dxa"/>
          </w:tcPr>
          <w:p w:rsidR="00746BD4" w:rsidRPr="00097581" w:rsidRDefault="00746BD4" w:rsidP="00900F2C">
            <w:pPr>
              <w:spacing w:line="360" w:lineRule="auto"/>
              <w:rPr>
                <w:rFonts w:ascii="Arial" w:hAnsi="Arial" w:cs="Arial"/>
                <w:b/>
                <w:sz w:val="16"/>
                <w:szCs w:val="16"/>
              </w:rPr>
            </w:pPr>
            <w:r>
              <w:rPr>
                <w:rFonts w:ascii="Arial" w:hAnsi="Arial" w:cs="Arial"/>
                <w:b/>
                <w:sz w:val="16"/>
                <w:szCs w:val="16"/>
              </w:rPr>
              <w:t>Findings from clinical trials (add references)</w:t>
            </w:r>
          </w:p>
        </w:tc>
      </w:tr>
      <w:tr w:rsidR="00066E61" w:rsidRPr="00EF4071" w:rsidTr="0049063E">
        <w:tc>
          <w:tcPr>
            <w:tcW w:w="2812" w:type="dxa"/>
          </w:tcPr>
          <w:p w:rsidR="00746BD4" w:rsidRPr="00F00506" w:rsidRDefault="00746BD4" w:rsidP="00900F2C">
            <w:pPr>
              <w:spacing w:line="360" w:lineRule="auto"/>
              <w:rPr>
                <w:rFonts w:ascii="Arial" w:hAnsi="Arial" w:cs="Arial"/>
                <w:b/>
                <w:sz w:val="16"/>
                <w:szCs w:val="16"/>
              </w:rPr>
            </w:pPr>
            <w:r w:rsidRPr="00F00506">
              <w:rPr>
                <w:rFonts w:ascii="Arial" w:hAnsi="Arial" w:cs="Arial"/>
                <w:b/>
                <w:sz w:val="16"/>
                <w:szCs w:val="16"/>
              </w:rPr>
              <w:lastRenderedPageBreak/>
              <w:t>Ibandronate</w:t>
            </w:r>
          </w:p>
          <w:p w:rsidR="00746BD4" w:rsidRPr="00EF4071" w:rsidRDefault="00746BD4" w:rsidP="00900F2C">
            <w:pPr>
              <w:spacing w:line="360" w:lineRule="auto"/>
              <w:rPr>
                <w:rFonts w:ascii="Arial" w:hAnsi="Arial" w:cs="Arial"/>
                <w:sz w:val="16"/>
                <w:szCs w:val="16"/>
              </w:rPr>
            </w:pPr>
            <w:r>
              <w:rPr>
                <w:rFonts w:ascii="Arial" w:hAnsi="Arial" w:cs="Arial"/>
                <w:sz w:val="16"/>
                <w:szCs w:val="16"/>
              </w:rPr>
              <w:t>Nitrogen containing bisphosphonate</w:t>
            </w:r>
          </w:p>
        </w:tc>
        <w:tc>
          <w:tcPr>
            <w:tcW w:w="3576" w:type="dxa"/>
          </w:tcPr>
          <w:p w:rsidR="00746BD4" w:rsidRDefault="00746BD4" w:rsidP="00900F2C">
            <w:pPr>
              <w:spacing w:line="360" w:lineRule="auto"/>
              <w:rPr>
                <w:rFonts w:ascii="Arial" w:hAnsi="Arial" w:cs="Arial"/>
                <w:noProof/>
                <w:sz w:val="16"/>
                <w:szCs w:val="16"/>
                <w:lang w:eastAsia="en-GB"/>
              </w:rPr>
            </w:pPr>
            <w:r w:rsidRPr="00C27ECE">
              <w:rPr>
                <w:rFonts w:ascii="Arial" w:hAnsi="Arial" w:cs="Arial"/>
                <w:noProof/>
                <w:sz w:val="16"/>
                <w:szCs w:val="16"/>
                <w:lang w:eastAsia="zh-CN"/>
              </w:rPr>
              <w:drawing>
                <wp:inline distT="0" distB="0" distL="0" distR="0" wp14:anchorId="768BE73F" wp14:editId="703364B4">
                  <wp:extent cx="2124075" cy="1457325"/>
                  <wp:effectExtent l="0" t="0" r="9525" b="9525"/>
                  <wp:docPr id="18729" name="Picture 1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24075" cy="1457325"/>
                          </a:xfrm>
                          <a:prstGeom prst="rect">
                            <a:avLst/>
                          </a:prstGeom>
                          <a:noFill/>
                          <a:ln>
                            <a:noFill/>
                          </a:ln>
                        </pic:spPr>
                      </pic:pic>
                    </a:graphicData>
                  </a:graphic>
                </wp:inline>
              </w:drawing>
            </w:r>
          </w:p>
        </w:tc>
        <w:tc>
          <w:tcPr>
            <w:tcW w:w="2854" w:type="dxa"/>
          </w:tcPr>
          <w:p w:rsidR="00746BD4" w:rsidRDefault="00746BD4" w:rsidP="003B725E">
            <w:pPr>
              <w:spacing w:line="360" w:lineRule="auto"/>
              <w:rPr>
                <w:rFonts w:ascii="Arial" w:hAnsi="Arial" w:cs="Arial"/>
                <w:sz w:val="16"/>
                <w:szCs w:val="16"/>
              </w:rPr>
            </w:pPr>
            <w:r>
              <w:rPr>
                <w:rFonts w:ascii="Arial" w:hAnsi="Arial" w:cs="Arial"/>
                <w:sz w:val="16"/>
                <w:szCs w:val="16"/>
              </w:rPr>
              <w:t>BONE</w:t>
            </w:r>
            <w:r w:rsidR="00450FD2">
              <w:rPr>
                <w:rFonts w:ascii="Arial" w:hAnsi="Arial" w:cs="Arial"/>
                <w:sz w:val="16"/>
                <w:szCs w:val="16"/>
              </w:rPr>
              <w:t xml:space="preserve"> </w:t>
            </w:r>
            <w:r w:rsidR="00246A8E">
              <w:rPr>
                <w:rFonts w:ascii="Arial" w:hAnsi="Arial" w:cs="Arial"/>
                <w:sz w:val="16"/>
                <w:szCs w:val="16"/>
              </w:rPr>
              <w:fldChar w:fldCharType="begin">
                <w:fldData xml:space="preserve">PEVuZE5vdGU+PENpdGU+PEF1dGhvcj5DaGVzbnV0PC9BdXRob3I+PFllYXI+MjAwNDwvWWVhcj48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YmJyLTE+PC9wZXJpb2RpY2FsPjxwYWdlcz4xMjQxLTk8L3BhZ2VzPjx2b2x1bWU+MTk8L3ZvbHVt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PEVuZE5vdGU+PENpdGU+PEF1dGhvcj5DaGVzbnV0PC9BdXRob3I+PFllYXI+MjAwNDwvWWVhcj48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YmJyLTE+PC9wZXJpb2RpY2FsPjxwYWdlcz4xMjQxLTk8L3BhZ2VzPjx2b2x1bWU+MTk8L3ZvbHVt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246A8E">
              <w:rPr>
                <w:rFonts w:ascii="Arial" w:hAnsi="Arial" w:cs="Arial"/>
                <w:sz w:val="16"/>
                <w:szCs w:val="16"/>
              </w:rPr>
            </w:r>
            <w:r w:rsidR="00246A8E">
              <w:rPr>
                <w:rFonts w:ascii="Arial" w:hAnsi="Arial" w:cs="Arial"/>
                <w:sz w:val="16"/>
                <w:szCs w:val="16"/>
              </w:rPr>
              <w:fldChar w:fldCharType="separate"/>
            </w:r>
            <w:r w:rsidR="008E761B">
              <w:rPr>
                <w:rFonts w:ascii="Arial" w:hAnsi="Arial" w:cs="Arial"/>
                <w:noProof/>
                <w:sz w:val="16"/>
                <w:szCs w:val="16"/>
              </w:rPr>
              <w:t>(</w:t>
            </w:r>
            <w:hyperlink w:anchor="_ENREF_280" w:tooltip="Chesnut, 2004 #284" w:history="1">
              <w:r w:rsidR="003B725E">
                <w:rPr>
                  <w:rFonts w:ascii="Arial" w:hAnsi="Arial" w:cs="Arial"/>
                  <w:noProof/>
                  <w:sz w:val="16"/>
                  <w:szCs w:val="16"/>
                </w:rPr>
                <w:t>280</w:t>
              </w:r>
            </w:hyperlink>
            <w:r w:rsidR="008E761B">
              <w:rPr>
                <w:rFonts w:ascii="Arial" w:hAnsi="Arial" w:cs="Arial"/>
                <w:noProof/>
                <w:sz w:val="16"/>
                <w:szCs w:val="16"/>
              </w:rPr>
              <w:t>)</w:t>
            </w:r>
            <w:r w:rsidR="00246A8E">
              <w:rPr>
                <w:rFonts w:ascii="Arial" w:hAnsi="Arial" w:cs="Arial"/>
                <w:sz w:val="16"/>
                <w:szCs w:val="16"/>
              </w:rPr>
              <w:fldChar w:fldCharType="end"/>
            </w:r>
            <w:r w:rsidR="00D05AC5">
              <w:rPr>
                <w:rFonts w:ascii="Arial" w:hAnsi="Arial" w:cs="Arial"/>
                <w:sz w:val="16"/>
                <w:szCs w:val="16"/>
              </w:rPr>
              <w:t xml:space="preserve"> </w:t>
            </w:r>
            <w:r w:rsidR="00450FD2">
              <w:rPr>
                <w:rFonts w:ascii="Arial" w:hAnsi="Arial" w:cs="Arial"/>
                <w:sz w:val="16"/>
                <w:szCs w:val="16"/>
              </w:rPr>
              <w:t>and MOBILE</w:t>
            </w:r>
          </w:p>
          <w:p w:rsidR="00746BD4" w:rsidRDefault="00746BD4" w:rsidP="00900F2C">
            <w:pPr>
              <w:spacing w:line="360" w:lineRule="auto"/>
              <w:rPr>
                <w:rFonts w:ascii="Arial" w:hAnsi="Arial" w:cs="Arial"/>
                <w:sz w:val="16"/>
                <w:szCs w:val="16"/>
              </w:rPr>
            </w:pPr>
            <w:r>
              <w:rPr>
                <w:rFonts w:ascii="Arial" w:hAnsi="Arial" w:cs="Arial"/>
                <w:sz w:val="16"/>
                <w:szCs w:val="16"/>
              </w:rPr>
              <w:t xml:space="preserve">Significant reduction in vertebral fracture but not non-vertebral or hip fractures. </w:t>
            </w:r>
          </w:p>
        </w:tc>
      </w:tr>
      <w:tr w:rsidR="00066E61" w:rsidRPr="00EF4071" w:rsidTr="0049063E">
        <w:tc>
          <w:tcPr>
            <w:tcW w:w="2812" w:type="dxa"/>
          </w:tcPr>
          <w:p w:rsidR="00746BD4" w:rsidRDefault="00746BD4" w:rsidP="00900F2C">
            <w:pPr>
              <w:spacing w:line="360" w:lineRule="auto"/>
              <w:rPr>
                <w:rFonts w:ascii="Arial" w:hAnsi="Arial" w:cs="Arial"/>
                <w:b/>
                <w:sz w:val="16"/>
                <w:szCs w:val="16"/>
              </w:rPr>
            </w:pPr>
            <w:r w:rsidRPr="00F00506">
              <w:rPr>
                <w:rFonts w:ascii="Arial" w:hAnsi="Arial" w:cs="Arial"/>
                <w:b/>
                <w:sz w:val="16"/>
                <w:szCs w:val="16"/>
              </w:rPr>
              <w:t>Alendronate</w:t>
            </w:r>
          </w:p>
          <w:p w:rsidR="00746BD4" w:rsidRPr="00F00506" w:rsidRDefault="00746BD4" w:rsidP="00900F2C">
            <w:pPr>
              <w:spacing w:line="360" w:lineRule="auto"/>
              <w:rPr>
                <w:rFonts w:ascii="Arial" w:hAnsi="Arial" w:cs="Arial"/>
                <w:sz w:val="16"/>
                <w:szCs w:val="16"/>
              </w:rPr>
            </w:pPr>
            <w:r>
              <w:rPr>
                <w:rFonts w:ascii="Arial" w:hAnsi="Arial" w:cs="Arial"/>
                <w:sz w:val="16"/>
                <w:szCs w:val="16"/>
              </w:rPr>
              <w:t>Nitrogen containing bisphosphonate</w:t>
            </w:r>
          </w:p>
        </w:tc>
        <w:tc>
          <w:tcPr>
            <w:tcW w:w="3576" w:type="dxa"/>
          </w:tcPr>
          <w:p w:rsidR="00746BD4" w:rsidRPr="00C27ECE" w:rsidRDefault="00746BD4" w:rsidP="00900F2C">
            <w:pPr>
              <w:spacing w:line="360" w:lineRule="auto"/>
              <w:rPr>
                <w:rFonts w:ascii="Arial" w:hAnsi="Arial" w:cs="Arial"/>
                <w:noProof/>
                <w:sz w:val="16"/>
                <w:szCs w:val="16"/>
                <w:lang w:eastAsia="en-GB"/>
              </w:rPr>
            </w:pPr>
            <w:r w:rsidRPr="00C27ECE">
              <w:rPr>
                <w:rFonts w:ascii="Arial" w:hAnsi="Arial" w:cs="Arial"/>
                <w:noProof/>
                <w:sz w:val="16"/>
                <w:szCs w:val="16"/>
                <w:lang w:eastAsia="zh-CN"/>
              </w:rPr>
              <w:drawing>
                <wp:inline distT="0" distB="0" distL="0" distR="0" wp14:anchorId="7EAB414D" wp14:editId="0AF5272E">
                  <wp:extent cx="1704975" cy="1085850"/>
                  <wp:effectExtent l="0" t="0" r="9525" b="0"/>
                  <wp:docPr id="18730" name="Picture 1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04975" cy="1085850"/>
                          </a:xfrm>
                          <a:prstGeom prst="rect">
                            <a:avLst/>
                          </a:prstGeom>
                          <a:noFill/>
                          <a:ln>
                            <a:noFill/>
                          </a:ln>
                        </pic:spPr>
                      </pic:pic>
                    </a:graphicData>
                  </a:graphic>
                </wp:inline>
              </w:drawing>
            </w:r>
          </w:p>
        </w:tc>
        <w:tc>
          <w:tcPr>
            <w:tcW w:w="2854" w:type="dxa"/>
          </w:tcPr>
          <w:p w:rsidR="00746BD4" w:rsidRDefault="00450FD2" w:rsidP="003B725E">
            <w:pPr>
              <w:spacing w:line="360" w:lineRule="auto"/>
              <w:rPr>
                <w:rFonts w:ascii="Arial" w:hAnsi="Arial" w:cs="Arial"/>
                <w:sz w:val="16"/>
                <w:szCs w:val="16"/>
              </w:rPr>
            </w:pPr>
            <w:r>
              <w:rPr>
                <w:rFonts w:ascii="Arial" w:hAnsi="Arial" w:cs="Arial"/>
                <w:sz w:val="16"/>
                <w:szCs w:val="16"/>
              </w:rPr>
              <w:t>FIT</w:t>
            </w:r>
            <w:r w:rsidR="00D05AC5">
              <w:rPr>
                <w:rFonts w:ascii="Arial" w:hAnsi="Arial" w:cs="Arial"/>
                <w:sz w:val="16"/>
                <w:szCs w:val="16"/>
              </w:rPr>
              <w:t xml:space="preserve"> </w:t>
            </w:r>
            <w:r w:rsidR="00D05AC5">
              <w:rPr>
                <w:rFonts w:ascii="Arial" w:hAnsi="Arial" w:cs="Arial"/>
                <w:sz w:val="16"/>
                <w:szCs w:val="16"/>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D05AC5">
              <w:rPr>
                <w:rFonts w:ascii="Arial" w:hAnsi="Arial" w:cs="Arial"/>
                <w:sz w:val="16"/>
                <w:szCs w:val="16"/>
              </w:rPr>
            </w:r>
            <w:r w:rsidR="00D05AC5">
              <w:rPr>
                <w:rFonts w:ascii="Arial" w:hAnsi="Arial" w:cs="Arial"/>
                <w:sz w:val="16"/>
                <w:szCs w:val="16"/>
              </w:rPr>
              <w:fldChar w:fldCharType="separate"/>
            </w:r>
            <w:r w:rsidR="008E761B">
              <w:rPr>
                <w:rFonts w:ascii="Arial" w:hAnsi="Arial" w:cs="Arial"/>
                <w:noProof/>
                <w:sz w:val="16"/>
                <w:szCs w:val="16"/>
              </w:rPr>
              <w:t>(</w:t>
            </w:r>
            <w:hyperlink w:anchor="_ENREF_307" w:tooltip="Liberman, 1995 #286" w:history="1">
              <w:r w:rsidR="003B725E">
                <w:rPr>
                  <w:rFonts w:ascii="Arial" w:hAnsi="Arial" w:cs="Arial"/>
                  <w:noProof/>
                  <w:sz w:val="16"/>
                  <w:szCs w:val="16"/>
                </w:rPr>
                <w:t>307</w:t>
              </w:r>
            </w:hyperlink>
            <w:r w:rsidR="008E761B">
              <w:rPr>
                <w:rFonts w:ascii="Arial" w:hAnsi="Arial" w:cs="Arial"/>
                <w:noProof/>
                <w:sz w:val="16"/>
                <w:szCs w:val="16"/>
              </w:rPr>
              <w:t xml:space="preserve">, </w:t>
            </w:r>
            <w:hyperlink w:anchor="_ENREF_308" w:tooltip="Black, 2000 #287" w:history="1">
              <w:r w:rsidR="003B725E">
                <w:rPr>
                  <w:rFonts w:ascii="Arial" w:hAnsi="Arial" w:cs="Arial"/>
                  <w:noProof/>
                  <w:sz w:val="16"/>
                  <w:szCs w:val="16"/>
                </w:rPr>
                <w:t>308</w:t>
              </w:r>
            </w:hyperlink>
            <w:r w:rsidR="008E761B">
              <w:rPr>
                <w:rFonts w:ascii="Arial" w:hAnsi="Arial" w:cs="Arial"/>
                <w:noProof/>
                <w:sz w:val="16"/>
                <w:szCs w:val="16"/>
              </w:rPr>
              <w:t>)</w:t>
            </w:r>
            <w:r w:rsidR="00D05AC5">
              <w:rPr>
                <w:rFonts w:ascii="Arial" w:hAnsi="Arial" w:cs="Arial"/>
                <w:sz w:val="16"/>
                <w:szCs w:val="16"/>
              </w:rPr>
              <w:fldChar w:fldCharType="end"/>
            </w:r>
            <w:r w:rsidR="00850800">
              <w:rPr>
                <w:rFonts w:ascii="Arial" w:hAnsi="Arial" w:cs="Arial"/>
                <w:sz w:val="16"/>
                <w:szCs w:val="16"/>
              </w:rPr>
              <w:t xml:space="preserve">, FLEX </w:t>
            </w:r>
            <w:r w:rsidR="00850800">
              <w:rPr>
                <w:rFonts w:ascii="Arial" w:hAnsi="Arial" w:cs="Arial"/>
                <w:sz w:val="16"/>
                <w:szCs w:val="16"/>
              </w:rPr>
              <w:fldChar w:fldCharType="begin">
                <w:fldData xml:space="preserve">PEVuZE5vdGU+PENpdGU+PEF1dGhvcj5TY2h3YXJ0ejwvQXV0aG9yPjxZZWFyPjIwMTA8L1llYXI+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YWdlcz45NzYtODI8L3BhZ2VzPjx2b2x1bWU+MjU8L3ZvbHVtZT48bnVtYmVyPjU8L251bWJlcj48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=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PEVuZE5vdGU+PENpdGU+PEF1dGhvcj5TY2h3YXJ0ejwvQXV0aG9yPjxZZWFyPjIwMTA8L1llYXI+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YWdlcz45NzYtODI8L3BhZ2VzPjx2b2x1bWU+MjU8L3ZvbHVtZT48bnVtYmVyPjU8L251bWJlcj48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=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850800">
              <w:rPr>
                <w:rFonts w:ascii="Arial" w:hAnsi="Arial" w:cs="Arial"/>
                <w:sz w:val="16"/>
                <w:szCs w:val="16"/>
              </w:rPr>
            </w:r>
            <w:r w:rsidR="00850800">
              <w:rPr>
                <w:rFonts w:ascii="Arial" w:hAnsi="Arial" w:cs="Arial"/>
                <w:sz w:val="16"/>
                <w:szCs w:val="16"/>
              </w:rPr>
              <w:fldChar w:fldCharType="separate"/>
            </w:r>
            <w:r w:rsidR="008E761B">
              <w:rPr>
                <w:rFonts w:ascii="Arial" w:hAnsi="Arial" w:cs="Arial"/>
                <w:noProof/>
                <w:sz w:val="16"/>
                <w:szCs w:val="16"/>
              </w:rPr>
              <w:t>(</w:t>
            </w:r>
            <w:hyperlink w:anchor="_ENREF_309" w:tooltip="Schwartz, 2010 #289" w:history="1">
              <w:r w:rsidR="003B725E">
                <w:rPr>
                  <w:rFonts w:ascii="Arial" w:hAnsi="Arial" w:cs="Arial"/>
                  <w:noProof/>
                  <w:sz w:val="16"/>
                  <w:szCs w:val="16"/>
                </w:rPr>
                <w:t>309</w:t>
              </w:r>
            </w:hyperlink>
            <w:r w:rsidR="008E761B">
              <w:rPr>
                <w:rFonts w:ascii="Arial" w:hAnsi="Arial" w:cs="Arial"/>
                <w:noProof/>
                <w:sz w:val="16"/>
                <w:szCs w:val="16"/>
              </w:rPr>
              <w:t>)</w:t>
            </w:r>
            <w:r w:rsidR="00850800">
              <w:rPr>
                <w:rFonts w:ascii="Arial" w:hAnsi="Arial" w:cs="Arial"/>
                <w:sz w:val="16"/>
                <w:szCs w:val="16"/>
              </w:rPr>
              <w:fldChar w:fldCharType="end"/>
            </w:r>
            <w:r w:rsidR="00746BD4">
              <w:rPr>
                <w:rFonts w:ascii="Arial" w:hAnsi="Arial" w:cs="Arial"/>
                <w:sz w:val="16"/>
                <w:szCs w:val="16"/>
              </w:rPr>
              <w:t xml:space="preserve">: </w:t>
            </w:r>
          </w:p>
          <w:p w:rsidR="00746BD4" w:rsidRDefault="00746BD4" w:rsidP="00900F2C">
            <w:pPr>
              <w:spacing w:line="360" w:lineRule="auto"/>
              <w:rPr>
                <w:rFonts w:ascii="Arial" w:hAnsi="Arial" w:cs="Arial"/>
                <w:sz w:val="16"/>
                <w:szCs w:val="16"/>
              </w:rPr>
            </w:pPr>
            <w:r>
              <w:rPr>
                <w:rFonts w:ascii="Arial" w:hAnsi="Arial" w:cs="Arial"/>
                <w:sz w:val="16"/>
                <w:szCs w:val="16"/>
              </w:rPr>
              <w:t>Significant reduction in vertebral and hip fractures but not non-vertebral fractures.</w:t>
            </w:r>
          </w:p>
          <w:p w:rsidR="00746BD4" w:rsidRDefault="00746BD4" w:rsidP="00900F2C">
            <w:pPr>
              <w:spacing w:line="360" w:lineRule="auto"/>
              <w:rPr>
                <w:rFonts w:ascii="Arial" w:hAnsi="Arial" w:cs="Arial"/>
                <w:sz w:val="16"/>
                <w:szCs w:val="16"/>
              </w:rPr>
            </w:pPr>
            <w:r>
              <w:rPr>
                <w:rFonts w:ascii="Arial" w:hAnsi="Arial" w:cs="Arial"/>
                <w:sz w:val="16"/>
                <w:szCs w:val="16"/>
              </w:rPr>
              <w:t>CTX: -59% (SD: 31)</w:t>
            </w:r>
          </w:p>
          <w:p w:rsidR="00746BD4" w:rsidRDefault="00746BD4" w:rsidP="00900F2C">
            <w:pPr>
              <w:spacing w:line="360" w:lineRule="auto"/>
              <w:rPr>
                <w:rFonts w:ascii="Arial" w:hAnsi="Arial" w:cs="Arial"/>
                <w:sz w:val="16"/>
                <w:szCs w:val="16"/>
              </w:rPr>
            </w:pPr>
            <w:r>
              <w:rPr>
                <w:rFonts w:ascii="Arial" w:hAnsi="Arial" w:cs="Arial"/>
                <w:sz w:val="16"/>
                <w:szCs w:val="16"/>
              </w:rPr>
              <w:t xml:space="preserve">PINP: -51% (SD: 31) </w:t>
            </w:r>
          </w:p>
        </w:tc>
      </w:tr>
      <w:tr w:rsidR="00066E61" w:rsidRPr="00EF4071" w:rsidTr="0049063E">
        <w:tc>
          <w:tcPr>
            <w:tcW w:w="2812" w:type="dxa"/>
          </w:tcPr>
          <w:p w:rsidR="00746BD4" w:rsidRDefault="00746BD4" w:rsidP="00900F2C">
            <w:pPr>
              <w:spacing w:line="360" w:lineRule="auto"/>
              <w:rPr>
                <w:rFonts w:ascii="Arial" w:hAnsi="Arial" w:cs="Arial"/>
                <w:b/>
                <w:sz w:val="16"/>
                <w:szCs w:val="16"/>
              </w:rPr>
            </w:pPr>
            <w:r w:rsidRPr="00F00506">
              <w:rPr>
                <w:rFonts w:ascii="Arial" w:hAnsi="Arial" w:cs="Arial"/>
                <w:b/>
                <w:sz w:val="16"/>
                <w:szCs w:val="16"/>
              </w:rPr>
              <w:t>Risedronate</w:t>
            </w:r>
          </w:p>
          <w:p w:rsidR="00746BD4" w:rsidRPr="00F00506" w:rsidRDefault="00746BD4" w:rsidP="00900F2C">
            <w:pPr>
              <w:spacing w:line="360" w:lineRule="auto"/>
              <w:rPr>
                <w:rFonts w:ascii="Arial" w:hAnsi="Arial" w:cs="Arial"/>
                <w:sz w:val="16"/>
                <w:szCs w:val="16"/>
              </w:rPr>
            </w:pPr>
            <w:r w:rsidRPr="00F00506">
              <w:rPr>
                <w:rFonts w:ascii="Arial" w:hAnsi="Arial" w:cs="Arial"/>
                <w:sz w:val="16"/>
                <w:szCs w:val="16"/>
              </w:rPr>
              <w:t>Nitrogen containing heterocyclic bisphosphonate</w:t>
            </w:r>
          </w:p>
        </w:tc>
        <w:tc>
          <w:tcPr>
            <w:tcW w:w="3576" w:type="dxa"/>
          </w:tcPr>
          <w:p w:rsidR="00746BD4" w:rsidRPr="00C27ECE" w:rsidRDefault="00746BD4" w:rsidP="00900F2C">
            <w:pPr>
              <w:spacing w:line="360" w:lineRule="auto"/>
              <w:rPr>
                <w:rFonts w:ascii="Arial" w:hAnsi="Arial" w:cs="Arial"/>
                <w:noProof/>
                <w:sz w:val="16"/>
                <w:szCs w:val="16"/>
                <w:lang w:eastAsia="en-GB"/>
              </w:rPr>
            </w:pPr>
            <w:r w:rsidRPr="00F00506">
              <w:rPr>
                <w:rFonts w:ascii="Arial" w:hAnsi="Arial" w:cs="Arial"/>
                <w:noProof/>
                <w:sz w:val="16"/>
                <w:szCs w:val="16"/>
                <w:lang w:eastAsia="zh-CN"/>
              </w:rPr>
              <w:drawing>
                <wp:inline distT="0" distB="0" distL="0" distR="0" wp14:anchorId="79ECBB17" wp14:editId="09D26815">
                  <wp:extent cx="2047875" cy="1238250"/>
                  <wp:effectExtent l="0" t="0" r="9525" b="0"/>
                  <wp:docPr id="18731" name="Picture 1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47875" cy="1238250"/>
                          </a:xfrm>
                          <a:prstGeom prst="rect">
                            <a:avLst/>
                          </a:prstGeom>
                          <a:noFill/>
                          <a:ln>
                            <a:noFill/>
                          </a:ln>
                        </pic:spPr>
                      </pic:pic>
                    </a:graphicData>
                  </a:graphic>
                </wp:inline>
              </w:drawing>
            </w:r>
          </w:p>
        </w:tc>
        <w:tc>
          <w:tcPr>
            <w:tcW w:w="2854" w:type="dxa"/>
          </w:tcPr>
          <w:p w:rsidR="00746BD4" w:rsidRDefault="00746BD4" w:rsidP="003B725E">
            <w:pPr>
              <w:spacing w:line="360" w:lineRule="auto"/>
              <w:rPr>
                <w:rFonts w:ascii="Arial" w:hAnsi="Arial" w:cs="Arial"/>
                <w:sz w:val="16"/>
                <w:szCs w:val="16"/>
              </w:rPr>
            </w:pPr>
            <w:r>
              <w:rPr>
                <w:rFonts w:ascii="Arial" w:hAnsi="Arial" w:cs="Arial"/>
                <w:sz w:val="16"/>
                <w:szCs w:val="16"/>
              </w:rPr>
              <w:t>VERT-MN</w:t>
            </w:r>
            <w:r w:rsidR="0049063E">
              <w:rPr>
                <w:rFonts w:ascii="Arial" w:hAnsi="Arial" w:cs="Arial"/>
                <w:sz w:val="16"/>
                <w:szCs w:val="16"/>
              </w:rPr>
              <w:t xml:space="preserve"> </w:t>
            </w:r>
            <w:r w:rsidR="0049063E">
              <w:rPr>
                <w:rFonts w:ascii="Arial" w:hAnsi="Arial" w:cs="Arial"/>
                <w:sz w:val="16"/>
                <w:szCs w:val="16"/>
              </w:rPr>
              <w:fldChar w:fldCharType="begin">
                <w:fldData xml:space="preserve">PEVuZE5vdGU+PENpdGU+PEF1dGhvcj5FYXN0ZWxsPC9BdXRob3I+PFllYXI+MjAwMzwvWWVhcj48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c3Rlb3Bvcm9zaXMgRm91bmRhdGlvbiBvZiB0aGUgVVNBPC9hYmJyLTE+PC9wZXJpb2RpY2FsPjxw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PEVuZE5vdGU+PENpdGU+PEF1dGhvcj5FYXN0ZWxsPC9BdXRob3I+PFllYXI+MjAwMzwvWWVhcj48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c3Rlb3Bvcm9zaXMgRm91bmRhdGlvbiBvZiB0aGUgVVNBPC9hYmJyLTE+PC9wZXJpb2RpY2FsPjxw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49063E">
              <w:rPr>
                <w:rFonts w:ascii="Arial" w:hAnsi="Arial" w:cs="Arial"/>
                <w:sz w:val="16"/>
                <w:szCs w:val="16"/>
              </w:rPr>
            </w:r>
            <w:r w:rsidR="0049063E">
              <w:rPr>
                <w:rFonts w:ascii="Arial" w:hAnsi="Arial" w:cs="Arial"/>
                <w:sz w:val="16"/>
                <w:szCs w:val="16"/>
              </w:rPr>
              <w:fldChar w:fldCharType="separate"/>
            </w:r>
            <w:r w:rsidR="008E761B">
              <w:rPr>
                <w:rFonts w:ascii="Arial" w:hAnsi="Arial" w:cs="Arial"/>
                <w:noProof/>
                <w:sz w:val="16"/>
                <w:szCs w:val="16"/>
              </w:rPr>
              <w:t>(</w:t>
            </w:r>
            <w:hyperlink w:anchor="_ENREF_279" w:tooltip="Reginster, 2000 #283" w:history="1">
              <w:r w:rsidR="003B725E">
                <w:rPr>
                  <w:rFonts w:ascii="Arial" w:hAnsi="Arial" w:cs="Arial"/>
                  <w:noProof/>
                  <w:sz w:val="16"/>
                  <w:szCs w:val="16"/>
                </w:rPr>
                <w:t>279</w:t>
              </w:r>
            </w:hyperlink>
            <w:r w:rsidR="008E761B">
              <w:rPr>
                <w:rFonts w:ascii="Arial" w:hAnsi="Arial" w:cs="Arial"/>
                <w:noProof/>
                <w:sz w:val="16"/>
                <w:szCs w:val="16"/>
              </w:rPr>
              <w:t xml:space="preserve">, </w:t>
            </w:r>
            <w:hyperlink w:anchor="_ENREF_310" w:tooltip="Eastell, 2003 #170" w:history="1">
              <w:r w:rsidR="003B725E">
                <w:rPr>
                  <w:rFonts w:ascii="Arial" w:hAnsi="Arial" w:cs="Arial"/>
                  <w:noProof/>
                  <w:sz w:val="16"/>
                  <w:szCs w:val="16"/>
                </w:rPr>
                <w:t>310</w:t>
              </w:r>
            </w:hyperlink>
            <w:r w:rsidR="008E761B">
              <w:rPr>
                <w:rFonts w:ascii="Arial" w:hAnsi="Arial" w:cs="Arial"/>
                <w:noProof/>
                <w:sz w:val="16"/>
                <w:szCs w:val="16"/>
              </w:rPr>
              <w:t>)</w:t>
            </w:r>
            <w:r w:rsidR="0049063E">
              <w:rPr>
                <w:rFonts w:ascii="Arial" w:hAnsi="Arial" w:cs="Arial"/>
                <w:sz w:val="16"/>
                <w:szCs w:val="16"/>
              </w:rPr>
              <w:fldChar w:fldCharType="end"/>
            </w:r>
            <w:r w:rsidR="00983C7C">
              <w:rPr>
                <w:rFonts w:ascii="Arial" w:hAnsi="Arial" w:cs="Arial"/>
                <w:sz w:val="16"/>
                <w:szCs w:val="16"/>
              </w:rPr>
              <w:t xml:space="preserve"> </w:t>
            </w:r>
            <w:r>
              <w:rPr>
                <w:rFonts w:ascii="Arial" w:hAnsi="Arial" w:cs="Arial"/>
                <w:sz w:val="16"/>
                <w:szCs w:val="16"/>
              </w:rPr>
              <w:t>, VERT-NA</w:t>
            </w:r>
            <w:r w:rsidR="00246A8E">
              <w:rPr>
                <w:rFonts w:ascii="Arial" w:hAnsi="Arial" w:cs="Arial"/>
                <w:sz w:val="16"/>
                <w:szCs w:val="16"/>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246A8E">
              <w:rPr>
                <w:rFonts w:ascii="Arial" w:hAnsi="Arial" w:cs="Arial"/>
                <w:sz w:val="16"/>
                <w:szCs w:val="16"/>
              </w:rPr>
            </w:r>
            <w:r w:rsidR="00246A8E">
              <w:rPr>
                <w:rFonts w:ascii="Arial" w:hAnsi="Arial" w:cs="Arial"/>
                <w:sz w:val="16"/>
                <w:szCs w:val="16"/>
              </w:rPr>
              <w:fldChar w:fldCharType="separate"/>
            </w:r>
            <w:r w:rsidR="008E761B">
              <w:rPr>
                <w:rFonts w:ascii="Arial" w:hAnsi="Arial" w:cs="Arial"/>
                <w:noProof/>
                <w:sz w:val="16"/>
                <w:szCs w:val="16"/>
              </w:rPr>
              <w:t>(</w:t>
            </w:r>
            <w:hyperlink w:anchor="_ENREF_311" w:tooltip="Harris, 1999 #196" w:history="1">
              <w:r w:rsidR="003B725E">
                <w:rPr>
                  <w:rFonts w:ascii="Arial" w:hAnsi="Arial" w:cs="Arial"/>
                  <w:noProof/>
                  <w:sz w:val="16"/>
                  <w:szCs w:val="16"/>
                </w:rPr>
                <w:t>311</w:t>
              </w:r>
            </w:hyperlink>
            <w:r w:rsidR="008E761B">
              <w:rPr>
                <w:rFonts w:ascii="Arial" w:hAnsi="Arial" w:cs="Arial"/>
                <w:noProof/>
                <w:sz w:val="16"/>
                <w:szCs w:val="16"/>
              </w:rPr>
              <w:t>)</w:t>
            </w:r>
            <w:r w:rsidR="00246A8E">
              <w:rPr>
                <w:rFonts w:ascii="Arial" w:hAnsi="Arial" w:cs="Arial"/>
                <w:sz w:val="16"/>
                <w:szCs w:val="16"/>
              </w:rPr>
              <w:fldChar w:fldCharType="end"/>
            </w:r>
            <w:r>
              <w:rPr>
                <w:rFonts w:ascii="Arial" w:hAnsi="Arial" w:cs="Arial"/>
                <w:sz w:val="16"/>
                <w:szCs w:val="16"/>
              </w:rPr>
              <w:t>, HIP Intervention Program Study Group</w:t>
            </w:r>
            <w:r w:rsidR="00D05AC5">
              <w:rPr>
                <w:rFonts w:ascii="Arial" w:hAnsi="Arial" w:cs="Arial"/>
                <w:sz w:val="16"/>
                <w:szCs w:val="16"/>
              </w:rPr>
              <w:t xml:space="preserve"> </w:t>
            </w:r>
            <w:r w:rsidR="00D05AC5">
              <w:rPr>
                <w:rFonts w:ascii="Arial" w:hAnsi="Arial" w:cs="Arial"/>
                <w:sz w:val="16"/>
                <w:szCs w:val="16"/>
              </w:rPr>
              <w:fldChar w:fldCharType="begin">
                <w:fldData xml:space="preserve">PEVuZE5vdGU+PENpdGU+PEF1dGhvcj5NY0NsdW5nPC9BdXRob3I+PFllYXI+MjAwMTwvWWVhcj48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==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PEVuZE5vdGU+PENpdGU+PEF1dGhvcj5NY0NsdW5nPC9BdXRob3I+PFllYXI+MjAwMTwvWWVhcj48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==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D05AC5">
              <w:rPr>
                <w:rFonts w:ascii="Arial" w:hAnsi="Arial" w:cs="Arial"/>
                <w:sz w:val="16"/>
                <w:szCs w:val="16"/>
              </w:rPr>
            </w:r>
            <w:r w:rsidR="00D05AC5">
              <w:rPr>
                <w:rFonts w:ascii="Arial" w:hAnsi="Arial" w:cs="Arial"/>
                <w:sz w:val="16"/>
                <w:szCs w:val="16"/>
              </w:rPr>
              <w:fldChar w:fldCharType="separate"/>
            </w:r>
            <w:r w:rsidR="008E761B">
              <w:rPr>
                <w:rFonts w:ascii="Arial" w:hAnsi="Arial" w:cs="Arial"/>
                <w:noProof/>
                <w:sz w:val="16"/>
                <w:szCs w:val="16"/>
              </w:rPr>
              <w:t>(</w:t>
            </w:r>
            <w:hyperlink w:anchor="_ENREF_312" w:tooltip="McClung, 2001 #285" w:history="1">
              <w:r w:rsidR="003B725E">
                <w:rPr>
                  <w:rFonts w:ascii="Arial" w:hAnsi="Arial" w:cs="Arial"/>
                  <w:noProof/>
                  <w:sz w:val="16"/>
                  <w:szCs w:val="16"/>
                </w:rPr>
                <w:t>312</w:t>
              </w:r>
            </w:hyperlink>
            <w:r w:rsidR="008E761B">
              <w:rPr>
                <w:rFonts w:ascii="Arial" w:hAnsi="Arial" w:cs="Arial"/>
                <w:noProof/>
                <w:sz w:val="16"/>
                <w:szCs w:val="16"/>
              </w:rPr>
              <w:t>)</w:t>
            </w:r>
            <w:r w:rsidR="00D05AC5">
              <w:rPr>
                <w:rFonts w:ascii="Arial" w:hAnsi="Arial" w:cs="Arial"/>
                <w:sz w:val="16"/>
                <w:szCs w:val="16"/>
              </w:rPr>
              <w:fldChar w:fldCharType="end"/>
            </w:r>
            <w:r>
              <w:rPr>
                <w:rFonts w:ascii="Arial" w:hAnsi="Arial" w:cs="Arial"/>
                <w:sz w:val="16"/>
                <w:szCs w:val="16"/>
              </w:rPr>
              <w:t>:</w:t>
            </w:r>
          </w:p>
          <w:p w:rsidR="00746BD4" w:rsidRDefault="00450FD2" w:rsidP="00900F2C">
            <w:pPr>
              <w:spacing w:line="360" w:lineRule="auto"/>
              <w:rPr>
                <w:rFonts w:ascii="Arial" w:hAnsi="Arial" w:cs="Arial"/>
                <w:sz w:val="16"/>
                <w:szCs w:val="16"/>
              </w:rPr>
            </w:pPr>
            <w:r>
              <w:rPr>
                <w:rFonts w:ascii="Arial" w:hAnsi="Arial" w:cs="Arial"/>
                <w:sz w:val="16"/>
                <w:szCs w:val="16"/>
              </w:rPr>
              <w:t>Significant reduction in vertebral</w:t>
            </w:r>
            <w:r w:rsidR="00746BD4">
              <w:rPr>
                <w:rFonts w:ascii="Arial" w:hAnsi="Arial" w:cs="Arial"/>
                <w:sz w:val="16"/>
                <w:szCs w:val="16"/>
              </w:rPr>
              <w:t xml:space="preserve"> and non-vertebral fractures but not hip fractures.</w:t>
            </w:r>
          </w:p>
          <w:p w:rsidR="00746BD4" w:rsidRDefault="00746BD4" w:rsidP="00900F2C">
            <w:pPr>
              <w:spacing w:line="360" w:lineRule="auto"/>
              <w:rPr>
                <w:rFonts w:ascii="Arial" w:hAnsi="Arial" w:cs="Arial"/>
                <w:sz w:val="16"/>
                <w:szCs w:val="16"/>
              </w:rPr>
            </w:pPr>
            <w:r>
              <w:rPr>
                <w:rFonts w:ascii="Arial" w:hAnsi="Arial" w:cs="Arial"/>
                <w:sz w:val="16"/>
                <w:szCs w:val="16"/>
              </w:rPr>
              <w:t>CTX (urine): -60%</w:t>
            </w:r>
          </w:p>
          <w:p w:rsidR="00746BD4" w:rsidRDefault="00746BD4" w:rsidP="00900F2C">
            <w:pPr>
              <w:spacing w:line="360" w:lineRule="auto"/>
              <w:rPr>
                <w:rFonts w:ascii="Arial" w:hAnsi="Arial" w:cs="Arial"/>
                <w:sz w:val="16"/>
                <w:szCs w:val="16"/>
              </w:rPr>
            </w:pPr>
          </w:p>
        </w:tc>
      </w:tr>
      <w:tr w:rsidR="00066E61" w:rsidRPr="00EF4071" w:rsidTr="0049063E">
        <w:tc>
          <w:tcPr>
            <w:tcW w:w="2812" w:type="dxa"/>
          </w:tcPr>
          <w:p w:rsidR="00746BD4" w:rsidRPr="00F00506" w:rsidRDefault="00746BD4" w:rsidP="00900F2C">
            <w:pPr>
              <w:spacing w:line="360" w:lineRule="auto"/>
              <w:rPr>
                <w:rFonts w:ascii="Arial" w:hAnsi="Arial" w:cs="Arial"/>
                <w:b/>
                <w:sz w:val="16"/>
                <w:szCs w:val="16"/>
              </w:rPr>
            </w:pPr>
            <w:r w:rsidRPr="00F00506">
              <w:rPr>
                <w:rFonts w:ascii="Arial" w:hAnsi="Arial" w:cs="Arial"/>
                <w:b/>
                <w:sz w:val="16"/>
                <w:szCs w:val="16"/>
              </w:rPr>
              <w:t>Zoledronate</w:t>
            </w:r>
          </w:p>
          <w:p w:rsidR="00746BD4" w:rsidRDefault="00746BD4" w:rsidP="00900F2C">
            <w:pPr>
              <w:spacing w:line="360" w:lineRule="auto"/>
              <w:rPr>
                <w:rFonts w:ascii="Arial" w:hAnsi="Arial" w:cs="Arial"/>
                <w:sz w:val="16"/>
                <w:szCs w:val="16"/>
              </w:rPr>
            </w:pPr>
            <w:r w:rsidRPr="00F00506">
              <w:rPr>
                <w:rFonts w:ascii="Arial" w:hAnsi="Arial" w:cs="Arial"/>
                <w:sz w:val="16"/>
                <w:szCs w:val="16"/>
              </w:rPr>
              <w:t>Nitrogen containing heterocyclic bisphosphonate</w:t>
            </w:r>
          </w:p>
        </w:tc>
        <w:tc>
          <w:tcPr>
            <w:tcW w:w="3576" w:type="dxa"/>
          </w:tcPr>
          <w:p w:rsidR="00746BD4" w:rsidRPr="00F00506" w:rsidRDefault="00746BD4" w:rsidP="00900F2C">
            <w:pPr>
              <w:spacing w:line="360" w:lineRule="auto"/>
              <w:rPr>
                <w:rFonts w:ascii="Arial" w:hAnsi="Arial" w:cs="Arial"/>
                <w:noProof/>
                <w:sz w:val="16"/>
                <w:szCs w:val="16"/>
                <w:lang w:eastAsia="en-GB"/>
              </w:rPr>
            </w:pPr>
            <w:r w:rsidRPr="00F00506">
              <w:rPr>
                <w:rFonts w:ascii="Arial" w:hAnsi="Arial" w:cs="Arial"/>
                <w:noProof/>
                <w:sz w:val="16"/>
                <w:szCs w:val="16"/>
                <w:lang w:eastAsia="zh-CN"/>
              </w:rPr>
              <w:drawing>
                <wp:inline distT="0" distB="0" distL="0" distR="0" wp14:anchorId="67EF9184" wp14:editId="6CAE7561">
                  <wp:extent cx="2009775" cy="1219200"/>
                  <wp:effectExtent l="0" t="0" r="9525" b="0"/>
                  <wp:docPr id="18732" name="Picture 1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09775" cy="1219200"/>
                          </a:xfrm>
                          <a:prstGeom prst="rect">
                            <a:avLst/>
                          </a:prstGeom>
                          <a:noFill/>
                          <a:ln>
                            <a:noFill/>
                          </a:ln>
                        </pic:spPr>
                      </pic:pic>
                    </a:graphicData>
                  </a:graphic>
                </wp:inline>
              </w:drawing>
            </w:r>
          </w:p>
        </w:tc>
        <w:tc>
          <w:tcPr>
            <w:tcW w:w="2854" w:type="dxa"/>
          </w:tcPr>
          <w:p w:rsidR="00746BD4" w:rsidRDefault="00746BD4" w:rsidP="003B725E">
            <w:pPr>
              <w:spacing w:line="360" w:lineRule="auto"/>
              <w:rPr>
                <w:rFonts w:ascii="Arial" w:hAnsi="Arial" w:cs="Arial"/>
                <w:sz w:val="16"/>
                <w:szCs w:val="16"/>
              </w:rPr>
            </w:pPr>
            <w:r>
              <w:rPr>
                <w:rFonts w:ascii="Arial" w:hAnsi="Arial" w:cs="Arial"/>
                <w:sz w:val="16"/>
                <w:szCs w:val="16"/>
              </w:rPr>
              <w:t>HORIZON</w:t>
            </w:r>
            <w:r w:rsidR="00450FD2">
              <w:rPr>
                <w:rFonts w:ascii="Arial" w:hAnsi="Arial" w:cs="Arial"/>
                <w:sz w:val="16"/>
                <w:szCs w:val="16"/>
              </w:rPr>
              <w:t xml:space="preserve"> PFT</w:t>
            </w:r>
            <w:r w:rsidR="00D05AC5">
              <w:rPr>
                <w:rFonts w:ascii="Arial" w:hAnsi="Arial" w:cs="Arial"/>
                <w:sz w:val="16"/>
                <w:szCs w:val="16"/>
              </w:rPr>
              <w:t xml:space="preserve"> </w:t>
            </w:r>
            <w:r w:rsidR="00D05AC5">
              <w:rPr>
                <w:rFonts w:ascii="Arial" w:hAnsi="Arial" w:cs="Arial"/>
                <w:sz w:val="16"/>
                <w:szCs w:val="16"/>
              </w:rPr>
              <w:fldChar w:fldCharType="begin">
                <w:fldData xml:space="preserve">PEVuZE5vdGU+PENpdGU+PEF1dGhvcj5CbGFjazwvQXV0aG9yPjxZZWFyPjIwMDc8L1llYXI+PFJl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cm5hbCBvZiBtZWRpY2luZTwvYWJici0xPjwvYWx0LXBlcmlvZGljYWw+PHBhZ2VzPjE4MDktMjI8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YXJjaDwvYWJici0xPjwvYWx0LXBlcmlvZGljYWw+PHBhZ2VzPjE2MjctMzQ8L3BhZ2VzPjx2b2x1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PEVuZE5vdGU+PENpdGU+PEF1dGhvcj5CbGFjazwvQXV0aG9yPjxZZWFyPjIwMDc8L1llYXI+PFJl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cm5hbCBvZiBtZWRpY2luZTwvYWJici0xPjwvYWx0LXBlcmlvZGljYWw+PHBhZ2VzPjE4MDktMjI8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YXJjaDwvYWJici0xPjwvYWx0LXBlcmlvZGljYWw+PHBhZ2VzPjE2MjctMzQ8L3BhZ2VzPjx2b2x1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D05AC5">
              <w:rPr>
                <w:rFonts w:ascii="Arial" w:hAnsi="Arial" w:cs="Arial"/>
                <w:sz w:val="16"/>
                <w:szCs w:val="16"/>
              </w:rPr>
            </w:r>
            <w:r w:rsidR="00D05AC5">
              <w:rPr>
                <w:rFonts w:ascii="Arial" w:hAnsi="Arial" w:cs="Arial"/>
                <w:sz w:val="16"/>
                <w:szCs w:val="16"/>
              </w:rPr>
              <w:fldChar w:fldCharType="separate"/>
            </w:r>
            <w:r w:rsidR="008E761B">
              <w:rPr>
                <w:rFonts w:ascii="Arial" w:hAnsi="Arial" w:cs="Arial"/>
                <w:noProof/>
                <w:sz w:val="16"/>
                <w:szCs w:val="16"/>
              </w:rPr>
              <w:t>(</w:t>
            </w:r>
            <w:hyperlink w:anchor="_ENREF_278" w:tooltip="Black, 2007 #182" w:history="1">
              <w:r w:rsidR="003B725E">
                <w:rPr>
                  <w:rFonts w:ascii="Arial" w:hAnsi="Arial" w:cs="Arial"/>
                  <w:noProof/>
                  <w:sz w:val="16"/>
                  <w:szCs w:val="16"/>
                </w:rPr>
                <w:t>278</w:t>
              </w:r>
            </w:hyperlink>
            <w:r w:rsidR="008E761B">
              <w:rPr>
                <w:rFonts w:ascii="Arial" w:hAnsi="Arial" w:cs="Arial"/>
                <w:noProof/>
                <w:sz w:val="16"/>
                <w:szCs w:val="16"/>
              </w:rPr>
              <w:t xml:space="preserve">, </w:t>
            </w:r>
            <w:hyperlink w:anchor="_ENREF_313" w:tooltip="Jacques, 2012 #212" w:history="1">
              <w:r w:rsidR="003B725E">
                <w:rPr>
                  <w:rFonts w:ascii="Arial" w:hAnsi="Arial" w:cs="Arial"/>
                  <w:noProof/>
                  <w:sz w:val="16"/>
                  <w:szCs w:val="16"/>
                </w:rPr>
                <w:t>313</w:t>
              </w:r>
            </w:hyperlink>
            <w:r w:rsidR="008E761B">
              <w:rPr>
                <w:rFonts w:ascii="Arial" w:hAnsi="Arial" w:cs="Arial"/>
                <w:noProof/>
                <w:sz w:val="16"/>
                <w:szCs w:val="16"/>
              </w:rPr>
              <w:t>)</w:t>
            </w:r>
            <w:r w:rsidR="00D05AC5">
              <w:rPr>
                <w:rFonts w:ascii="Arial" w:hAnsi="Arial" w:cs="Arial"/>
                <w:sz w:val="16"/>
                <w:szCs w:val="16"/>
              </w:rPr>
              <w:fldChar w:fldCharType="end"/>
            </w:r>
            <w:r>
              <w:rPr>
                <w:rFonts w:ascii="Arial" w:hAnsi="Arial" w:cs="Arial"/>
                <w:sz w:val="16"/>
                <w:szCs w:val="16"/>
              </w:rPr>
              <w:t>: A significant reduction in vertebral, non-vertebral and hip fractures</w:t>
            </w:r>
          </w:p>
          <w:p w:rsidR="00746BD4" w:rsidRDefault="00746BD4" w:rsidP="00900F2C">
            <w:pPr>
              <w:spacing w:line="360" w:lineRule="auto"/>
              <w:rPr>
                <w:rFonts w:ascii="Arial" w:hAnsi="Arial" w:cs="Arial"/>
                <w:sz w:val="16"/>
                <w:szCs w:val="16"/>
              </w:rPr>
            </w:pPr>
            <w:r>
              <w:rPr>
                <w:rFonts w:ascii="Arial" w:hAnsi="Arial" w:cs="Arial"/>
                <w:sz w:val="16"/>
                <w:szCs w:val="16"/>
              </w:rPr>
              <w:t>PINP: -56%</w:t>
            </w:r>
          </w:p>
          <w:p w:rsidR="00B704FF" w:rsidRDefault="00B704FF" w:rsidP="00900F2C">
            <w:pPr>
              <w:spacing w:line="360" w:lineRule="auto"/>
              <w:rPr>
                <w:rFonts w:ascii="Arial" w:hAnsi="Arial" w:cs="Arial"/>
                <w:sz w:val="16"/>
                <w:szCs w:val="16"/>
              </w:rPr>
            </w:pPr>
            <w:r>
              <w:rPr>
                <w:rFonts w:ascii="Arial" w:hAnsi="Arial" w:cs="Arial"/>
                <w:sz w:val="16"/>
                <w:szCs w:val="16"/>
              </w:rPr>
              <w:t>CTX: -58%</w:t>
            </w:r>
          </w:p>
          <w:p w:rsidR="00746BD4" w:rsidRDefault="00746BD4" w:rsidP="00900F2C">
            <w:pPr>
              <w:spacing w:line="360" w:lineRule="auto"/>
              <w:rPr>
                <w:rFonts w:ascii="Arial" w:hAnsi="Arial" w:cs="Arial"/>
                <w:sz w:val="16"/>
                <w:szCs w:val="16"/>
              </w:rPr>
            </w:pPr>
          </w:p>
          <w:p w:rsidR="00746BD4" w:rsidRDefault="00746BD4" w:rsidP="00900F2C">
            <w:pPr>
              <w:spacing w:line="360" w:lineRule="auto"/>
              <w:rPr>
                <w:rFonts w:ascii="Arial" w:hAnsi="Arial" w:cs="Arial"/>
                <w:sz w:val="16"/>
                <w:szCs w:val="16"/>
              </w:rPr>
            </w:pPr>
          </w:p>
          <w:p w:rsidR="00746BD4" w:rsidRDefault="00746BD4" w:rsidP="00900F2C">
            <w:pPr>
              <w:spacing w:line="360" w:lineRule="auto"/>
              <w:rPr>
                <w:rFonts w:ascii="Arial" w:hAnsi="Arial" w:cs="Arial"/>
                <w:sz w:val="16"/>
                <w:szCs w:val="16"/>
              </w:rPr>
            </w:pPr>
          </w:p>
        </w:tc>
      </w:tr>
      <w:tr w:rsidR="00066E61" w:rsidRPr="00EF4071" w:rsidTr="0049063E">
        <w:tc>
          <w:tcPr>
            <w:tcW w:w="2812" w:type="dxa"/>
          </w:tcPr>
          <w:p w:rsidR="00746BD4" w:rsidRPr="00F00506" w:rsidRDefault="00746BD4" w:rsidP="00900F2C">
            <w:pPr>
              <w:spacing w:line="360" w:lineRule="auto"/>
              <w:rPr>
                <w:rFonts w:ascii="Arial" w:hAnsi="Arial" w:cs="Arial"/>
                <w:b/>
                <w:sz w:val="16"/>
                <w:szCs w:val="16"/>
              </w:rPr>
            </w:pPr>
            <w:r w:rsidRPr="00F00506">
              <w:rPr>
                <w:rFonts w:ascii="Arial" w:hAnsi="Arial" w:cs="Arial"/>
                <w:b/>
                <w:sz w:val="16"/>
                <w:szCs w:val="16"/>
              </w:rPr>
              <w:t>Raloxifene</w:t>
            </w:r>
          </w:p>
          <w:p w:rsidR="00746BD4" w:rsidRPr="00EF4071" w:rsidRDefault="00746BD4" w:rsidP="00900F2C">
            <w:pPr>
              <w:spacing w:line="360" w:lineRule="auto"/>
              <w:rPr>
                <w:rFonts w:ascii="Arial" w:hAnsi="Arial" w:cs="Arial"/>
                <w:sz w:val="16"/>
                <w:szCs w:val="16"/>
              </w:rPr>
            </w:pPr>
            <w:r>
              <w:rPr>
                <w:rFonts w:ascii="Arial" w:hAnsi="Arial" w:cs="Arial"/>
                <w:sz w:val="16"/>
                <w:szCs w:val="16"/>
              </w:rPr>
              <w:t xml:space="preserve">Second generation SERM: </w:t>
            </w:r>
            <w:r w:rsidRPr="00EF4071">
              <w:rPr>
                <w:rFonts w:ascii="Arial" w:hAnsi="Arial" w:cs="Arial"/>
                <w:sz w:val="16"/>
                <w:szCs w:val="16"/>
              </w:rPr>
              <w:t>Benzothiophene</w:t>
            </w:r>
          </w:p>
          <w:p w:rsidR="00746BD4" w:rsidRPr="00F00506" w:rsidRDefault="00746BD4" w:rsidP="00900F2C">
            <w:pPr>
              <w:spacing w:line="360" w:lineRule="auto"/>
              <w:rPr>
                <w:rFonts w:ascii="Arial" w:hAnsi="Arial" w:cs="Arial"/>
                <w:sz w:val="16"/>
                <w:szCs w:val="16"/>
              </w:rPr>
            </w:pPr>
          </w:p>
        </w:tc>
        <w:tc>
          <w:tcPr>
            <w:tcW w:w="3576" w:type="dxa"/>
          </w:tcPr>
          <w:p w:rsidR="00746BD4" w:rsidRDefault="00746BD4" w:rsidP="00900F2C">
            <w:pPr>
              <w:spacing w:line="360" w:lineRule="auto"/>
              <w:rPr>
                <w:rFonts w:ascii="Arial" w:hAnsi="Arial" w:cs="Arial"/>
                <w:sz w:val="16"/>
                <w:szCs w:val="16"/>
              </w:rPr>
            </w:pPr>
          </w:p>
          <w:p w:rsidR="00746BD4" w:rsidRPr="004955A8" w:rsidRDefault="00746BD4" w:rsidP="00900F2C">
            <w:pPr>
              <w:spacing w:line="360" w:lineRule="auto"/>
              <w:rPr>
                <w:rFonts w:ascii="Arial" w:hAnsi="Arial" w:cs="Arial"/>
                <w:sz w:val="16"/>
                <w:szCs w:val="16"/>
              </w:rPr>
            </w:pPr>
            <w:r w:rsidRPr="004955A8">
              <w:rPr>
                <w:rFonts w:ascii="Arial" w:hAnsi="Arial" w:cs="Arial"/>
                <w:noProof/>
                <w:lang w:eastAsia="zh-CN"/>
              </w:rPr>
              <w:drawing>
                <wp:inline distT="0" distB="0" distL="0" distR="0" wp14:anchorId="7BD9F0D0" wp14:editId="72F84F06">
                  <wp:extent cx="1894637" cy="964423"/>
                  <wp:effectExtent l="0" t="0" r="0" b="7620"/>
                  <wp:docPr id="18438" name="Picture 18438" descr="File:Raloxifene Chemical Structure V.1.sv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Raloxifene Chemical Structure V.1.svg">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55901" cy="995608"/>
                          </a:xfrm>
                          <a:prstGeom prst="rect">
                            <a:avLst/>
                          </a:prstGeom>
                          <a:noFill/>
                          <a:ln>
                            <a:noFill/>
                          </a:ln>
                        </pic:spPr>
                      </pic:pic>
                    </a:graphicData>
                  </a:graphic>
                </wp:inline>
              </w:drawing>
            </w:r>
          </w:p>
        </w:tc>
        <w:tc>
          <w:tcPr>
            <w:tcW w:w="2854" w:type="dxa"/>
          </w:tcPr>
          <w:p w:rsidR="00746BD4" w:rsidRDefault="00746BD4" w:rsidP="003B725E">
            <w:pPr>
              <w:spacing w:line="360" w:lineRule="auto"/>
              <w:rPr>
                <w:rFonts w:ascii="Arial" w:hAnsi="Arial" w:cs="Arial"/>
                <w:sz w:val="16"/>
                <w:szCs w:val="16"/>
              </w:rPr>
            </w:pPr>
            <w:r>
              <w:rPr>
                <w:rFonts w:ascii="Arial" w:hAnsi="Arial" w:cs="Arial"/>
                <w:sz w:val="16"/>
                <w:szCs w:val="16"/>
              </w:rPr>
              <w:t>MORE</w:t>
            </w:r>
            <w:r w:rsidR="00B704FF">
              <w:rPr>
                <w:rFonts w:ascii="Arial" w:hAnsi="Arial" w:cs="Arial"/>
                <w:sz w:val="16"/>
                <w:szCs w:val="16"/>
              </w:rPr>
              <w:t xml:space="preserve"> </w:t>
            </w:r>
            <w:r w:rsidR="00B704FF">
              <w:rPr>
                <w:rFonts w:ascii="Arial" w:hAnsi="Arial" w:cs="Arial"/>
                <w:sz w:val="16"/>
                <w:szCs w:val="16"/>
              </w:rPr>
              <w:fldChar w:fldCharType="begin">
                <w:fldData xml:space="preserve">PEVuZE5vdGU+PENpdGU+PEF1dGhvcj5SZWdpbnN0ZXI8L0F1dGhvcj48WWVhcj4yMDA0PC9ZZWFy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PEVuZE5vdGU+PENpdGU+PEF1dGhvcj5SZWdpbnN0ZXI8L0F1dGhvcj48WWVhcj4yMDA0PC9ZZWFy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sidR="00B704FF">
              <w:rPr>
                <w:rFonts w:ascii="Arial" w:hAnsi="Arial" w:cs="Arial"/>
                <w:sz w:val="16"/>
                <w:szCs w:val="16"/>
              </w:rPr>
            </w:r>
            <w:r w:rsidR="00B704FF">
              <w:rPr>
                <w:rFonts w:ascii="Arial" w:hAnsi="Arial" w:cs="Arial"/>
                <w:sz w:val="16"/>
                <w:szCs w:val="16"/>
              </w:rPr>
              <w:fldChar w:fldCharType="separate"/>
            </w:r>
            <w:r w:rsidR="008E761B">
              <w:rPr>
                <w:rFonts w:ascii="Arial" w:hAnsi="Arial" w:cs="Arial"/>
                <w:noProof/>
                <w:sz w:val="16"/>
                <w:szCs w:val="16"/>
              </w:rPr>
              <w:t>(</w:t>
            </w:r>
            <w:hyperlink w:anchor="_ENREF_302" w:tooltip="Ettinger, 1999 #150" w:history="1">
              <w:r w:rsidR="003B725E">
                <w:rPr>
                  <w:rFonts w:ascii="Arial" w:hAnsi="Arial" w:cs="Arial"/>
                  <w:noProof/>
                  <w:sz w:val="16"/>
                  <w:szCs w:val="16"/>
                </w:rPr>
                <w:t>302</w:t>
              </w:r>
            </w:hyperlink>
            <w:r w:rsidR="008E761B">
              <w:rPr>
                <w:rFonts w:ascii="Arial" w:hAnsi="Arial" w:cs="Arial"/>
                <w:noProof/>
                <w:sz w:val="16"/>
                <w:szCs w:val="16"/>
              </w:rPr>
              <w:t xml:space="preserve">, </w:t>
            </w:r>
            <w:hyperlink w:anchor="_ENREF_314" w:tooltip="Reginster, 2004 #288" w:history="1">
              <w:r w:rsidR="003B725E">
                <w:rPr>
                  <w:rFonts w:ascii="Arial" w:hAnsi="Arial" w:cs="Arial"/>
                  <w:noProof/>
                  <w:sz w:val="16"/>
                  <w:szCs w:val="16"/>
                </w:rPr>
                <w:t>314</w:t>
              </w:r>
            </w:hyperlink>
            <w:r w:rsidR="008E761B">
              <w:rPr>
                <w:rFonts w:ascii="Arial" w:hAnsi="Arial" w:cs="Arial"/>
                <w:noProof/>
                <w:sz w:val="16"/>
                <w:szCs w:val="16"/>
              </w:rPr>
              <w:t>)</w:t>
            </w:r>
            <w:r w:rsidR="00B704FF">
              <w:rPr>
                <w:rFonts w:ascii="Arial" w:hAnsi="Arial" w:cs="Arial"/>
                <w:sz w:val="16"/>
                <w:szCs w:val="16"/>
              </w:rPr>
              <w:fldChar w:fldCharType="end"/>
            </w:r>
            <w:r>
              <w:rPr>
                <w:rFonts w:ascii="Arial" w:hAnsi="Arial" w:cs="Arial"/>
                <w:sz w:val="16"/>
                <w:szCs w:val="16"/>
              </w:rPr>
              <w:t>: A significant reduction in vertebral fractures but not non-vertebral and hip fractures.</w:t>
            </w:r>
          </w:p>
          <w:p w:rsidR="00746BD4" w:rsidRDefault="00746BD4" w:rsidP="00900F2C">
            <w:pPr>
              <w:spacing w:line="360" w:lineRule="auto"/>
              <w:rPr>
                <w:rFonts w:ascii="Arial" w:hAnsi="Arial" w:cs="Arial"/>
                <w:sz w:val="16"/>
                <w:szCs w:val="16"/>
              </w:rPr>
            </w:pPr>
            <w:r>
              <w:rPr>
                <w:rFonts w:ascii="Arial" w:hAnsi="Arial" w:cs="Arial"/>
                <w:sz w:val="16"/>
                <w:szCs w:val="16"/>
              </w:rPr>
              <w:t>CTX (urine): -47%</w:t>
            </w:r>
          </w:p>
          <w:p w:rsidR="00746BD4" w:rsidRPr="00EF4071" w:rsidRDefault="00746BD4" w:rsidP="00900F2C">
            <w:pPr>
              <w:spacing w:line="360" w:lineRule="auto"/>
              <w:rPr>
                <w:rFonts w:ascii="Arial" w:hAnsi="Arial" w:cs="Arial"/>
                <w:sz w:val="16"/>
                <w:szCs w:val="16"/>
              </w:rPr>
            </w:pPr>
            <w:r>
              <w:rPr>
                <w:rFonts w:ascii="Arial" w:hAnsi="Arial" w:cs="Arial"/>
                <w:sz w:val="16"/>
                <w:szCs w:val="16"/>
              </w:rPr>
              <w:t>PINP: -41%</w:t>
            </w:r>
          </w:p>
        </w:tc>
      </w:tr>
    </w:tbl>
    <w:p w:rsidR="00746BD4" w:rsidRDefault="00746BD4" w:rsidP="00900F2C">
      <w:pPr>
        <w:spacing w:line="360" w:lineRule="auto"/>
        <w:rPr>
          <w:rFonts w:ascii="Arial" w:hAnsi="Arial" w:cs="Arial"/>
        </w:rPr>
      </w:pPr>
    </w:p>
    <w:p w:rsidR="00A570EA" w:rsidRDefault="00A570EA" w:rsidP="003E6719">
      <w:pPr>
        <w:pStyle w:val="Heading3"/>
        <w:jc w:val="both"/>
      </w:pPr>
      <w:bookmarkStart w:id="51" w:name="_Toc425418896"/>
      <w:r>
        <w:t>Clinical utility of bone turnover markers in postmenopausal osteoporosis</w:t>
      </w:r>
      <w:bookmarkEnd w:id="51"/>
    </w:p>
    <w:p w:rsidR="00A570EA" w:rsidRDefault="00A570EA" w:rsidP="003B725E">
      <w:pPr>
        <w:spacing w:line="360" w:lineRule="auto"/>
        <w:jc w:val="both"/>
        <w:rPr>
          <w:rFonts w:ascii="Arial" w:hAnsi="Arial" w:cs="Arial"/>
        </w:rPr>
      </w:pPr>
      <w:r w:rsidRPr="00BE0D8E">
        <w:rPr>
          <w:rFonts w:ascii="Arial" w:hAnsi="Arial" w:cs="Arial"/>
        </w:rPr>
        <w:t>There is a strong emphasis on being able to identify patients who are at a high risk of fracture and administer the most suitable treatment i.e. to</w:t>
      </w:r>
      <w:r>
        <w:rPr>
          <w:rFonts w:ascii="Arial" w:hAnsi="Arial" w:cs="Arial"/>
        </w:rPr>
        <w:t xml:space="preserve"> increase BMD and reduce fracture risk</w:t>
      </w:r>
      <w:r w:rsidRPr="00BE0D8E">
        <w:rPr>
          <w:rFonts w:ascii="Arial" w:hAnsi="Arial" w:cs="Arial"/>
        </w:rPr>
        <w:t xml:space="preserve"> </w:t>
      </w:r>
      <w:r w:rsidR="00A64AE7">
        <w:rPr>
          <w:rFonts w:ascii="Arial" w:hAnsi="Arial" w:cs="Arial"/>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A64AE7">
        <w:rPr>
          <w:rFonts w:ascii="Arial" w:hAnsi="Arial" w:cs="Arial"/>
        </w:rPr>
        <w:instrText xml:space="preserve"> ADDIN EN.CITE </w:instrText>
      </w:r>
      <w:r w:rsidR="00A64AE7">
        <w:rPr>
          <w:rFonts w:ascii="Arial" w:hAnsi="Arial" w:cs="Arial"/>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A64AE7">
        <w:rPr>
          <w:rFonts w:ascii="Arial" w:hAnsi="Arial" w:cs="Arial"/>
        </w:rPr>
        <w:instrText xml:space="preserve"> ADDIN EN.CITE.DATA </w:instrText>
      </w:r>
      <w:r w:rsidR="00A64AE7">
        <w:rPr>
          <w:rFonts w:ascii="Arial" w:hAnsi="Arial" w:cs="Arial"/>
        </w:rPr>
      </w:r>
      <w:r w:rsidR="00A64AE7">
        <w:rPr>
          <w:rFonts w:ascii="Arial" w:hAnsi="Arial" w:cs="Arial"/>
        </w:rPr>
        <w:fldChar w:fldCharType="end"/>
      </w:r>
      <w:r w:rsidR="00A64AE7">
        <w:rPr>
          <w:rFonts w:ascii="Arial" w:hAnsi="Arial" w:cs="Arial"/>
        </w:rPr>
      </w:r>
      <w:r w:rsidR="00A64AE7">
        <w:rPr>
          <w:rFonts w:ascii="Arial" w:hAnsi="Arial" w:cs="Arial"/>
        </w:rPr>
        <w:fldChar w:fldCharType="separate"/>
      </w:r>
      <w:r w:rsidR="00A64AE7">
        <w:rPr>
          <w:rFonts w:ascii="Arial" w:hAnsi="Arial" w:cs="Arial"/>
          <w:noProof/>
        </w:rPr>
        <w:t>(</w:t>
      </w:r>
      <w:hyperlink w:anchor="_ENREF_307" w:tooltip="Liberman, 1995 #286" w:history="1">
        <w:r w:rsidR="003B725E">
          <w:rPr>
            <w:rFonts w:ascii="Arial" w:hAnsi="Arial" w:cs="Arial"/>
            <w:noProof/>
          </w:rPr>
          <w:t>307</w:t>
        </w:r>
      </w:hyperlink>
      <w:r w:rsidR="00A64AE7">
        <w:rPr>
          <w:rFonts w:ascii="Arial" w:hAnsi="Arial" w:cs="Arial"/>
          <w:noProof/>
        </w:rPr>
        <w:t xml:space="preserve">, </w:t>
      </w:r>
      <w:hyperlink w:anchor="_ENREF_308" w:tooltip="Black, 2000 #287" w:history="1">
        <w:r w:rsidR="003B725E">
          <w:rPr>
            <w:rFonts w:ascii="Arial" w:hAnsi="Arial" w:cs="Arial"/>
            <w:noProof/>
          </w:rPr>
          <w:t>308</w:t>
        </w:r>
      </w:hyperlink>
      <w:r w:rsidR="00A64AE7">
        <w:rPr>
          <w:rFonts w:ascii="Arial" w:hAnsi="Arial" w:cs="Arial"/>
          <w:noProof/>
        </w:rPr>
        <w:t>)</w:t>
      </w:r>
      <w:r w:rsidR="00A64AE7">
        <w:rPr>
          <w:rFonts w:ascii="Arial" w:hAnsi="Arial" w:cs="Arial"/>
        </w:rPr>
        <w:fldChar w:fldCharType="end"/>
      </w:r>
      <w:r w:rsidRPr="00BE0D8E">
        <w:rPr>
          <w:rFonts w:ascii="Arial" w:hAnsi="Arial" w:cs="Arial"/>
        </w:rPr>
        <w:t xml:space="preserve">. A useful indicator of fracture risk in non-treated and treated individuals is low BMD </w:t>
      </w:r>
      <w:r w:rsidR="00A64AE7">
        <w:rPr>
          <w:rFonts w:ascii="Arial" w:hAnsi="Arial" w:cs="Arial"/>
        </w:rPr>
        <w:fldChar w:fldCharType="begin">
          <w:fldData xml:space="preserve">PEVuZE5vdGU+PENpdGU+PEF1dGhvcj5TY2h3YXJ0ejwvQXV0aG9yPjxZZWFyPjIwMTA8L1llYXI+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bD48cGFnZXM+OTc2LTgyPC9wYWdlcz48dm9sdW1lPjI1PC92b2x1bWU+PG51bWJlcj41PC9udW1i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</w:fldData>
        </w:fldChar>
      </w:r>
      <w:r w:rsidR="00A64AE7">
        <w:rPr>
          <w:rFonts w:ascii="Arial" w:hAnsi="Arial" w:cs="Arial"/>
        </w:rPr>
        <w:instrText xml:space="preserve"> ADDIN EN.CITE </w:instrText>
      </w:r>
      <w:r w:rsidR="00A64AE7">
        <w:rPr>
          <w:rFonts w:ascii="Arial" w:hAnsi="Arial" w:cs="Arial"/>
        </w:rPr>
        <w:fldChar w:fldCharType="begin">
          <w:fldData xml:space="preserve">PEVuZE5vdGU+PENpdGU+PEF1dGhvcj5TY2h3YXJ0ejwvQXV0aG9yPjxZZWFyPjIwMTA8L1llYXI+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bD48cGFnZXM+OTc2LTgyPC9wYWdlcz48dm9sdW1lPjI1PC92b2x1bWU+PG51bWJlcj41PC9udW1i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</w:fldData>
        </w:fldChar>
      </w:r>
      <w:r w:rsidR="00A64AE7">
        <w:rPr>
          <w:rFonts w:ascii="Arial" w:hAnsi="Arial" w:cs="Arial"/>
        </w:rPr>
        <w:instrText xml:space="preserve"> ADDIN EN.CITE.DATA </w:instrText>
      </w:r>
      <w:r w:rsidR="00A64AE7">
        <w:rPr>
          <w:rFonts w:ascii="Arial" w:hAnsi="Arial" w:cs="Arial"/>
        </w:rPr>
      </w:r>
      <w:r w:rsidR="00A64AE7">
        <w:rPr>
          <w:rFonts w:ascii="Arial" w:hAnsi="Arial" w:cs="Arial"/>
        </w:rPr>
        <w:fldChar w:fldCharType="end"/>
      </w:r>
      <w:r w:rsidR="00A64AE7">
        <w:rPr>
          <w:rFonts w:ascii="Arial" w:hAnsi="Arial" w:cs="Arial"/>
        </w:rPr>
      </w:r>
      <w:r w:rsidR="00A64AE7">
        <w:rPr>
          <w:rFonts w:ascii="Arial" w:hAnsi="Arial" w:cs="Arial"/>
        </w:rPr>
        <w:fldChar w:fldCharType="separate"/>
      </w:r>
      <w:r w:rsidR="00A64AE7">
        <w:rPr>
          <w:rFonts w:ascii="Arial" w:hAnsi="Arial" w:cs="Arial"/>
          <w:noProof/>
        </w:rPr>
        <w:t>(</w:t>
      </w:r>
      <w:hyperlink w:anchor="_ENREF_309" w:tooltip="Schwartz, 2010 #289" w:history="1">
        <w:r w:rsidR="003B725E">
          <w:rPr>
            <w:rFonts w:ascii="Arial" w:hAnsi="Arial" w:cs="Arial"/>
            <w:noProof/>
          </w:rPr>
          <w:t>309-311</w:t>
        </w:r>
      </w:hyperlink>
      <w:r w:rsidR="00A64AE7">
        <w:rPr>
          <w:rFonts w:ascii="Arial" w:hAnsi="Arial" w:cs="Arial"/>
          <w:noProof/>
        </w:rPr>
        <w:t>)</w:t>
      </w:r>
      <w:r w:rsidR="00A64AE7">
        <w:rPr>
          <w:rFonts w:ascii="Arial" w:hAnsi="Arial" w:cs="Arial"/>
        </w:rPr>
        <w:fldChar w:fldCharType="end"/>
      </w:r>
      <w:r w:rsidR="00B329CC">
        <w:rPr>
          <w:rFonts w:ascii="Arial" w:hAnsi="Arial" w:cs="Arial"/>
        </w:rPr>
        <w:t xml:space="preserve"> and increased bone loss </w:t>
      </w:r>
      <w:r w:rsidR="00B329CC">
        <w:rPr>
          <w:rFonts w:ascii="Arial" w:hAnsi="Arial" w:cs="Arial"/>
        </w:rPr>
        <w:fldChar w:fldCharType="begin">
          <w:fldData xml:space="preserve">PEVuZE5vdGU+PENpdGU+PEF1dGhvcj5KYWNxdWVzPC9BdXRob3I+PFllYXI+MjAxMjwvWWVhcj48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PEVuZE5vdGU+PENpdGU+PEF1dGhvcj5KYWNxdWVzPC9BdXRob3I+PFllYXI+MjAxMjwvWWVhcj48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00B329CC">
        <w:rPr>
          <w:rFonts w:ascii="Arial" w:hAnsi="Arial" w:cs="Arial"/>
        </w:rPr>
      </w:r>
      <w:r w:rsidR="00B329CC">
        <w:rPr>
          <w:rFonts w:ascii="Arial" w:hAnsi="Arial" w:cs="Arial"/>
        </w:rPr>
        <w:fldChar w:fldCharType="separate"/>
      </w:r>
      <w:r w:rsidR="00B329CC">
        <w:rPr>
          <w:rFonts w:ascii="Arial" w:hAnsi="Arial" w:cs="Arial"/>
          <w:noProof/>
        </w:rPr>
        <w:t>(</w:t>
      </w:r>
      <w:hyperlink w:anchor="_ENREF_313" w:tooltip="Jacques, 2012 #212" w:history="1">
        <w:r w:rsidR="003B725E">
          <w:rPr>
            <w:rFonts w:ascii="Arial" w:hAnsi="Arial" w:cs="Arial"/>
            <w:noProof/>
          </w:rPr>
          <w:t>313</w:t>
        </w:r>
      </w:hyperlink>
      <w:r w:rsidR="00B329CC">
        <w:rPr>
          <w:rFonts w:ascii="Arial" w:hAnsi="Arial" w:cs="Arial"/>
          <w:noProof/>
        </w:rPr>
        <w:t>)</w:t>
      </w:r>
      <w:r w:rsidR="00B329CC">
        <w:rPr>
          <w:rFonts w:ascii="Arial" w:hAnsi="Arial" w:cs="Arial"/>
        </w:rPr>
        <w:fldChar w:fldCharType="end"/>
      </w:r>
      <w:r w:rsidRPr="00BE0D8E">
        <w:rPr>
          <w:rFonts w:ascii="Arial" w:hAnsi="Arial" w:cs="Arial"/>
        </w:rPr>
        <w:t>. This impairment in the structural properties of bone may be i) related to bone loss and low BMD or ii) independent of BMD for example stress created on either side of the resorption cavity resulting in weakening of the trabeculum and red</w:t>
      </w:r>
      <w:r w:rsidR="00B64C0F">
        <w:rPr>
          <w:rFonts w:ascii="Arial" w:hAnsi="Arial" w:cs="Arial"/>
        </w:rPr>
        <w:t>uced mechanical resistance</w:t>
      </w:r>
      <w:r w:rsidRPr="00BE0D8E">
        <w:rPr>
          <w:rFonts w:ascii="Arial" w:hAnsi="Arial" w:cs="Arial"/>
        </w:rPr>
        <w:t xml:space="preserve"> or iii) increased bone turnover may result in less mineralisation of newly synthesised bone </w:t>
      </w:r>
      <w:r w:rsidRPr="00BE0D8E">
        <w:rPr>
          <w:rFonts w:ascii="Arial" w:hAnsi="Arial" w:cs="Arial"/>
        </w:rPr>
        <w:lastRenderedPageBreak/>
        <w:t>compared to mature bone, reducing the time available for post-translational modifications o</w:t>
      </w:r>
      <w:r w:rsidR="00B64C0F">
        <w:rPr>
          <w:rFonts w:ascii="Arial" w:hAnsi="Arial" w:cs="Arial"/>
        </w:rPr>
        <w:t>f the bone matrix proteins</w:t>
      </w:r>
      <w:r w:rsidRPr="00BE0D8E">
        <w:rPr>
          <w:rFonts w:ascii="Arial" w:hAnsi="Arial" w:cs="Arial"/>
        </w:rPr>
        <w:t>.</w:t>
      </w:r>
    </w:p>
    <w:p w:rsidR="00A570EA" w:rsidRDefault="00A570EA" w:rsidP="003B725E">
      <w:pPr>
        <w:spacing w:line="360" w:lineRule="auto"/>
        <w:jc w:val="both"/>
        <w:rPr>
          <w:rFonts w:ascii="Arial" w:hAnsi="Arial" w:cs="Arial"/>
        </w:rPr>
      </w:pPr>
      <w:r w:rsidRPr="00555AD2">
        <w:rPr>
          <w:rFonts w:ascii="Arial" w:hAnsi="Arial" w:cs="Arial"/>
        </w:rPr>
        <w:t xml:space="preserve">There are several original studies that have assessed the association of </w:t>
      </w:r>
      <w:r w:rsidR="005A16EB">
        <w:rPr>
          <w:rFonts w:ascii="Arial" w:hAnsi="Arial" w:cs="Arial"/>
        </w:rPr>
        <w:t xml:space="preserve">change in </w:t>
      </w:r>
      <w:r w:rsidRPr="00555AD2">
        <w:rPr>
          <w:rFonts w:ascii="Arial" w:hAnsi="Arial" w:cs="Arial"/>
        </w:rPr>
        <w:t>BTM levels</w:t>
      </w:r>
      <w:r w:rsidR="005A16EB">
        <w:rPr>
          <w:rFonts w:ascii="Arial" w:hAnsi="Arial" w:cs="Arial"/>
        </w:rPr>
        <w:t xml:space="preserve"> in response to osteoporosis treatments</w:t>
      </w:r>
      <w:r w:rsidRPr="00555AD2">
        <w:rPr>
          <w:rFonts w:ascii="Arial" w:hAnsi="Arial" w:cs="Arial"/>
        </w:rPr>
        <w:t xml:space="preserve"> with </w:t>
      </w:r>
      <w:r>
        <w:rPr>
          <w:rFonts w:ascii="Arial" w:hAnsi="Arial" w:cs="Arial"/>
        </w:rPr>
        <w:t xml:space="preserve">BMD and </w:t>
      </w:r>
      <w:r w:rsidRPr="00555AD2">
        <w:rPr>
          <w:rFonts w:ascii="Arial" w:hAnsi="Arial" w:cs="Arial"/>
        </w:rPr>
        <w:t>fracture risk</w:t>
      </w:r>
      <w:r>
        <w:rPr>
          <w:rFonts w:ascii="Arial" w:hAnsi="Arial" w:cs="Arial"/>
        </w:rPr>
        <w:t xml:space="preserve">. </w:t>
      </w:r>
      <w:r w:rsidRPr="00555AD2">
        <w:rPr>
          <w:rFonts w:ascii="Arial" w:hAnsi="Arial" w:cs="Arial"/>
        </w:rPr>
        <w:t xml:space="preserve">Bauer DC et al assessed levels of CTX and PINP with fracture risk reduction in The Fracture Intervention Trial (FIT) </w:t>
      </w:r>
      <w:r w:rsidR="00B329CC">
        <w:rPr>
          <w:rFonts w:ascii="Arial" w:hAnsi="Arial" w:cs="Arial"/>
        </w:rPr>
        <w:fldChar w:fldCharType="begin">
          <w:fldData xml:space="preserve">PEVuZE5vdGU+PENpdGU+PEF1dGhvcj5CYXVlcjwvQXV0aG9yPjxZZWFyPjE5OTk8L1llYXI+PFJl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bmUgYW5kIE1pbmVyYWwgUmVzZWFyY2g8L2FiYnItMT48L3BlcmlvZGljYWw+PHBhZ2VzPjE0MDQt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PEVuZE5vdGU+PENpdGU+PEF1dGhvcj5CYXVlcjwvQXV0aG9yPjxZZWFyPjE5OTk8L1llYXI+PFJl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bmUgYW5kIE1pbmVyYWwgUmVzZWFyY2g8L2FiYnItMT48L3BlcmlvZGljYWw+PHBhZ2VzPjE0MDQt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00B329CC">
        <w:rPr>
          <w:rFonts w:ascii="Arial" w:hAnsi="Arial" w:cs="Arial"/>
        </w:rPr>
      </w:r>
      <w:r w:rsidR="00B329CC">
        <w:rPr>
          <w:rFonts w:ascii="Arial" w:hAnsi="Arial" w:cs="Arial"/>
        </w:rPr>
        <w:fldChar w:fldCharType="separate"/>
      </w:r>
      <w:r w:rsidR="00B329CC">
        <w:rPr>
          <w:rFonts w:ascii="Arial" w:hAnsi="Arial" w:cs="Arial"/>
          <w:noProof/>
        </w:rPr>
        <w:t>(</w:t>
      </w:r>
      <w:hyperlink w:anchor="_ENREF_315" w:tooltip="Bauer, 1999 #298" w:history="1">
        <w:r w:rsidR="003B725E">
          <w:rPr>
            <w:rFonts w:ascii="Arial" w:hAnsi="Arial" w:cs="Arial"/>
            <w:noProof/>
          </w:rPr>
          <w:t>315</w:t>
        </w:r>
      </w:hyperlink>
      <w:r w:rsidR="00B329CC">
        <w:rPr>
          <w:rFonts w:ascii="Arial" w:hAnsi="Arial" w:cs="Arial"/>
          <w:noProof/>
        </w:rPr>
        <w:t>)</w:t>
      </w:r>
      <w:r w:rsidR="00B329CC">
        <w:rPr>
          <w:rFonts w:ascii="Arial" w:hAnsi="Arial" w:cs="Arial"/>
        </w:rPr>
        <w:fldChar w:fldCharType="end"/>
      </w:r>
      <w:r w:rsidRPr="00555AD2">
        <w:rPr>
          <w:rFonts w:ascii="Arial" w:hAnsi="Arial" w:cs="Arial"/>
        </w:rPr>
        <w:t xml:space="preserve">. They used 562 postmenopausal osteoporotic women receiving alendronate to demonstrate that CTX levels prior to treatment were not correlated with a reduction of vertebral and nonvertebral fractures after treatment. There was however an association between high PINP levels and a reduction of nonvertebral fracture </w:t>
      </w:r>
      <w:r w:rsidR="0066224E">
        <w:rPr>
          <w:rFonts w:ascii="Arial" w:hAnsi="Arial" w:cs="Arial"/>
        </w:rPr>
        <w:fldChar w:fldCharType="begin">
          <w:fldData xml:space="preserve">PEVuZE5vdGU+PENpdGU+PEF1dGhvcj5CYXVlcjwvQXV0aG9yPjxZZWFyPjIwMDY8L1llYXI+PFJl
Y051bT4xODE8L1JlY051bT48RGlzcGxheVRleHQ+KDMxNik8L0Rpc3BsYXlUZXh0PjxyZWNvcmQ+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ZWNvcmQ+PC9DaXRlPjwvRW5kTm90ZT5=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PEVuZE5vdGU+PENpdGU+PEF1dGhvcj5CYXVlcjwvQXV0aG9yPjxZZWFyPjIwMDY8L1llYXI+PFJl
Y051bT4xODE8L1JlY051bT48RGlzcGxheVRleHQ+KDMxNik8L0Rpc3BsYXlUZXh0PjxyZWNvcmQ+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ZWNvcmQ+PC9DaXRlPjwvRW5kTm90ZT5=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0066224E">
        <w:rPr>
          <w:rFonts w:ascii="Arial" w:hAnsi="Arial" w:cs="Arial"/>
        </w:rPr>
      </w:r>
      <w:r w:rsidR="0066224E">
        <w:rPr>
          <w:rFonts w:ascii="Arial" w:hAnsi="Arial" w:cs="Arial"/>
        </w:rPr>
        <w:fldChar w:fldCharType="separate"/>
      </w:r>
      <w:r w:rsidR="00B329CC">
        <w:rPr>
          <w:rFonts w:ascii="Arial" w:hAnsi="Arial" w:cs="Arial"/>
          <w:noProof/>
        </w:rPr>
        <w:t>(</w:t>
      </w:r>
      <w:hyperlink w:anchor="_ENREF_316" w:tooltip="Bauer, 2006 #181" w:history="1">
        <w:r w:rsidR="003B725E">
          <w:rPr>
            <w:rFonts w:ascii="Arial" w:hAnsi="Arial" w:cs="Arial"/>
            <w:noProof/>
          </w:rPr>
          <w:t>316</w:t>
        </w:r>
      </w:hyperlink>
      <w:r w:rsidR="00B329CC">
        <w:rPr>
          <w:rFonts w:ascii="Arial" w:hAnsi="Arial" w:cs="Arial"/>
          <w:noProof/>
        </w:rPr>
        <w:t>)</w:t>
      </w:r>
      <w:r w:rsidR="0066224E">
        <w:rPr>
          <w:rFonts w:ascii="Arial" w:hAnsi="Arial" w:cs="Arial"/>
        </w:rPr>
        <w:fldChar w:fldCharType="end"/>
      </w:r>
      <w:r w:rsidRPr="00555AD2">
        <w:rPr>
          <w:rFonts w:ascii="Arial" w:hAnsi="Arial" w:cs="Arial"/>
        </w:rPr>
        <w:t xml:space="preserve">. Delmas PD et al assessed levels of BTMs prior to treatment with the risk of fracture using patients from the Fracture Prevention Trial </w:t>
      </w:r>
      <w:r w:rsidR="00B329CC">
        <w:rPr>
          <w:rFonts w:ascii="Arial" w:hAnsi="Arial" w:cs="Arial"/>
        </w:rPr>
        <w:fldChar w:fldCharType="begin"/>
      </w:r>
      <w:r w:rsidR="00B329CC">
        <w:rPr>
          <w:rFonts w:ascii="Arial" w:hAnsi="Arial" w:cs="Arial"/>
        </w:rPr>
        <w:instrText xml:space="preserve"> ADDIN EN.CITE &lt;EndNote&gt;&lt;Cite&gt;&lt;Author&gt;Delmas&lt;/Author&gt;&lt;Year&gt;2002&lt;/Year&gt;&lt;RecNum&gt;222&lt;/RecNum&gt;&lt;DisplayText&gt;(317)&lt;/DisplayText&gt;&lt;record&gt;&lt;rec-number&gt;222&lt;/rec-number&gt;&lt;foreign-keys&gt;&lt;key app="EN" db-id="p9a5ttsvyvde9me5aw2x05fp5p55axf0wr90" timestamp="1420215537"&gt;222&lt;/key&gt;&lt;/foreign-keys&gt;&lt;ref-type name="Journal Article"&gt;17&lt;/ref-type&gt;&lt;contributors&gt;&lt;authors&gt;&lt;author&gt;Delmas, P. D.&lt;/author&gt;&lt;/authors&gt;&lt;/contributors&gt;&lt;auth-address&gt;INSERM Research Unit 403 and Claude Bernard University of Lyon, Lyon, France. delmas@lyon151.inserm.fr&lt;/auth-address&gt;&lt;titles&gt;&lt;title&gt;Different effects of antiresorptive therapies on vertebral and nonvertebral fractures in postmenopausal osteoporosis&lt;/title&gt;&lt;secondary-title&gt;Bone&lt;/secondary-title&gt;&lt;alt-title&gt;Bone&lt;/alt-title&gt;&lt;/titles&gt;&lt;periodical&gt;&lt;full-title&gt;Bone&lt;/full-title&gt;&lt;abbr-1&gt;Bone&lt;/abbr-1&gt;&lt;/periodical&gt;&lt;alt-periodical&gt;&lt;full-title&gt;Bone&lt;/full-title&gt;&lt;abbr-1&gt;Bone&lt;/abbr-1&gt;&lt;/alt-periodical&gt;&lt;pages&gt;14-7&lt;/pages&gt;&lt;volume&gt;30&lt;/volume&gt;&lt;number&gt;1&lt;/number&gt;&lt;edition&gt;2002/01/17&lt;/edition&gt;&lt;keywords&gt;&lt;keyword&gt;Bone Density/drug effects&lt;/keyword&gt;&lt;keyword&gt;Bone Resorption/drug therapy/prevention &amp;amp; control&lt;/keyword&gt;&lt;keyword&gt;Controlled Clinical Trials as Topic&lt;/keyword&gt;&lt;keyword&gt;Diphosphonates/therapeutic use&lt;/keyword&gt;&lt;keyword&gt;Female&lt;/keyword&gt;&lt;keyword&gt;Fractures, Bone/etiology/*prevention &amp;amp; control&lt;/keyword&gt;&lt;keyword&gt;Humans&lt;/keyword&gt;&lt;keyword&gt;Osteoporosis, Postmenopausal/complications/*drug therapy/metabolism&lt;/keyword&gt;&lt;keyword&gt;Risk Factors&lt;/keyword&gt;&lt;keyword&gt;Spinal Fractures/etiology/*prevention &amp;amp; control&lt;/keyword&gt;&lt;/keywords&gt;&lt;dates&gt;&lt;year&gt;2002&lt;/year&gt;&lt;pub-dates&gt;&lt;date&gt;Jan&lt;/date&gt;&lt;/pub-dates&gt;&lt;/dates&gt;&lt;isbn&gt;8756-3282 (Print)&amp;#xD;1873-2763&lt;/isbn&gt;&lt;accession-num&gt;11792559&lt;/accession-num&gt;&lt;urls&gt;&lt;/urls&gt;&lt;remote-database-provider&gt;NLM&lt;/remote-database-provider&gt;&lt;language&gt;eng&lt;/language&gt;&lt;/record&gt;&lt;/Cite&gt;&lt;/EndNote&gt;</w:instrText>
      </w:r>
      <w:r w:rsidR="00B329CC">
        <w:rPr>
          <w:rFonts w:ascii="Arial" w:hAnsi="Arial" w:cs="Arial"/>
        </w:rPr>
        <w:fldChar w:fldCharType="separate"/>
      </w:r>
      <w:r w:rsidR="00B329CC">
        <w:rPr>
          <w:rFonts w:ascii="Arial" w:hAnsi="Arial" w:cs="Arial"/>
          <w:noProof/>
        </w:rPr>
        <w:t>(</w:t>
      </w:r>
      <w:hyperlink w:anchor="_ENREF_317" w:tooltip="Delmas, 2002 #222" w:history="1">
        <w:r w:rsidR="003B725E">
          <w:rPr>
            <w:rFonts w:ascii="Arial" w:hAnsi="Arial" w:cs="Arial"/>
            <w:noProof/>
          </w:rPr>
          <w:t>317</w:t>
        </w:r>
      </w:hyperlink>
      <w:r w:rsidR="00B329CC">
        <w:rPr>
          <w:rFonts w:ascii="Arial" w:hAnsi="Arial" w:cs="Arial"/>
          <w:noProof/>
        </w:rPr>
        <w:t>)</w:t>
      </w:r>
      <w:r w:rsidR="00B329CC">
        <w:rPr>
          <w:rFonts w:ascii="Arial" w:hAnsi="Arial" w:cs="Arial"/>
        </w:rPr>
        <w:fldChar w:fldCharType="end"/>
      </w:r>
      <w:r w:rsidRPr="00555AD2">
        <w:rPr>
          <w:rFonts w:ascii="Arial" w:hAnsi="Arial" w:cs="Arial"/>
        </w:rPr>
        <w:t>. Their findings demonstrated that in a subset 520 patients, teriparatide significantly reduced the risk of fracture and this was independent of BTM levels prior to treatment. They sho</w:t>
      </w:r>
      <w:r w:rsidR="00174540">
        <w:rPr>
          <w:rFonts w:ascii="Arial" w:hAnsi="Arial" w:cs="Arial"/>
        </w:rPr>
        <w:t>wed that high levels of bone ALP</w:t>
      </w:r>
      <w:r w:rsidRPr="00555AD2">
        <w:rPr>
          <w:rFonts w:ascii="Arial" w:hAnsi="Arial" w:cs="Arial"/>
        </w:rPr>
        <w:t>, PINP and PICP prior to treatment were associated with increased fracture risk. Other studies have demonstrated that an early decrease in CTX and NTX, 60% and 51% respectively at 3 to 6 month, were significantly associated with a 50% reduction in vertebral fracture risk in patients rec</w:t>
      </w:r>
      <w:r w:rsidR="005362E9">
        <w:rPr>
          <w:rFonts w:ascii="Arial" w:hAnsi="Arial" w:cs="Arial"/>
        </w:rPr>
        <w:t xml:space="preserve">eiving risedronate after 3 years </w:t>
      </w:r>
      <w:r w:rsidR="005362E9">
        <w:rPr>
          <w:rFonts w:ascii="Arial" w:hAnsi="Arial" w:cs="Arial"/>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5362E9">
        <w:rPr>
          <w:rFonts w:ascii="Arial" w:hAnsi="Arial" w:cs="Arial"/>
        </w:rPr>
        <w:instrText xml:space="preserve"> ADDIN EN.CITE </w:instrText>
      </w:r>
      <w:r w:rsidR="005362E9">
        <w:rPr>
          <w:rFonts w:ascii="Arial" w:hAnsi="Arial" w:cs="Arial"/>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5362E9">
        <w:rPr>
          <w:rFonts w:ascii="Arial" w:hAnsi="Arial" w:cs="Arial"/>
        </w:rPr>
        <w:instrText xml:space="preserve"> ADDIN EN.CITE.DATA </w:instrText>
      </w:r>
      <w:r w:rsidR="005362E9">
        <w:rPr>
          <w:rFonts w:ascii="Arial" w:hAnsi="Arial" w:cs="Arial"/>
        </w:rPr>
      </w:r>
      <w:r w:rsidR="005362E9">
        <w:rPr>
          <w:rFonts w:ascii="Arial" w:hAnsi="Arial" w:cs="Arial"/>
        </w:rPr>
        <w:fldChar w:fldCharType="end"/>
      </w:r>
      <w:r w:rsidR="005362E9">
        <w:rPr>
          <w:rFonts w:ascii="Arial" w:hAnsi="Arial" w:cs="Arial"/>
        </w:rPr>
      </w:r>
      <w:r w:rsidR="005362E9">
        <w:rPr>
          <w:rFonts w:ascii="Arial" w:hAnsi="Arial" w:cs="Arial"/>
        </w:rPr>
        <w:fldChar w:fldCharType="separate"/>
      </w:r>
      <w:r w:rsidR="005362E9">
        <w:rPr>
          <w:rFonts w:ascii="Arial" w:hAnsi="Arial" w:cs="Arial"/>
          <w:noProof/>
        </w:rPr>
        <w:t>(</w:t>
      </w:r>
      <w:hyperlink w:anchor="_ENREF_311" w:tooltip="Harris, 1999 #196" w:history="1">
        <w:r w:rsidR="003B725E">
          <w:rPr>
            <w:rFonts w:ascii="Arial" w:hAnsi="Arial" w:cs="Arial"/>
            <w:noProof/>
          </w:rPr>
          <w:t>311</w:t>
        </w:r>
      </w:hyperlink>
      <w:r w:rsidR="005362E9">
        <w:rPr>
          <w:rFonts w:ascii="Arial" w:hAnsi="Arial" w:cs="Arial"/>
          <w:noProof/>
        </w:rPr>
        <w:t>)</w:t>
      </w:r>
      <w:r w:rsidR="005362E9">
        <w:rPr>
          <w:rFonts w:ascii="Arial" w:hAnsi="Arial" w:cs="Arial"/>
        </w:rPr>
        <w:fldChar w:fldCharType="end"/>
      </w:r>
      <w:r w:rsidRPr="00555AD2">
        <w:rPr>
          <w:rFonts w:ascii="Arial" w:hAnsi="Arial" w:cs="Arial"/>
        </w:rPr>
        <w:t>. More recently, data from the</w:t>
      </w:r>
      <w:r>
        <w:rPr>
          <w:rFonts w:ascii="Arial" w:hAnsi="Arial" w:cs="Arial"/>
        </w:rPr>
        <w:t xml:space="preserve"> </w:t>
      </w:r>
      <w:r>
        <w:rPr>
          <w:rStyle w:val="ref-text"/>
          <w:rFonts w:ascii="Arial" w:hAnsi="Arial" w:cs="Arial"/>
        </w:rPr>
        <w:t>Health Outcomes and Reduced Incidence with Zoledronic acid ONce yearly Pivotal Fracture Trial</w:t>
      </w:r>
      <w:r w:rsidRPr="00555AD2">
        <w:rPr>
          <w:rFonts w:ascii="Arial" w:hAnsi="Arial" w:cs="Arial"/>
        </w:rPr>
        <w:t xml:space="preserve"> (</w:t>
      </w:r>
      <w:r>
        <w:rPr>
          <w:rFonts w:ascii="Arial" w:hAnsi="Arial" w:cs="Arial"/>
        </w:rPr>
        <w:t>HORIZON-</w:t>
      </w:r>
      <w:r w:rsidRPr="00555AD2">
        <w:rPr>
          <w:rFonts w:ascii="Arial" w:hAnsi="Arial" w:cs="Arial"/>
        </w:rPr>
        <w:t xml:space="preserve">PFT) demonstrated that a change in PINP explained 58% of the fracture reduction observed with zoledronic acid treatment in 1132 postmenopausal women </w:t>
      </w:r>
      <w:r w:rsidR="005362E9">
        <w:rPr>
          <w:rFonts w:ascii="Arial" w:hAnsi="Arial" w:cs="Arial"/>
        </w:rPr>
        <w:fldChar w:fldCharType="begin">
          <w:fldData xml:space="preserve">PEVuZE5vdGU+PENpdGU+PEF1dGhvcj5KYWNxdWVzPC9BdXRob3I+PFllYXI+MjAxMjwvWWVhcj48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PEVuZE5vdGU+PENpdGU+PEF1dGhvcj5KYWNxdWVzPC9BdXRob3I+PFllYXI+MjAxMjwvWWVhcj48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5362E9">
        <w:rPr>
          <w:rFonts w:ascii="Arial" w:hAnsi="Arial" w:cs="Arial"/>
        </w:rPr>
      </w:r>
      <w:r w:rsidR="005362E9">
        <w:rPr>
          <w:rFonts w:ascii="Arial" w:hAnsi="Arial" w:cs="Arial"/>
        </w:rPr>
        <w:fldChar w:fldCharType="separate"/>
      </w:r>
      <w:r w:rsidR="00B64C0F">
        <w:rPr>
          <w:rFonts w:ascii="Arial" w:hAnsi="Arial" w:cs="Arial"/>
          <w:noProof/>
        </w:rPr>
        <w:t>(</w:t>
      </w:r>
      <w:hyperlink w:anchor="_ENREF_313" w:tooltip="Jacques, 2012 #212" w:history="1">
        <w:r w:rsidR="003B725E">
          <w:rPr>
            <w:rFonts w:ascii="Arial" w:hAnsi="Arial" w:cs="Arial"/>
            <w:noProof/>
          </w:rPr>
          <w:t>313</w:t>
        </w:r>
      </w:hyperlink>
      <w:r w:rsidR="00B64C0F">
        <w:rPr>
          <w:rFonts w:ascii="Arial" w:hAnsi="Arial" w:cs="Arial"/>
          <w:noProof/>
        </w:rPr>
        <w:t xml:space="preserve">, </w:t>
      </w:r>
      <w:hyperlink w:anchor="_ENREF_318" w:tooltip="Black, 2006 #332" w:history="1">
        <w:r w:rsidR="003B725E">
          <w:rPr>
            <w:rFonts w:ascii="Arial" w:hAnsi="Arial" w:cs="Arial"/>
            <w:noProof/>
          </w:rPr>
          <w:t>318</w:t>
        </w:r>
      </w:hyperlink>
      <w:r w:rsidR="00B64C0F">
        <w:rPr>
          <w:rFonts w:ascii="Arial" w:hAnsi="Arial" w:cs="Arial"/>
          <w:noProof/>
        </w:rPr>
        <w:t>)</w:t>
      </w:r>
      <w:r w:rsidR="005362E9">
        <w:rPr>
          <w:rFonts w:ascii="Arial" w:hAnsi="Arial" w:cs="Arial"/>
        </w:rPr>
        <w:fldChar w:fldCharType="end"/>
      </w:r>
      <w:r w:rsidRPr="00555AD2">
        <w:rPr>
          <w:rFonts w:ascii="Arial" w:hAnsi="Arial" w:cs="Arial"/>
        </w:rPr>
        <w:t xml:space="preserve">. Fracture risk has also been assessed with raloxifene treatment using the multiple outcomes of raloxifene evaluation (MORE) study. In this study it was shown that reduced levels of bone alp, osteocalcin and PINP in the first year were shown to be a predictor of reduced vertebral fracture risk at 2 and 3 years </w:t>
      </w:r>
      <w:r w:rsidR="005362E9">
        <w:rPr>
          <w:rFonts w:ascii="Arial" w:hAnsi="Arial" w:cs="Arial"/>
        </w:rPr>
        <w:fldChar w:fldCharType="begin"/>
      </w:r>
      <w:r w:rsidR="005362E9">
        <w:rPr>
          <w:rFonts w:ascii="Arial" w:hAnsi="Arial" w:cs="Arial"/>
        </w:rPr>
        <w:instrText xml:space="preserve"> ADDIN EN.CITE &lt;EndNote&gt;&lt;Cite&gt;&lt;Author&gt;Reginster&lt;/Author&gt;&lt;Year&gt;2004&lt;/Year&gt;&lt;RecNum&gt;288&lt;/RecNum&gt;&lt;DisplayText&gt;(314)&lt;/DisplayText&gt;&lt;record&gt;&lt;rec-number&gt;288&lt;/rec-number&gt;&lt;foreign-keys&gt;&lt;key app="EN" db-id="p9a5ttsvyvde9me5aw2x05fp5p55axf0wr90" timestamp="1431518696"&gt;288&lt;/key&gt;&lt;/foreign-keys&gt;&lt;ref-type name="Journal Article"&gt;17&lt;/ref-type&gt;&lt;contributors&gt;&lt;authors&gt;&lt;author&gt;Reginster, J. Y.&lt;/author&gt;&lt;author&gt;Sarkar, S.&lt;/author&gt;&lt;author&gt;Zegels, B.&lt;/author&gt;&lt;author&gt;Henrotin, Y.&lt;/author&gt;&lt;author&gt;Bruyere, O.&lt;/author&gt;&lt;author&gt;Agnusdei, D.&lt;/author&gt;&lt;author&gt;Collette, J.&lt;/author&gt;&lt;/authors&gt;&lt;/contributors&gt;&lt;auth-address&gt;CHU Centre-Ville, Liege, Belgium. jyreginster@ulg.ac.be&lt;/auth-address&gt;&lt;titles&gt;&lt;title&gt;Reduction in PINP, a marker of bone metabolism, with raloxifene treatment and its relationship with vertebral fracture risk&lt;/title&gt;&lt;secondary-title&gt;Bone&lt;/secondary-title&gt;&lt;/titles&gt;&lt;periodical&gt;&lt;full-title&gt;Bone&lt;/full-title&gt;&lt;abbr-1&gt;Bone&lt;/abbr-1&gt;&lt;/periodical&gt;&lt;pages&gt;344-51&lt;/pages&gt;&lt;volume&gt;34&lt;/volume&gt;&lt;number&gt;2&lt;/number&gt;&lt;edition&gt;2004/02/14&lt;/edition&gt;&lt;keywords&gt;&lt;keyword&gt;Aged&lt;/keyword&gt;&lt;keyword&gt;Alkaline Phosphatase/blood&lt;/keyword&gt;&lt;keyword&gt;Biological Markers/ analysis&lt;/keyword&gt;&lt;keyword&gt;Collagen Type I/urine&lt;/keyword&gt;&lt;keyword&gt;Estrogen Antagonists/ therapeutic use&lt;/keyword&gt;&lt;keyword&gt;Female&lt;/keyword&gt;&lt;keyword&gt;Humans&lt;/keyword&gt;&lt;keyword&gt;Logistic Models&lt;/keyword&gt;&lt;keyword&gt;Osteocalcin/blood&lt;/keyword&gt;&lt;keyword&gt;Osteoporosis, Postmenopausal/ drug therapy&lt;/keyword&gt;&lt;keyword&gt;Peptide Fragments/ drug effects&lt;/keyword&gt;&lt;keyword&gt;Procollagen/ drug effects&lt;/keyword&gt;&lt;keyword&gt;Raloxifene/ therapeutic use&lt;/keyword&gt;&lt;keyword&gt;Risk Factors&lt;/keyword&gt;&lt;keyword&gt;Spinal Fractures/ prevention &amp;amp; control&lt;/keyword&gt;&lt;/keywords&gt;&lt;dates&gt;&lt;year&gt;2004&lt;/year&gt;&lt;pub-dates&gt;&lt;date&gt;Feb&lt;/date&gt;&lt;/pub-dates&gt;&lt;/dates&gt;&lt;isbn&gt;8756-3282 (Print)&amp;#xD;1873-2763 (Linking)&lt;/isbn&gt;&lt;accession-num&gt;14962813&lt;/accession-num&gt;&lt;urls&gt;&lt;/urls&gt;&lt;electronic-resource-num&gt;10.1016/j.bone.2003.10.004&lt;/electronic-resource-num&gt;&lt;remote-database-provider&gt;NLM&lt;/remote-database-provider&gt;&lt;language&gt;eng&lt;/language&gt;&lt;/record&gt;&lt;/Cite&gt;&lt;/EndNote&gt;</w:instrText>
      </w:r>
      <w:r w:rsidR="005362E9">
        <w:rPr>
          <w:rFonts w:ascii="Arial" w:hAnsi="Arial" w:cs="Arial"/>
        </w:rPr>
        <w:fldChar w:fldCharType="separate"/>
      </w:r>
      <w:r w:rsidR="005362E9">
        <w:rPr>
          <w:rFonts w:ascii="Arial" w:hAnsi="Arial" w:cs="Arial"/>
          <w:noProof/>
        </w:rPr>
        <w:t>(</w:t>
      </w:r>
      <w:hyperlink w:anchor="_ENREF_314" w:tooltip="Reginster, 2004 #288" w:history="1">
        <w:r w:rsidR="003B725E">
          <w:rPr>
            <w:rFonts w:ascii="Arial" w:hAnsi="Arial" w:cs="Arial"/>
            <w:noProof/>
          </w:rPr>
          <w:t>314</w:t>
        </w:r>
      </w:hyperlink>
      <w:r w:rsidR="005362E9">
        <w:rPr>
          <w:rFonts w:ascii="Arial" w:hAnsi="Arial" w:cs="Arial"/>
          <w:noProof/>
        </w:rPr>
        <w:t>)</w:t>
      </w:r>
      <w:r w:rsidR="005362E9">
        <w:rPr>
          <w:rFonts w:ascii="Arial" w:hAnsi="Arial" w:cs="Arial"/>
        </w:rPr>
        <w:fldChar w:fldCharType="end"/>
      </w:r>
      <w:r w:rsidRPr="00555AD2">
        <w:rPr>
          <w:rFonts w:ascii="Arial" w:hAnsi="Arial" w:cs="Arial"/>
        </w:rPr>
        <w:t>.</w:t>
      </w:r>
    </w:p>
    <w:p w:rsidR="00A570EA" w:rsidRDefault="00A570EA" w:rsidP="003B725E">
      <w:pPr>
        <w:spacing w:line="360" w:lineRule="auto"/>
        <w:jc w:val="both"/>
        <w:rPr>
          <w:rFonts w:ascii="Arial" w:hAnsi="Arial" w:cs="Arial"/>
        </w:rPr>
      </w:pPr>
      <w:r>
        <w:rPr>
          <w:rFonts w:ascii="Arial" w:hAnsi="Arial" w:cs="Arial"/>
        </w:rPr>
        <w:t>The findings from these clinical trials have supported the rationale for using BTMs in monitoring patients with postmenopausal osteoporosis; the change in BTMs occurs ear</w:t>
      </w:r>
      <w:r w:rsidR="00A01569">
        <w:rPr>
          <w:rFonts w:ascii="Arial" w:hAnsi="Arial" w:cs="Arial"/>
        </w:rPr>
        <w:t>ly, the change is large despite</w:t>
      </w:r>
      <w:r>
        <w:rPr>
          <w:rFonts w:ascii="Arial" w:hAnsi="Arial" w:cs="Arial"/>
        </w:rPr>
        <w:t xml:space="preserve"> considerable va</w:t>
      </w:r>
      <w:r w:rsidR="00A01569">
        <w:rPr>
          <w:rFonts w:ascii="Arial" w:hAnsi="Arial" w:cs="Arial"/>
        </w:rPr>
        <w:t xml:space="preserve">riability and the change </w:t>
      </w:r>
      <w:r>
        <w:rPr>
          <w:rFonts w:ascii="Arial" w:hAnsi="Arial" w:cs="Arial"/>
        </w:rPr>
        <w:t xml:space="preserve">appears to be a better surrogate for fracture risk reduction than the change in BMD. Subsequently, the International Osteoporosis Federation (IOF/International Federation of Clinical Chemistry and Laboratory Medicine (IFCC) Bone Marker Working Group have made several recommendations for the use of BTMs in assessing fracture risk and treatment monitoring </w:t>
      </w:r>
      <w:r>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19" w:tooltip="Vasikaran, 2011 #518" w:history="1">
        <w:r w:rsidR="003B725E">
          <w:rPr>
            <w:rFonts w:ascii="Arial" w:hAnsi="Arial" w:cs="Arial"/>
            <w:noProof/>
          </w:rPr>
          <w:t>319</w:t>
        </w:r>
      </w:hyperlink>
      <w:r w:rsidR="00B64C0F">
        <w:rPr>
          <w:rFonts w:ascii="Arial" w:hAnsi="Arial" w:cs="Arial"/>
          <w:noProof/>
        </w:rPr>
        <w:t>)</w:t>
      </w:r>
      <w:r>
        <w:rPr>
          <w:rFonts w:ascii="Arial" w:hAnsi="Arial" w:cs="Arial"/>
        </w:rPr>
        <w:fldChar w:fldCharType="end"/>
      </w:r>
      <w:r>
        <w:rPr>
          <w:rFonts w:ascii="Arial" w:hAnsi="Arial" w:cs="Arial"/>
        </w:rPr>
        <w:t xml:space="preserve">. One particular recommendation stated that serum CTX and PINP need to be measured in order to assess bone resorption and formation, respectively in studies that aim to investigate fracture risk and treatment monitoring. </w:t>
      </w:r>
    </w:p>
    <w:p w:rsidR="00A570EA" w:rsidRDefault="00A570EA" w:rsidP="003E6719">
      <w:pPr>
        <w:pStyle w:val="Heading3"/>
        <w:jc w:val="both"/>
      </w:pPr>
      <w:bookmarkStart w:id="52" w:name="_Toc425418897"/>
      <w:r>
        <w:lastRenderedPageBreak/>
        <w:t>Clinical utility of sclerostin</w:t>
      </w:r>
      <w:bookmarkEnd w:id="52"/>
    </w:p>
    <w:p w:rsidR="00A570EA" w:rsidRPr="00A83D26" w:rsidRDefault="00A570EA" w:rsidP="003B725E">
      <w:pPr>
        <w:spacing w:line="360" w:lineRule="auto"/>
        <w:jc w:val="both"/>
        <w:rPr>
          <w:rFonts w:ascii="Arial" w:hAnsi="Arial" w:cs="Arial"/>
        </w:rPr>
      </w:pPr>
      <w:r w:rsidRPr="00A83D26">
        <w:rPr>
          <w:rFonts w:ascii="Arial" w:hAnsi="Arial" w:cs="Arial"/>
        </w:rPr>
        <w:t>In recent years there has been a strong emphasis on investigating the ways in which sclerostin can be used in a clinical setting.</w:t>
      </w:r>
      <w:r w:rsidRPr="00A83D26">
        <w:rPr>
          <w:rFonts w:ascii="Arial" w:hAnsi="Arial" w:cs="Arial"/>
          <w:color w:val="FF0000"/>
        </w:rPr>
        <w:t xml:space="preserve"> </w:t>
      </w:r>
      <w:r w:rsidRPr="00A83D26">
        <w:rPr>
          <w:rFonts w:ascii="Arial" w:hAnsi="Arial" w:cs="Arial"/>
        </w:rPr>
        <w:t>However the findings from these studies have proved to be inconclusive and its specific role remains largely unanswered. A study investigating sclerostin levels and growth in children has identified that serum sclerostin levels are significantl</w:t>
      </w:r>
      <w:r w:rsidR="00B853DA">
        <w:rPr>
          <w:rFonts w:ascii="Arial" w:hAnsi="Arial" w:cs="Arial"/>
        </w:rPr>
        <w:t xml:space="preserve">y higher in boys than in girls </w:t>
      </w:r>
      <w:r w:rsidR="00B853DA">
        <w:rPr>
          <w:rFonts w:ascii="Arial" w:hAnsi="Arial" w:cs="Arial"/>
        </w:rPr>
        <w:fldChar w:fldCharType="begin">
          <w:fldData xml:space="preserve">PEVuZE5vdGU+PENpdGU+PEF1dGhvcj5LaXJtYW5pPC9BdXRob3I+PFllYXI+MjAxMjwvWWVhcj48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PEVuZE5vdGU+PENpdGU+PEF1dGhvcj5LaXJtYW5pPC9BdXRob3I+PFllYXI+MjAxMjwvWWVhcj48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B853DA">
        <w:rPr>
          <w:rFonts w:ascii="Arial" w:hAnsi="Arial" w:cs="Arial"/>
        </w:rPr>
      </w:r>
      <w:r w:rsidR="00B853DA">
        <w:rPr>
          <w:rFonts w:ascii="Arial" w:hAnsi="Arial" w:cs="Arial"/>
        </w:rPr>
        <w:fldChar w:fldCharType="separate"/>
      </w:r>
      <w:r w:rsidR="00B64C0F">
        <w:rPr>
          <w:rFonts w:ascii="Arial" w:hAnsi="Arial" w:cs="Arial"/>
          <w:noProof/>
        </w:rPr>
        <w:t>(</w:t>
      </w:r>
      <w:hyperlink w:anchor="_ENREF_320" w:tooltip="Kirmani, 2012 #449" w:history="1">
        <w:r w:rsidR="003B725E">
          <w:rPr>
            <w:rFonts w:ascii="Arial" w:hAnsi="Arial" w:cs="Arial"/>
            <w:noProof/>
          </w:rPr>
          <w:t>320</w:t>
        </w:r>
      </w:hyperlink>
      <w:r w:rsidR="00B64C0F">
        <w:rPr>
          <w:rFonts w:ascii="Arial" w:hAnsi="Arial" w:cs="Arial"/>
          <w:noProof/>
        </w:rPr>
        <w:t>)</w:t>
      </w:r>
      <w:r w:rsidR="00B853DA">
        <w:rPr>
          <w:rFonts w:ascii="Arial" w:hAnsi="Arial" w:cs="Arial"/>
        </w:rPr>
        <w:fldChar w:fldCharType="end"/>
      </w:r>
      <w:r w:rsidRPr="00A83D26">
        <w:rPr>
          <w:rFonts w:ascii="Arial" w:hAnsi="Arial" w:cs="Arial"/>
        </w:rPr>
        <w:t xml:space="preserve">. Prior to the onset of puberty sclerostin levels were positively associated with bone age and negatively after puberty. In adults sclerostin levels remained significantly higher in men </w:t>
      </w:r>
      <w:r w:rsidR="00B853DA">
        <w:rPr>
          <w:rFonts w:ascii="Arial" w:hAnsi="Arial" w:cs="Arial"/>
        </w:rPr>
        <w:t xml:space="preserve">compared to premenopausal women </w:t>
      </w:r>
      <w:r w:rsidRPr="00A83D26">
        <w:rPr>
          <w:rFonts w:ascii="Arial" w:hAnsi="Arial" w:cs="Arial"/>
        </w:rPr>
        <w:t>and were positively associated with age</w:t>
      </w:r>
      <w:r w:rsidR="00B853DA">
        <w:rPr>
          <w:rFonts w:ascii="Arial" w:hAnsi="Arial" w:cs="Arial"/>
        </w:rPr>
        <w:t xml:space="preserve"> </w:t>
      </w:r>
      <w:r w:rsidR="00B853DA">
        <w:rPr>
          <w:rFonts w:ascii="Arial" w:hAnsi="Arial" w:cs="Arial"/>
        </w:rPr>
        <w:fldChar w:fldCharType="begin">
          <w:fldData xml:space="preserve">PEVuZE5vdGU+PENpdGU+PEF1dGhvcj5Nb2RkZXI8L0F1dGhvcj48WWVhcj4yMDExPC9ZZWFyPjxS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PEVuZE5vdGU+PENpdGU+PEF1dGhvcj5Nb2RkZXI8L0F1dGhvcj48WWVhcj4yMDExPC9ZZWFyPjxS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B853DA">
        <w:rPr>
          <w:rFonts w:ascii="Arial" w:hAnsi="Arial" w:cs="Arial"/>
        </w:rPr>
      </w:r>
      <w:r w:rsidR="00B853DA">
        <w:rPr>
          <w:rFonts w:ascii="Arial" w:hAnsi="Arial" w:cs="Arial"/>
        </w:rPr>
        <w:fldChar w:fldCharType="separate"/>
      </w:r>
      <w:r w:rsidR="00B64C0F">
        <w:rPr>
          <w:rFonts w:ascii="Arial" w:hAnsi="Arial" w:cs="Arial"/>
          <w:noProof/>
        </w:rPr>
        <w:t>(</w:t>
      </w:r>
      <w:hyperlink w:anchor="_ENREF_321" w:tooltip="Modder, 2011 #452" w:history="1">
        <w:r w:rsidR="003B725E">
          <w:rPr>
            <w:rFonts w:ascii="Arial" w:hAnsi="Arial" w:cs="Arial"/>
            <w:noProof/>
          </w:rPr>
          <w:t>321</w:t>
        </w:r>
      </w:hyperlink>
      <w:r w:rsidR="00B64C0F">
        <w:rPr>
          <w:rFonts w:ascii="Arial" w:hAnsi="Arial" w:cs="Arial"/>
          <w:noProof/>
        </w:rPr>
        <w:t>)</w:t>
      </w:r>
      <w:r w:rsidR="00B853DA">
        <w:rPr>
          <w:rFonts w:ascii="Arial" w:hAnsi="Arial" w:cs="Arial"/>
        </w:rPr>
        <w:fldChar w:fldCharType="end"/>
      </w:r>
      <w:r w:rsidRPr="00A83D26">
        <w:rPr>
          <w:rFonts w:ascii="Arial" w:hAnsi="Arial" w:cs="Arial"/>
        </w:rPr>
        <w:t>. In postmenopausal women and aged men,</w:t>
      </w:r>
      <w:r>
        <w:rPr>
          <w:rFonts w:ascii="Arial" w:hAnsi="Arial" w:cs="Arial"/>
        </w:rPr>
        <w:t xml:space="preserve"> Mö</w:t>
      </w:r>
      <w:r w:rsidRPr="00A83D26">
        <w:rPr>
          <w:rFonts w:ascii="Arial" w:hAnsi="Arial" w:cs="Arial"/>
        </w:rPr>
        <w:t>dder et al</w:t>
      </w:r>
      <w:r w:rsidR="00B853DA">
        <w:rPr>
          <w:rFonts w:ascii="Arial" w:hAnsi="Arial" w:cs="Arial"/>
        </w:rPr>
        <w:t xml:space="preserve"> also</w:t>
      </w:r>
      <w:r w:rsidRPr="00A83D26">
        <w:rPr>
          <w:rFonts w:ascii="Arial" w:hAnsi="Arial" w:cs="Arial"/>
        </w:rPr>
        <w:t xml:space="preserve"> demonstrated that it was the reduced estrogen that was associated with increasing levels of sclerostin and therefore the possible reduction in bone formation</w:t>
      </w:r>
      <w:r w:rsidR="00B853DA">
        <w:rPr>
          <w:rFonts w:ascii="Arial" w:hAnsi="Arial" w:cs="Arial"/>
        </w:rPr>
        <w:t xml:space="preserve"> </w:t>
      </w:r>
      <w:r w:rsidR="00B853DA">
        <w:rPr>
          <w:rFonts w:ascii="Arial" w:hAnsi="Arial" w:cs="Arial"/>
        </w:rPr>
        <w:fldChar w:fldCharType="begin">
          <w:fldData xml:space="preserve">PEVuZE5vdGU+PENpdGU+PEF1dGhvcj5Nb2RkZXI8L0F1dGhvcj48WWVhcj4yMDExPC9ZZWFyPjxS
ZWNOdW0+NDUwPC9SZWNOdW0+PERpc3BsYXlUZXh0PigzMjIpPC9EaXNwbGF5VGV4dD48cmVjb3Jk
PjxyZWMtbnVtYmVyPjQ1MDwvcmVjLW51bWJlcj48Zm9yZWlnbi1rZXlzPjxrZXkgYXBwPSJFTiIg
ZGItaWQ9InA5YTV0dHN2eXZkZTltZTVhdzJ4MDVmcDVwNTVheGYwd3I5MCIgdGltZXN0YW1wPSIx
NDM2MTg3MDQwIj40NTA8L2tleT48L2ZvcmVpZ24ta2V5cz48cmVmLXR5cGUgbmFtZT0iSm91cm5h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ZXJhbCBSZXNlYXJjaDwvYWJici0xPjwvcGVyaW9kaWNhbD48cGFnZXM+MjctMzQ8L3BhZ2VzPjx2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PEVuZE5vdGU+PENpdGU+PEF1dGhvcj5Nb2RkZXI8L0F1dGhvcj48WWVhcj4yMDExPC9ZZWFyPjxS
ZWNOdW0+NDUwPC9SZWNOdW0+PERpc3BsYXlUZXh0PigzMjIpPC9EaXNwbGF5VGV4dD48cmVjb3Jk
PjxyZWMtbnVtYmVyPjQ1MDwvcmVjLW51bWJlcj48Zm9yZWlnbi1rZXlzPjxrZXkgYXBwPSJFTiIg
ZGItaWQ9InA5YTV0dHN2eXZkZTltZTVhdzJ4MDVmcDVwNTVheGYwd3I5MCIgdGltZXN0YW1wPSIx
NDM2MTg3MDQwIj40NTA8L2tleT48L2ZvcmVpZ24ta2V5cz48cmVmLXR5cGUgbmFtZT0iSm91cm5h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ZXJhbCBSZXNlYXJjaDwvYWJici0xPjwvcGVyaW9kaWNhbD48cGFnZXM+MjctMzQ8L3BhZ2VzPjx2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B853DA">
        <w:rPr>
          <w:rFonts w:ascii="Arial" w:hAnsi="Arial" w:cs="Arial"/>
        </w:rPr>
      </w:r>
      <w:r w:rsidR="00B853DA">
        <w:rPr>
          <w:rFonts w:ascii="Arial" w:hAnsi="Arial" w:cs="Arial"/>
        </w:rPr>
        <w:fldChar w:fldCharType="separate"/>
      </w:r>
      <w:r w:rsidR="00B64C0F">
        <w:rPr>
          <w:rFonts w:ascii="Arial" w:hAnsi="Arial" w:cs="Arial"/>
          <w:noProof/>
        </w:rPr>
        <w:t>(</w:t>
      </w:r>
      <w:hyperlink w:anchor="_ENREF_322" w:tooltip="Modder, 2011 #450" w:history="1">
        <w:r w:rsidR="003B725E">
          <w:rPr>
            <w:rFonts w:ascii="Arial" w:hAnsi="Arial" w:cs="Arial"/>
            <w:noProof/>
          </w:rPr>
          <w:t>322</w:t>
        </w:r>
      </w:hyperlink>
      <w:r w:rsidR="00B64C0F">
        <w:rPr>
          <w:rFonts w:ascii="Arial" w:hAnsi="Arial" w:cs="Arial"/>
          <w:noProof/>
        </w:rPr>
        <w:t>)</w:t>
      </w:r>
      <w:r w:rsidR="00B853DA">
        <w:rPr>
          <w:rFonts w:ascii="Arial" w:hAnsi="Arial" w:cs="Arial"/>
        </w:rPr>
        <w:fldChar w:fldCharType="end"/>
      </w:r>
      <w:r w:rsidRPr="00A83D26">
        <w:rPr>
          <w:rFonts w:ascii="Arial" w:hAnsi="Arial" w:cs="Arial"/>
        </w:rPr>
        <w:t xml:space="preserve">.   </w:t>
      </w:r>
    </w:p>
    <w:p w:rsidR="00A570EA" w:rsidRDefault="00A570EA" w:rsidP="003B725E">
      <w:pPr>
        <w:spacing w:line="360" w:lineRule="auto"/>
        <w:jc w:val="both"/>
        <w:rPr>
          <w:rFonts w:ascii="Arial" w:hAnsi="Arial" w:cs="Arial"/>
        </w:rPr>
      </w:pPr>
      <w:r w:rsidRPr="00A83D26">
        <w:rPr>
          <w:rFonts w:ascii="Arial" w:hAnsi="Arial" w:cs="Arial"/>
        </w:rPr>
        <w:t xml:space="preserve">In addition, there are several clinical states in which serum sclerostin has been measured in an attempt to identify its role. In a cross-sectional study Costa et al demonstrated that sclerostin was significantly higher in 20 patients with hypoparathyroidism compared to a control group </w:t>
      </w:r>
      <w:r w:rsidR="004B70D7">
        <w:rPr>
          <w:rFonts w:ascii="Arial" w:hAnsi="Arial" w:cs="Arial"/>
        </w:rPr>
        <w:fldChar w:fldCharType="begin">
          <w:fldData xml:space="preserve">PEVuZE5vdGU+PENpdGU+PEF1dGhvcj5Db3N0YTwvQXV0aG9yPjxZZWFyPjIwMTE8L1llYXI+PFJl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==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PEVuZE5vdGU+PENpdGU+PEF1dGhvcj5Db3N0YTwvQXV0aG9yPjxZZWFyPjIwMTE8L1llYXI+PFJl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==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4B70D7">
        <w:rPr>
          <w:rFonts w:ascii="Arial" w:hAnsi="Arial" w:cs="Arial"/>
        </w:rPr>
      </w:r>
      <w:r w:rsidR="004B70D7">
        <w:rPr>
          <w:rFonts w:ascii="Arial" w:hAnsi="Arial" w:cs="Arial"/>
        </w:rPr>
        <w:fldChar w:fldCharType="separate"/>
      </w:r>
      <w:r w:rsidR="00B64C0F">
        <w:rPr>
          <w:rFonts w:ascii="Arial" w:hAnsi="Arial" w:cs="Arial"/>
          <w:noProof/>
        </w:rPr>
        <w:t>(</w:t>
      </w:r>
      <w:hyperlink w:anchor="_ENREF_323" w:tooltip="Costa, 2011 #453" w:history="1">
        <w:r w:rsidR="003B725E">
          <w:rPr>
            <w:rFonts w:ascii="Arial" w:hAnsi="Arial" w:cs="Arial"/>
            <w:noProof/>
          </w:rPr>
          <w:t>323</w:t>
        </w:r>
      </w:hyperlink>
      <w:r w:rsidR="00B64C0F">
        <w:rPr>
          <w:rFonts w:ascii="Arial" w:hAnsi="Arial" w:cs="Arial"/>
          <w:noProof/>
        </w:rPr>
        <w:t>)</w:t>
      </w:r>
      <w:r w:rsidR="004B70D7">
        <w:rPr>
          <w:rFonts w:ascii="Arial" w:hAnsi="Arial" w:cs="Arial"/>
        </w:rPr>
        <w:fldChar w:fldCharType="end"/>
      </w:r>
      <w:r w:rsidRPr="00A83D26">
        <w:rPr>
          <w:rFonts w:ascii="Arial" w:hAnsi="Arial" w:cs="Arial"/>
        </w:rPr>
        <w:t xml:space="preserve"> and was not correlated with BMD and positively </w:t>
      </w:r>
      <w:r w:rsidR="00174540">
        <w:rPr>
          <w:rFonts w:ascii="Arial" w:hAnsi="Arial" w:cs="Arial"/>
        </w:rPr>
        <w:t xml:space="preserve">correlated with CTX only. </w:t>
      </w:r>
      <w:r w:rsidRPr="00A83D26">
        <w:rPr>
          <w:rFonts w:ascii="Arial" w:hAnsi="Arial" w:cs="Arial"/>
        </w:rPr>
        <w:t xml:space="preserve">Treatment of hypoparathyroidism with intermittent or continuous PTH 1-34 increased levels of sclerostin, suggesting a relationship with PTH and a clinical usefulness in </w:t>
      </w:r>
      <w:r w:rsidR="00D665B4">
        <w:rPr>
          <w:rFonts w:ascii="Arial" w:hAnsi="Arial" w:cs="Arial"/>
        </w:rPr>
        <w:t>para</w:t>
      </w:r>
      <w:r w:rsidRPr="00A83D26">
        <w:rPr>
          <w:rFonts w:ascii="Arial" w:hAnsi="Arial" w:cs="Arial"/>
        </w:rPr>
        <w:t xml:space="preserve">thyroid disease.  Another two studies have demonstrated its possible role in renal </w:t>
      </w:r>
      <w:r w:rsidR="0066224E" w:rsidRPr="00A83D26">
        <w:rPr>
          <w:rFonts w:ascii="Arial" w:hAnsi="Arial" w:cs="Arial"/>
        </w:rPr>
        <w:t>impairment</w:t>
      </w:r>
      <w:r w:rsidRPr="00A83D26">
        <w:rPr>
          <w:rFonts w:ascii="Arial" w:hAnsi="Arial" w:cs="Arial"/>
        </w:rPr>
        <w:t xml:space="preserve">, with reduced levels in patients with chronic kidney disease (CKD) stages 3B and 5 </w:t>
      </w:r>
      <w:r w:rsidR="004B70D7">
        <w:rPr>
          <w:rFonts w:ascii="Arial" w:hAnsi="Arial" w:cs="Arial"/>
        </w:rPr>
        <w:fldChar w:fldCharType="begin">
          <w:fldData xml:space="preserve">PEVuZE5vdGU+PENpdGU+PEF1dGhvcj5UaGFtYmlhaDwvQXV0aG9yPjxZZWFyPjIwMTI8L1llYXI+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PEVuZE5vdGU+PENpdGU+PEF1dGhvcj5UaGFtYmlhaDwvQXV0aG9yPjxZZWFyPjIwMTI8L1llYXI+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4B70D7">
        <w:rPr>
          <w:rFonts w:ascii="Arial" w:hAnsi="Arial" w:cs="Arial"/>
        </w:rPr>
      </w:r>
      <w:r w:rsidR="004B70D7">
        <w:rPr>
          <w:rFonts w:ascii="Arial" w:hAnsi="Arial" w:cs="Arial"/>
        </w:rPr>
        <w:fldChar w:fldCharType="separate"/>
      </w:r>
      <w:r w:rsidR="00B64C0F">
        <w:rPr>
          <w:rFonts w:ascii="Arial" w:hAnsi="Arial" w:cs="Arial"/>
          <w:noProof/>
        </w:rPr>
        <w:t>(</w:t>
      </w:r>
      <w:hyperlink w:anchor="_ENREF_324" w:tooltip="Thambiah, 2012 #454" w:history="1">
        <w:r w:rsidR="003B725E">
          <w:rPr>
            <w:rFonts w:ascii="Arial" w:hAnsi="Arial" w:cs="Arial"/>
            <w:noProof/>
          </w:rPr>
          <w:t>324</w:t>
        </w:r>
      </w:hyperlink>
      <w:r w:rsidR="00B64C0F">
        <w:rPr>
          <w:rFonts w:ascii="Arial" w:hAnsi="Arial" w:cs="Arial"/>
          <w:noProof/>
        </w:rPr>
        <w:t xml:space="preserve">, </w:t>
      </w:r>
      <w:hyperlink w:anchor="_ENREF_325" w:tooltip="Pelletier, 2013 #455" w:history="1">
        <w:r w:rsidR="003B725E">
          <w:rPr>
            <w:rFonts w:ascii="Arial" w:hAnsi="Arial" w:cs="Arial"/>
            <w:noProof/>
          </w:rPr>
          <w:t>325</w:t>
        </w:r>
      </w:hyperlink>
      <w:r w:rsidR="00B64C0F">
        <w:rPr>
          <w:rFonts w:ascii="Arial" w:hAnsi="Arial" w:cs="Arial"/>
          <w:noProof/>
        </w:rPr>
        <w:t>)</w:t>
      </w:r>
      <w:r w:rsidR="004B70D7">
        <w:rPr>
          <w:rFonts w:ascii="Arial" w:hAnsi="Arial" w:cs="Arial"/>
        </w:rPr>
        <w:fldChar w:fldCharType="end"/>
      </w:r>
      <w:r w:rsidRPr="00A83D26">
        <w:rPr>
          <w:rFonts w:ascii="Arial" w:hAnsi="Arial" w:cs="Arial"/>
        </w:rPr>
        <w:t>. This may be caused by a change in the handling/clearance of sclerostin due to the renal impairment. Several other studies have also demonstrated that along with BTMs, sclerostin was significantly increased in patients with type II diabetes compared to controls</w:t>
      </w:r>
      <w:r w:rsidR="004B70D7">
        <w:rPr>
          <w:rFonts w:ascii="Arial" w:hAnsi="Arial" w:cs="Arial"/>
        </w:rPr>
        <w:t xml:space="preserve"> </w:t>
      </w:r>
      <w:r w:rsidR="004B70D7">
        <w:rPr>
          <w:rFonts w:ascii="Arial" w:hAnsi="Arial" w:cs="Arial"/>
        </w:rPr>
        <w:fldChar w:fldCharType="begin">
          <w:fldData xml:space="preserve">PEVuZE5vdGU+PENpdGU+PEF1dGhvcj5HYXVkaW88L0F1dGhvcj48WWVhcj4yMDEyPC9ZZWFyPjxS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PEVuZE5vdGU+PENpdGU+PEF1dGhvcj5HYXVkaW88L0F1dGhvcj48WWVhcj4yMDEyPC9ZZWFyPjxS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4B70D7">
        <w:rPr>
          <w:rFonts w:ascii="Arial" w:hAnsi="Arial" w:cs="Arial"/>
        </w:rPr>
      </w:r>
      <w:r w:rsidR="004B70D7">
        <w:rPr>
          <w:rFonts w:ascii="Arial" w:hAnsi="Arial" w:cs="Arial"/>
        </w:rPr>
        <w:fldChar w:fldCharType="separate"/>
      </w:r>
      <w:r w:rsidR="00B64C0F">
        <w:rPr>
          <w:rFonts w:ascii="Arial" w:hAnsi="Arial" w:cs="Arial"/>
          <w:noProof/>
        </w:rPr>
        <w:t>(</w:t>
      </w:r>
      <w:hyperlink w:anchor="_ENREF_326" w:tooltip="Gaudio, 2012 #456" w:history="1">
        <w:r w:rsidR="003B725E">
          <w:rPr>
            <w:rFonts w:ascii="Arial" w:hAnsi="Arial" w:cs="Arial"/>
            <w:noProof/>
          </w:rPr>
          <w:t>326-328</w:t>
        </w:r>
      </w:hyperlink>
      <w:r w:rsidR="00B64C0F">
        <w:rPr>
          <w:rFonts w:ascii="Arial" w:hAnsi="Arial" w:cs="Arial"/>
          <w:noProof/>
        </w:rPr>
        <w:t>)</w:t>
      </w:r>
      <w:r w:rsidR="004B70D7">
        <w:rPr>
          <w:rFonts w:ascii="Arial" w:hAnsi="Arial" w:cs="Arial"/>
        </w:rPr>
        <w:fldChar w:fldCharType="end"/>
      </w:r>
      <w:r w:rsidRPr="00A83D26">
        <w:rPr>
          <w:rFonts w:ascii="Arial" w:hAnsi="Arial" w:cs="Arial"/>
        </w:rPr>
        <w:t xml:space="preserve">. In 46 patients with ankylosing spondylitis sclerostin was significantly lower compared to controls </w:t>
      </w:r>
      <w:r w:rsidR="006E00D4">
        <w:rPr>
          <w:rFonts w:ascii="Arial" w:hAnsi="Arial" w:cs="Arial"/>
        </w:rPr>
        <w:fldChar w:fldCharType="begin">
          <w:fldData xml:space="preserve">PEVuZE5vdGU+PENpdGU+PEF1dGhvcj5BcHBlbDwvQXV0aG9yPjxZZWFyPjIwMDk8L1llYXI+PFJl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PEVuZE5vdGU+PENpdGU+PEF1dGhvcj5BcHBlbDwvQXV0aG9yPjxZZWFyPjIwMDk8L1llYXI+PFJl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6E00D4">
        <w:rPr>
          <w:rFonts w:ascii="Arial" w:hAnsi="Arial" w:cs="Arial"/>
        </w:rPr>
      </w:r>
      <w:r w:rsidR="006E00D4">
        <w:rPr>
          <w:rFonts w:ascii="Arial" w:hAnsi="Arial" w:cs="Arial"/>
        </w:rPr>
        <w:fldChar w:fldCharType="separate"/>
      </w:r>
      <w:r w:rsidR="00B64C0F">
        <w:rPr>
          <w:rFonts w:ascii="Arial" w:hAnsi="Arial" w:cs="Arial"/>
          <w:noProof/>
        </w:rPr>
        <w:t>(</w:t>
      </w:r>
      <w:hyperlink w:anchor="_ENREF_329" w:tooltip="Appel, 2009 #459" w:history="1">
        <w:r w:rsidR="003B725E">
          <w:rPr>
            <w:rFonts w:ascii="Arial" w:hAnsi="Arial" w:cs="Arial"/>
            <w:noProof/>
          </w:rPr>
          <w:t>329</w:t>
        </w:r>
      </w:hyperlink>
      <w:r w:rsidR="00B64C0F">
        <w:rPr>
          <w:rFonts w:ascii="Arial" w:hAnsi="Arial" w:cs="Arial"/>
          <w:noProof/>
        </w:rPr>
        <w:t>)</w:t>
      </w:r>
      <w:r w:rsidR="006E00D4">
        <w:rPr>
          <w:rFonts w:ascii="Arial" w:hAnsi="Arial" w:cs="Arial"/>
        </w:rPr>
        <w:fldChar w:fldCharType="end"/>
      </w:r>
      <w:r w:rsidRPr="00A83D26">
        <w:rPr>
          <w:rFonts w:ascii="Arial" w:hAnsi="Arial" w:cs="Arial"/>
        </w:rPr>
        <w:t xml:space="preserve"> and hence increased bone formation which is a characteristic of this disease. Sclerostin levels are higher in immobilised patients</w:t>
      </w:r>
      <w:r w:rsidR="006E00D4">
        <w:rPr>
          <w:rFonts w:ascii="Arial" w:hAnsi="Arial" w:cs="Arial"/>
        </w:rPr>
        <w:t>, for example</w:t>
      </w:r>
      <w:r w:rsidRPr="00A83D26">
        <w:rPr>
          <w:rFonts w:ascii="Arial" w:hAnsi="Arial" w:cs="Arial"/>
        </w:rPr>
        <w:t xml:space="preserve"> as a result of spinal cord in</w:t>
      </w:r>
      <w:r w:rsidR="006E00D4">
        <w:rPr>
          <w:rFonts w:ascii="Arial" w:hAnsi="Arial" w:cs="Arial"/>
        </w:rPr>
        <w:t>jury</w:t>
      </w:r>
      <w:r w:rsidRPr="00A83D26">
        <w:rPr>
          <w:rFonts w:ascii="Arial" w:hAnsi="Arial" w:cs="Arial"/>
        </w:rPr>
        <w:t xml:space="preserve"> </w:t>
      </w:r>
      <w:r w:rsidR="006E00D4">
        <w:rPr>
          <w:rFonts w:ascii="Arial" w:hAnsi="Arial" w:cs="Arial"/>
        </w:rPr>
        <w:fldChar w:fldCharType="begin">
          <w:fldData xml:space="preserve">PEVuZE5vdGU+PENpdGU+PEF1dGhvcj5TcGF0ejwvQXV0aG9yPjxZZWFyPjIwMTI8L1llYXI+PFJl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bCBSZXNlYXJjaDwvYWJici0xPjwvcGVyaW9kaWNhbD48cGFnZXM+MTAxNC0yMTwvcGFnZXM+PHZv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PEVuZE5vdGU+PENpdGU+PEF1dGhvcj5TcGF0ejwvQXV0aG9yPjxZZWFyPjIwMTI8L1llYXI+PFJl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bCBSZXNlYXJjaDwvYWJici0xPjwvcGVyaW9kaWNhbD48cGFnZXM+MTAxNC0yMTwvcGFnZXM+PHZv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6E00D4">
        <w:rPr>
          <w:rFonts w:ascii="Arial" w:hAnsi="Arial" w:cs="Arial"/>
        </w:rPr>
      </w:r>
      <w:r w:rsidR="006E00D4">
        <w:rPr>
          <w:rFonts w:ascii="Arial" w:hAnsi="Arial" w:cs="Arial"/>
        </w:rPr>
        <w:fldChar w:fldCharType="separate"/>
      </w:r>
      <w:r w:rsidR="00B64C0F">
        <w:rPr>
          <w:rFonts w:ascii="Arial" w:hAnsi="Arial" w:cs="Arial"/>
          <w:noProof/>
        </w:rPr>
        <w:t>(</w:t>
      </w:r>
      <w:hyperlink w:anchor="_ENREF_330" w:tooltip="Spatz, 2012 #460" w:history="1">
        <w:r w:rsidR="003B725E">
          <w:rPr>
            <w:rFonts w:ascii="Arial" w:hAnsi="Arial" w:cs="Arial"/>
            <w:noProof/>
          </w:rPr>
          <w:t>330-332</w:t>
        </w:r>
      </w:hyperlink>
      <w:r w:rsidR="00B64C0F">
        <w:rPr>
          <w:rFonts w:ascii="Arial" w:hAnsi="Arial" w:cs="Arial"/>
          <w:noProof/>
        </w:rPr>
        <w:t>)</w:t>
      </w:r>
      <w:r w:rsidR="006E00D4">
        <w:rPr>
          <w:rFonts w:ascii="Arial" w:hAnsi="Arial" w:cs="Arial"/>
        </w:rPr>
        <w:fldChar w:fldCharType="end"/>
      </w:r>
      <w:r w:rsidRPr="00A83D26">
        <w:rPr>
          <w:rFonts w:ascii="Arial" w:hAnsi="Arial" w:cs="Arial"/>
        </w:rPr>
        <w:t xml:space="preserve"> and decreased in patients with hypercortisolism (as a result of Cushing’s syndrome or therapeutic intervention)</w:t>
      </w:r>
      <w:r w:rsidR="006E00D4">
        <w:rPr>
          <w:rFonts w:ascii="Arial" w:hAnsi="Arial" w:cs="Arial"/>
        </w:rPr>
        <w:t xml:space="preserve"> </w:t>
      </w:r>
      <w:r w:rsidR="006E00D4">
        <w:rPr>
          <w:rFonts w:ascii="Arial" w:hAnsi="Arial" w:cs="Arial"/>
        </w:rPr>
        <w:fldChar w:fldCharType="begin">
          <w:fldData xml:space="preserve">PEVuZE5vdGU+PENpdGU+PEF1dGhvcj5CZWxheWE8L0F1dGhvcj48WWVhcj4yMDEzPC9ZZWFyPjxS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PEVuZE5vdGU+PENpdGU+PEF1dGhvcj5CZWxheWE8L0F1dGhvcj48WWVhcj4yMDEzPC9ZZWFyPjxS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6E00D4">
        <w:rPr>
          <w:rFonts w:ascii="Arial" w:hAnsi="Arial" w:cs="Arial"/>
        </w:rPr>
      </w:r>
      <w:r w:rsidR="006E00D4">
        <w:rPr>
          <w:rFonts w:ascii="Arial" w:hAnsi="Arial" w:cs="Arial"/>
        </w:rPr>
        <w:fldChar w:fldCharType="separate"/>
      </w:r>
      <w:r w:rsidR="00B64C0F">
        <w:rPr>
          <w:rFonts w:ascii="Arial" w:hAnsi="Arial" w:cs="Arial"/>
          <w:noProof/>
        </w:rPr>
        <w:t>(</w:t>
      </w:r>
      <w:hyperlink w:anchor="_ENREF_333" w:tooltip="Belaya, 2013 #462" w:history="1">
        <w:r w:rsidR="003B725E">
          <w:rPr>
            <w:rFonts w:ascii="Arial" w:hAnsi="Arial" w:cs="Arial"/>
            <w:noProof/>
          </w:rPr>
          <w:t>333</w:t>
        </w:r>
      </w:hyperlink>
      <w:r w:rsidR="00B64C0F">
        <w:rPr>
          <w:rFonts w:ascii="Arial" w:hAnsi="Arial" w:cs="Arial"/>
          <w:noProof/>
        </w:rPr>
        <w:t>)</w:t>
      </w:r>
      <w:r w:rsidR="006E00D4">
        <w:rPr>
          <w:rFonts w:ascii="Arial" w:hAnsi="Arial" w:cs="Arial"/>
        </w:rPr>
        <w:fldChar w:fldCharType="end"/>
      </w:r>
      <w:r w:rsidRPr="00A83D26">
        <w:rPr>
          <w:rFonts w:ascii="Arial" w:hAnsi="Arial" w:cs="Arial"/>
        </w:rPr>
        <w:t>. I have previously shown that the latter is subsequently increased with gl</w:t>
      </w:r>
      <w:r w:rsidR="0066224E">
        <w:rPr>
          <w:rFonts w:ascii="Arial" w:hAnsi="Arial" w:cs="Arial"/>
        </w:rPr>
        <w:t>ucocorticoid therapy (Gossiel F et al, 2011, abstract: 1252, ASBMR</w:t>
      </w:r>
      <w:r w:rsidRPr="00A83D26">
        <w:rPr>
          <w:rFonts w:ascii="Arial" w:hAnsi="Arial" w:cs="Arial"/>
        </w:rPr>
        <w:t>).</w:t>
      </w:r>
    </w:p>
    <w:p w:rsidR="00A570EA" w:rsidRDefault="00A570EA" w:rsidP="003B725E">
      <w:pPr>
        <w:spacing w:line="360" w:lineRule="auto"/>
        <w:jc w:val="both"/>
        <w:rPr>
          <w:rFonts w:ascii="Arial" w:hAnsi="Arial" w:cs="Arial"/>
        </w:rPr>
      </w:pPr>
      <w:r>
        <w:rPr>
          <w:rFonts w:ascii="Arial" w:hAnsi="Arial" w:cs="Arial"/>
        </w:rPr>
        <w:t xml:space="preserve">With regards to BMD and fracture risk in postmenopausal osteoporosis, sclerostin continues to be of great interest and continuous research. Using the previous </w:t>
      </w:r>
      <w:r w:rsidRPr="002A6B78">
        <w:rPr>
          <w:rFonts w:ascii="Arial" w:hAnsi="Arial" w:cs="Arial"/>
          <w:i/>
        </w:rPr>
        <w:t>in vitro</w:t>
      </w:r>
      <w:r>
        <w:rPr>
          <w:rFonts w:ascii="Arial" w:hAnsi="Arial" w:cs="Arial"/>
        </w:rPr>
        <w:t xml:space="preserve"> findings that sclerostin is an inhibitor of Wnt and bone formation it is plausible to hypothesise that increased levels of circulating serum sclerostin is related to increased BMD and a reduction in fracture risk and </w:t>
      </w:r>
      <w:r>
        <w:rPr>
          <w:rFonts w:ascii="Arial" w:hAnsi="Arial" w:cs="Arial"/>
          <w:i/>
        </w:rPr>
        <w:t>vica</w:t>
      </w:r>
      <w:r w:rsidRPr="002A6B78">
        <w:rPr>
          <w:rFonts w:ascii="Arial" w:hAnsi="Arial" w:cs="Arial"/>
          <w:i/>
        </w:rPr>
        <w:t xml:space="preserve"> versa.</w:t>
      </w:r>
      <w:r>
        <w:rPr>
          <w:rFonts w:ascii="Arial" w:hAnsi="Arial" w:cs="Arial"/>
        </w:rPr>
        <w:t xml:space="preserve"> However to date, studies have shown inconsistent finding based on this hypothesis. Two studies have demonstrated that increased sclerostin levels were related to a reduction in BMD and increased fracture </w:t>
      </w:r>
      <w:r>
        <w:rPr>
          <w:rFonts w:ascii="Arial" w:hAnsi="Arial" w:cs="Arial"/>
        </w:rPr>
        <w:lastRenderedPageBreak/>
        <w:t>risk at the total hip and were therefore predictive of BMD and fracture</w:t>
      </w:r>
      <w:r w:rsidR="006E00D4">
        <w:rPr>
          <w:rFonts w:ascii="Arial" w:hAnsi="Arial" w:cs="Arial"/>
        </w:rPr>
        <w:t xml:space="preserve"> </w:t>
      </w:r>
      <w:r w:rsidR="006E00D4">
        <w:rPr>
          <w:rFonts w:ascii="Arial" w:hAnsi="Arial" w:cs="Arial"/>
        </w:rPr>
        <w:fldChar w:fldCharType="begin">
          <w:fldData xml:space="preserve">PEVuZE5vdGU+PENpdGU+PEF1dGhvcj5BcmFzdTwvQXV0aG9yPjxZZWFyPjIwMTI8L1llYXI+PFJl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ZWFyY2g8L2FiYnItMT48L3BlcmlvZGljYWw+PHBhZ2VzPjI1OTItNjAyPC9wYWdlcz48dm9sdW1l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PEVuZE5vdGU+PENpdGU+PEF1dGhvcj5BcmFzdTwvQXV0aG9yPjxZZWFyPjIwMTI8L1llYXI+PFJl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ZWFyY2g8L2FiYnItMT48L3BlcmlvZGljYWw+PHBhZ2VzPjI1OTItNjAyPC9wYWdlcz48dm9sdW1l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6E00D4">
        <w:rPr>
          <w:rFonts w:ascii="Arial" w:hAnsi="Arial" w:cs="Arial"/>
        </w:rPr>
      </w:r>
      <w:r w:rsidR="006E00D4">
        <w:rPr>
          <w:rFonts w:ascii="Arial" w:hAnsi="Arial" w:cs="Arial"/>
        </w:rPr>
        <w:fldChar w:fldCharType="separate"/>
      </w:r>
      <w:r w:rsidR="00B64C0F">
        <w:rPr>
          <w:rFonts w:ascii="Arial" w:hAnsi="Arial" w:cs="Arial"/>
          <w:noProof/>
        </w:rPr>
        <w:t>(</w:t>
      </w:r>
      <w:hyperlink w:anchor="_ENREF_334" w:tooltip="Arasu, 2012 #463" w:history="1">
        <w:r w:rsidR="003B725E">
          <w:rPr>
            <w:rFonts w:ascii="Arial" w:hAnsi="Arial" w:cs="Arial"/>
            <w:noProof/>
          </w:rPr>
          <w:t>334</w:t>
        </w:r>
      </w:hyperlink>
      <w:r w:rsidR="00B64C0F">
        <w:rPr>
          <w:rFonts w:ascii="Arial" w:hAnsi="Arial" w:cs="Arial"/>
          <w:noProof/>
        </w:rPr>
        <w:t xml:space="preserve">, </w:t>
      </w:r>
      <w:hyperlink w:anchor="_ENREF_335" w:tooltip="Ardawi, 2012 #464" w:history="1">
        <w:r w:rsidR="003B725E">
          <w:rPr>
            <w:rFonts w:ascii="Arial" w:hAnsi="Arial" w:cs="Arial"/>
            <w:noProof/>
          </w:rPr>
          <w:t>335</w:t>
        </w:r>
      </w:hyperlink>
      <w:r w:rsidR="00B64C0F">
        <w:rPr>
          <w:rFonts w:ascii="Arial" w:hAnsi="Arial" w:cs="Arial"/>
          <w:noProof/>
        </w:rPr>
        <w:t>)</w:t>
      </w:r>
      <w:r w:rsidR="006E00D4">
        <w:rPr>
          <w:rFonts w:ascii="Arial" w:hAnsi="Arial" w:cs="Arial"/>
        </w:rPr>
        <w:fldChar w:fldCharType="end"/>
      </w:r>
      <w:r>
        <w:rPr>
          <w:rFonts w:ascii="Arial" w:hAnsi="Arial" w:cs="Arial"/>
        </w:rPr>
        <w:t>. The first of these by Arasu A et al</w:t>
      </w:r>
      <w:r w:rsidR="00757A53">
        <w:rPr>
          <w:rFonts w:ascii="Arial" w:hAnsi="Arial" w:cs="Arial"/>
        </w:rPr>
        <w:t xml:space="preserve"> 2012,</w:t>
      </w:r>
      <w:r>
        <w:rPr>
          <w:rFonts w:ascii="Arial" w:hAnsi="Arial" w:cs="Arial"/>
        </w:rPr>
        <w:t xml:space="preserve"> showed that Caucasian osteoporotic postmenopausal women with sclerostin levels in the highest quartile and lowest BMD were 22.3 ( 95% CI 5.8-86.3) times more likely to fracture compared to women in the lowest quartile. Similarly Ardawi MS et al</w:t>
      </w:r>
      <w:r w:rsidR="00757A53">
        <w:rPr>
          <w:rFonts w:ascii="Arial" w:hAnsi="Arial" w:cs="Arial"/>
        </w:rPr>
        <w:t xml:space="preserve"> 2012,</w:t>
      </w:r>
      <w:r>
        <w:rPr>
          <w:rFonts w:ascii="Arial" w:hAnsi="Arial" w:cs="Arial"/>
        </w:rPr>
        <w:t xml:space="preserve"> showed that Saudi Arabian osteoporotic postmenopausal women with sclerostin levels in the highest quartile and lowest BMD were 15 times more likely to fracture. In contrast to these findings, Garnero P et al demonstrated that from the OFELY cohort of smaller number postmenopausal women sclerostin levels were positively correlated with BMD at the spine and total hip but no relationship with fracture risk </w:t>
      </w:r>
      <w:r w:rsidR="00757A53">
        <w:rPr>
          <w:rFonts w:ascii="Arial" w:hAnsi="Arial" w:cs="Arial"/>
        </w:rPr>
        <w:fldChar w:fldCharType="begin">
          <w:fldData xml:space="preserve">PEVuZE5vdGU+PENpdGU+PEF1dGhvcj5HYXJuZXJvPC9BdXRob3I+PFllYXI+MjAxMzwvWWVhcj48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PjwvcGVyaW9kaWNhbD48cGFnZXM+NDg5LTk0PC9wYWdlcz48dm9sdW1lPjI0PC92b2x1bWU+PG51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==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PEVuZE5vdGU+PENpdGU+PEF1dGhvcj5HYXJuZXJvPC9BdXRob3I+PFllYXI+MjAxMzwvWWVhcj48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PjwvcGVyaW9kaWNhbD48cGFnZXM+NDg5LTk0PC9wYWdlcz48dm9sdW1lPjI0PC92b2x1bWU+PG51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==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757A53">
        <w:rPr>
          <w:rFonts w:ascii="Arial" w:hAnsi="Arial" w:cs="Arial"/>
        </w:rPr>
      </w:r>
      <w:r w:rsidR="00757A53">
        <w:rPr>
          <w:rFonts w:ascii="Arial" w:hAnsi="Arial" w:cs="Arial"/>
        </w:rPr>
        <w:fldChar w:fldCharType="separate"/>
      </w:r>
      <w:r w:rsidR="00B64C0F">
        <w:rPr>
          <w:rFonts w:ascii="Arial" w:hAnsi="Arial" w:cs="Arial"/>
          <w:noProof/>
        </w:rPr>
        <w:t>(</w:t>
      </w:r>
      <w:hyperlink w:anchor="_ENREF_336" w:tooltip="Garnero, 2013 #465" w:history="1">
        <w:r w:rsidR="003B725E">
          <w:rPr>
            <w:rFonts w:ascii="Arial" w:hAnsi="Arial" w:cs="Arial"/>
            <w:noProof/>
          </w:rPr>
          <w:t>336</w:t>
        </w:r>
      </w:hyperlink>
      <w:r w:rsidR="00B64C0F">
        <w:rPr>
          <w:rFonts w:ascii="Arial" w:hAnsi="Arial" w:cs="Arial"/>
          <w:noProof/>
        </w:rPr>
        <w:t>)</w:t>
      </w:r>
      <w:r w:rsidR="00757A53">
        <w:rPr>
          <w:rFonts w:ascii="Arial" w:hAnsi="Arial" w:cs="Arial"/>
        </w:rPr>
        <w:fldChar w:fldCharType="end"/>
      </w:r>
      <w:r>
        <w:rPr>
          <w:rFonts w:ascii="Arial" w:hAnsi="Arial" w:cs="Arial"/>
        </w:rPr>
        <w:t>. In addition,</w:t>
      </w:r>
      <w:r w:rsidR="00757A53">
        <w:rPr>
          <w:rFonts w:ascii="Arial" w:hAnsi="Arial" w:cs="Arial"/>
        </w:rPr>
        <w:t xml:space="preserve"> Garnero P et al 2013,</w:t>
      </w:r>
      <w:r>
        <w:rPr>
          <w:rFonts w:ascii="Arial" w:hAnsi="Arial" w:cs="Arial"/>
        </w:rPr>
        <w:t xml:space="preserve"> found that there was no relationship with estrogen levels, in contrast to Mödder’s findings previously</w:t>
      </w:r>
      <w:r w:rsidR="00757A53">
        <w:rPr>
          <w:rFonts w:ascii="Arial" w:hAnsi="Arial" w:cs="Arial"/>
        </w:rPr>
        <w:t xml:space="preserve"> </w:t>
      </w:r>
      <w:r w:rsidR="00757A53">
        <w:rPr>
          <w:rFonts w:ascii="Arial" w:hAnsi="Arial" w:cs="Arial"/>
        </w:rPr>
        <w:fldChar w:fldCharType="begin">
          <w:fldData xml:space="preserve">PEVuZE5vdGU+PENpdGU+PEF1dGhvcj5Nb2RkZXI8L0F1dGhvcj48WWVhcj4yMDExPC9ZZWFyPjxS
ZWNOdW0+NDUwPC9SZWNOdW0+PERpc3BsYXlUZXh0PigzMjIpPC9EaXNwbGF5VGV4dD48cmVjb3Jk
PjxyZWMtbnVtYmVyPjQ1MDwvcmVjLW51bWJlcj48Zm9yZWlnbi1rZXlzPjxrZXkgYXBwPSJFTiIg
ZGItaWQ9InA5YTV0dHN2eXZkZTltZTVhdzJ4MDVmcDVwNTVheGYwd3I5MCIgdGltZXN0YW1wPSIx
NDM2MTg3MDQwIj40NTA8L2tleT48L2ZvcmVpZ24ta2V5cz48cmVmLXR5cGUgbmFtZT0iSm91cm5h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ZXJhbCBSZXNlYXJjaDwvYWJici0xPjwvcGVyaW9kaWNhbD48cGFnZXM+MjctMzQ8L3BhZ2VzPjx2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PEVuZE5vdGU+PENpdGU+PEF1dGhvcj5Nb2RkZXI8L0F1dGhvcj48WWVhcj4yMDExPC9ZZWFyPjxS
ZWNOdW0+NDUwPC9SZWNOdW0+PERpc3BsYXlUZXh0PigzMjIpPC9EaXNwbGF5VGV4dD48cmVjb3Jk
PjxyZWMtbnVtYmVyPjQ1MDwvcmVjLW51bWJlcj48Zm9yZWlnbi1rZXlzPjxrZXkgYXBwPSJFTiIg
ZGItaWQ9InA5YTV0dHN2eXZkZTltZTVhdzJ4MDVmcDVwNTVheGYwd3I5MCIgdGltZXN0YW1wPSIx
NDM2MTg3MDQwIj40NTA8L2tleT48L2ZvcmVpZ24ta2V5cz48cmVmLXR5cGUgbmFtZT0iSm91cm5h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ZXJhbCBSZXNlYXJjaDwvYWJici0xPjwvcGVyaW9kaWNhbD48cGFnZXM+MjctMzQ8L3BhZ2VzPjx2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757A53">
        <w:rPr>
          <w:rFonts w:ascii="Arial" w:hAnsi="Arial" w:cs="Arial"/>
        </w:rPr>
      </w:r>
      <w:r w:rsidR="00757A53">
        <w:rPr>
          <w:rFonts w:ascii="Arial" w:hAnsi="Arial" w:cs="Arial"/>
        </w:rPr>
        <w:fldChar w:fldCharType="separate"/>
      </w:r>
      <w:r w:rsidR="00B64C0F">
        <w:rPr>
          <w:rFonts w:ascii="Arial" w:hAnsi="Arial" w:cs="Arial"/>
          <w:noProof/>
        </w:rPr>
        <w:t>(</w:t>
      </w:r>
      <w:hyperlink w:anchor="_ENREF_322" w:tooltip="Modder, 2011 #450" w:history="1">
        <w:r w:rsidR="003B725E">
          <w:rPr>
            <w:rFonts w:ascii="Arial" w:hAnsi="Arial" w:cs="Arial"/>
            <w:noProof/>
          </w:rPr>
          <w:t>322</w:t>
        </w:r>
      </w:hyperlink>
      <w:r w:rsidR="00B64C0F">
        <w:rPr>
          <w:rFonts w:ascii="Arial" w:hAnsi="Arial" w:cs="Arial"/>
          <w:noProof/>
        </w:rPr>
        <w:t>)</w:t>
      </w:r>
      <w:r w:rsidR="00757A53">
        <w:rPr>
          <w:rFonts w:ascii="Arial" w:hAnsi="Arial" w:cs="Arial"/>
        </w:rPr>
        <w:fldChar w:fldCharType="end"/>
      </w:r>
      <w:r>
        <w:rPr>
          <w:rFonts w:ascii="Arial" w:hAnsi="Arial" w:cs="Arial"/>
        </w:rPr>
        <w:t>. Further inconsistent findings were demonstrated in a study using men where fracture risk was reduced in men with sclerostin levels in the highest quintiles compared to those in the lowest</w:t>
      </w:r>
      <w:r w:rsidR="00757A53">
        <w:rPr>
          <w:rFonts w:ascii="Arial" w:hAnsi="Arial" w:cs="Arial"/>
        </w:rPr>
        <w:t xml:space="preserve"> </w:t>
      </w:r>
      <w:r w:rsidR="00757A53">
        <w:rPr>
          <w:rFonts w:ascii="Arial" w:hAnsi="Arial" w:cs="Arial"/>
        </w:rPr>
        <w:fldChar w:fldCharType="begin"/>
      </w:r>
      <w:r w:rsidR="00B64C0F">
        <w:rPr>
          <w:rFonts w:ascii="Arial" w:hAnsi="Arial" w:cs="Arial"/>
        </w:rPr>
        <w:instrText xml:space="preserve"> ADDIN EN.CITE &lt;EndNote&gt;&lt;Cite&gt;&lt;Author&gt;Szulc&lt;/Author&gt;&lt;Year&gt;2013&lt;/Year&gt;&lt;RecNum&gt;466&lt;/RecNum&gt;&lt;DisplayText&gt;(337)&lt;/DisplayText&gt;&lt;record&gt;&lt;rec-number&gt;466&lt;/rec-number&gt;&lt;foreign-keys&gt;&lt;key app="EN" db-id="p9a5ttsvyvde9me5aw2x05fp5p55axf0wr90" timestamp="1436189054"&gt;466&lt;/key&gt;&lt;/foreign-keys&gt;&lt;ref-type name="Journal Article"&gt;17&lt;/ref-type&gt;&lt;contributors&gt;&lt;authors&gt;&lt;author&gt;Szulc, P.&lt;/author&gt;&lt;author&gt;Bertholon, C.&lt;/author&gt;&lt;author&gt;Borel, O.&lt;/author&gt;&lt;author&gt;Marchand, F.&lt;/author&gt;&lt;author&gt;Chapurlat, R.&lt;/author&gt;&lt;/authors&gt;&lt;/contributors&gt;&lt;auth-address&gt;INSERM UMR 1033, University of Lyon, Lyon, France. pawel.szulc@inserm.fr&lt;/auth-address&gt;&lt;titles&gt;&lt;title&gt;Lower fracture risk in older men with higher sclerostin concentration: a prospective analysis from the MINOS study&lt;/title&gt;&lt;secondary-title&gt;J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855-64&lt;/pages&gt;&lt;volume&gt;28&lt;/volume&gt;&lt;number&gt;4&lt;/number&gt;&lt;edition&gt;2012/11/21&lt;/edition&gt;&lt;dates&gt;&lt;year&gt;2013&lt;/year&gt;&lt;pub-dates&gt;&lt;date&gt;Apr&lt;/date&gt;&lt;/pub-dates&gt;&lt;/dates&gt;&lt;isbn&gt;1523-4681 (Electronic)&amp;#xD;0884-0431 (Linking)&lt;/isbn&gt;&lt;accession-num&gt;23165952&lt;/accession-num&gt;&lt;urls&gt;&lt;/urls&gt;&lt;electronic-resource-num&gt;10.1002/jbmr.1823&lt;/electronic-resource-num&gt;&lt;remote-database-provider&gt;NLM&lt;/remote-database-provider&gt;&lt;language&gt;eng&lt;/language&gt;&lt;/record&gt;&lt;/Cite&gt;&lt;/EndNote&gt;</w:instrText>
      </w:r>
      <w:r w:rsidR="00757A53">
        <w:rPr>
          <w:rFonts w:ascii="Arial" w:hAnsi="Arial" w:cs="Arial"/>
        </w:rPr>
        <w:fldChar w:fldCharType="separate"/>
      </w:r>
      <w:r w:rsidR="00B64C0F">
        <w:rPr>
          <w:rFonts w:ascii="Arial" w:hAnsi="Arial" w:cs="Arial"/>
          <w:noProof/>
        </w:rPr>
        <w:t>(</w:t>
      </w:r>
      <w:hyperlink w:anchor="_ENREF_337" w:tooltip="Szulc, 2013 #466" w:history="1">
        <w:r w:rsidR="003B725E">
          <w:rPr>
            <w:rFonts w:ascii="Arial" w:hAnsi="Arial" w:cs="Arial"/>
            <w:noProof/>
          </w:rPr>
          <w:t>337</w:t>
        </w:r>
      </w:hyperlink>
      <w:r w:rsidR="00B64C0F">
        <w:rPr>
          <w:rFonts w:ascii="Arial" w:hAnsi="Arial" w:cs="Arial"/>
          <w:noProof/>
        </w:rPr>
        <w:t>)</w:t>
      </w:r>
      <w:r w:rsidR="00757A53">
        <w:rPr>
          <w:rFonts w:ascii="Arial" w:hAnsi="Arial" w:cs="Arial"/>
        </w:rPr>
        <w:fldChar w:fldCharType="end"/>
      </w:r>
      <w:r>
        <w:rPr>
          <w:rFonts w:ascii="Arial" w:hAnsi="Arial" w:cs="Arial"/>
        </w:rPr>
        <w:t>.</w:t>
      </w:r>
    </w:p>
    <w:p w:rsidR="00A570EA" w:rsidRPr="007D0C3B" w:rsidRDefault="00A570EA" w:rsidP="003E6719">
      <w:pPr>
        <w:spacing w:line="360" w:lineRule="auto"/>
        <w:jc w:val="both"/>
        <w:rPr>
          <w:rFonts w:ascii="Arial" w:hAnsi="Arial" w:cs="Arial"/>
        </w:rPr>
      </w:pPr>
      <w:r>
        <w:rPr>
          <w:rFonts w:ascii="Arial" w:hAnsi="Arial" w:cs="Arial"/>
        </w:rPr>
        <w:t xml:space="preserve">These findings highlight a possible role for sclerostin in secondary and/or postmenopausal osteoporosis and it may be plausible to use it in a clinical setting. However the significant inconsistencies between these studies cannot currently justify its use. There are several reasons that may contribute to these inconsistencies. In particular and the most probable is the differences between the methods used to measure sclerostin in these studies. This means that fair comparisons cannot be made. I aimed to investigate and highlight some of these differences between methods and as a result used one method throughout my thesis in order to make fair and direct comparisons and conclusions. Once the method had been established and technically verified, I investigated other possible roles. Firstly by </w:t>
      </w:r>
      <w:r w:rsidRPr="00A83D26">
        <w:rPr>
          <w:rFonts w:ascii="Arial" w:hAnsi="Arial" w:cs="Arial"/>
        </w:rPr>
        <w:t xml:space="preserve">determining </w:t>
      </w:r>
      <w:r>
        <w:rPr>
          <w:rFonts w:ascii="Arial" w:hAnsi="Arial" w:cs="Arial"/>
        </w:rPr>
        <w:t xml:space="preserve">i) </w:t>
      </w:r>
      <w:r w:rsidRPr="00A83D26">
        <w:rPr>
          <w:rFonts w:ascii="Arial" w:hAnsi="Arial" w:cs="Arial"/>
        </w:rPr>
        <w:t>whether it can be used as a marker in postmenopausal o</w:t>
      </w:r>
      <w:r>
        <w:rPr>
          <w:rFonts w:ascii="Arial" w:hAnsi="Arial" w:cs="Arial"/>
        </w:rPr>
        <w:t>steoporosis, ii) its relation to bon</w:t>
      </w:r>
      <w:r w:rsidRPr="00A83D26">
        <w:rPr>
          <w:rFonts w:ascii="Arial" w:hAnsi="Arial" w:cs="Arial"/>
        </w:rPr>
        <w:t xml:space="preserve">e turnover </w:t>
      </w:r>
      <w:r>
        <w:rPr>
          <w:rFonts w:ascii="Arial" w:hAnsi="Arial" w:cs="Arial"/>
        </w:rPr>
        <w:t>and bone balance and iii) its role</w:t>
      </w:r>
      <w:r w:rsidRPr="00A83D26">
        <w:rPr>
          <w:rFonts w:ascii="Arial" w:hAnsi="Arial" w:cs="Arial"/>
        </w:rPr>
        <w:t xml:space="preserve"> </w:t>
      </w:r>
      <w:r>
        <w:rPr>
          <w:rFonts w:ascii="Arial" w:hAnsi="Arial" w:cs="Arial"/>
        </w:rPr>
        <w:t xml:space="preserve">in the </w:t>
      </w:r>
      <w:r w:rsidRPr="00A83D26">
        <w:rPr>
          <w:rFonts w:ascii="Arial" w:hAnsi="Arial" w:cs="Arial"/>
        </w:rPr>
        <w:t xml:space="preserve">mechanism of action of antiresorptive treatments.  </w:t>
      </w:r>
    </w:p>
    <w:p w:rsidR="004832D1" w:rsidRDefault="004832D1" w:rsidP="003E6719">
      <w:pPr>
        <w:pStyle w:val="Heading1"/>
        <w:jc w:val="both"/>
      </w:pPr>
    </w:p>
    <w:p w:rsidR="004832D1" w:rsidRDefault="004832D1" w:rsidP="003E6719">
      <w:pPr>
        <w:pStyle w:val="Heading1"/>
        <w:jc w:val="both"/>
      </w:pPr>
    </w:p>
    <w:p w:rsidR="004832D1" w:rsidRPr="004832D1" w:rsidRDefault="004832D1" w:rsidP="003E6719">
      <w:pPr>
        <w:jc w:val="both"/>
      </w:pPr>
    </w:p>
    <w:p w:rsidR="00C16F2B" w:rsidRDefault="00C16F2B" w:rsidP="003E6719">
      <w:pPr>
        <w:pStyle w:val="Heading1"/>
        <w:jc w:val="both"/>
      </w:pPr>
      <w:bookmarkStart w:id="53" w:name="_Toc425418898"/>
      <w:r>
        <w:t>Justifications of the research</w:t>
      </w:r>
      <w:bookmarkEnd w:id="53"/>
    </w:p>
    <w:p w:rsidR="000845D8" w:rsidRDefault="000845D8" w:rsidP="003E6719">
      <w:pPr>
        <w:spacing w:line="360" w:lineRule="auto"/>
        <w:jc w:val="both"/>
        <w:rPr>
          <w:rFonts w:ascii="Arial" w:hAnsi="Arial" w:cs="Arial"/>
        </w:rPr>
      </w:pPr>
      <w:r>
        <w:rPr>
          <w:rFonts w:ascii="Arial" w:hAnsi="Arial" w:cs="Arial"/>
        </w:rPr>
        <w:t>In order to identify patients who may suffer from secondary osteoporosi</w:t>
      </w:r>
      <w:r w:rsidR="00CC6674">
        <w:rPr>
          <w:rFonts w:ascii="Arial" w:hAnsi="Arial" w:cs="Arial"/>
        </w:rPr>
        <w:t>s and who have responded to antiresorptive</w:t>
      </w:r>
      <w:r>
        <w:rPr>
          <w:rFonts w:ascii="Arial" w:hAnsi="Arial" w:cs="Arial"/>
        </w:rPr>
        <w:t xml:space="preserve"> treatments, clinicians need to use established reference intervals for BTMs for both healthy premenopausal and postmenopausal women respectively. For these to be established, two </w:t>
      </w:r>
      <w:r w:rsidR="00DA6B25">
        <w:rPr>
          <w:rFonts w:ascii="Arial" w:hAnsi="Arial" w:cs="Arial"/>
        </w:rPr>
        <w:t xml:space="preserve">large </w:t>
      </w:r>
      <w:r>
        <w:rPr>
          <w:rFonts w:ascii="Arial" w:hAnsi="Arial" w:cs="Arial"/>
        </w:rPr>
        <w:t xml:space="preserve">populations of women need to be identified who are healthy i.e. not osteoporotic, not vitamin D deficient, not receiving and </w:t>
      </w:r>
      <w:r>
        <w:rPr>
          <w:rFonts w:ascii="Arial" w:hAnsi="Arial" w:cs="Arial"/>
        </w:rPr>
        <w:lastRenderedPageBreak/>
        <w:t>medications or have other disease that may affect bone metabolism etc. Previously, reference intervals for healthy postmenopausal women have not been established because the number of subjects in such a population was too small.</w:t>
      </w:r>
      <w:r w:rsidR="00444A3B">
        <w:rPr>
          <w:rFonts w:ascii="Arial" w:hAnsi="Arial" w:cs="Arial"/>
        </w:rPr>
        <w:t xml:space="preserve"> Firstly, m</w:t>
      </w:r>
      <w:r>
        <w:rPr>
          <w:rFonts w:ascii="Arial" w:hAnsi="Arial" w:cs="Arial"/>
        </w:rPr>
        <w:t>y research aimed to identify suitable population size and establish reference intervals for BTMs by identifying and investigating the effect of diseases, treatments and lifestyle factors (such as smoking, alcohol intake, geographic locations etc.). These can th</w:t>
      </w:r>
      <w:r w:rsidR="008644FC">
        <w:rPr>
          <w:rFonts w:ascii="Arial" w:hAnsi="Arial" w:cs="Arial"/>
        </w:rPr>
        <w:t>en be used in clinical setting.</w:t>
      </w:r>
    </w:p>
    <w:p w:rsidR="00621F4D" w:rsidRDefault="00CA5AC7" w:rsidP="003B725E">
      <w:pPr>
        <w:spacing w:line="360" w:lineRule="auto"/>
        <w:jc w:val="both"/>
        <w:rPr>
          <w:rFonts w:ascii="Arial" w:hAnsi="Arial" w:cs="Arial"/>
        </w:rPr>
      </w:pPr>
      <w:r>
        <w:rPr>
          <w:rFonts w:ascii="Arial" w:hAnsi="Arial" w:cs="Arial"/>
        </w:rPr>
        <w:t xml:space="preserve">Although a high bone turnover state </w:t>
      </w:r>
      <w:r w:rsidR="00434316">
        <w:rPr>
          <w:rFonts w:ascii="Arial" w:hAnsi="Arial" w:cs="Arial"/>
        </w:rPr>
        <w:t>may be</w:t>
      </w:r>
      <w:r>
        <w:rPr>
          <w:rFonts w:ascii="Arial" w:hAnsi="Arial" w:cs="Arial"/>
        </w:rPr>
        <w:t xml:space="preserve"> related to increased osteoporotic fracture risk </w:t>
      </w:r>
      <w:r>
        <w:rPr>
          <w:rFonts w:ascii="Arial" w:hAnsi="Arial" w:cs="Arial"/>
        </w:rPr>
        <w:fldChar w:fldCharType="begin">
          <w:fldData xml:space="preserve">PEVuZE5vdGU+PENpdGU+PEF1dGhvcj5HYXJuZXJvPC9BdXRob3I+PFllYXI+MjAwMDwvWWVhcj48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YWw+PHBhZ2VzPjE1MjYtMzY8L3BhZ2VzPjx2b2x1bWU+MTU8L3ZvbHVtZT48bnVtYmVyPjg8L251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PEVuZE5vdGU+PENpdGU+PEF1dGhvcj5HYXJuZXJvPC9BdXRob3I+PFllYXI+MjAwMDwvWWVhcj48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YWw+PHBhZ2VzPjE1MjYtMzY8L3BhZ2VzPjx2b2x1bWU+MTU8L3ZvbHVtZT48bnVtYmVyPjg8L251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19" w:tooltip="Vasikaran, 2011 #518" w:history="1">
        <w:r w:rsidR="003B725E">
          <w:rPr>
            <w:rFonts w:ascii="Arial" w:hAnsi="Arial" w:cs="Arial"/>
            <w:noProof/>
          </w:rPr>
          <w:t>319</w:t>
        </w:r>
      </w:hyperlink>
      <w:r w:rsidR="00B64C0F">
        <w:rPr>
          <w:rFonts w:ascii="Arial" w:hAnsi="Arial" w:cs="Arial"/>
          <w:noProof/>
        </w:rPr>
        <w:t xml:space="preserve">, </w:t>
      </w:r>
      <w:hyperlink w:anchor="_ENREF_338" w:tooltip="Garnero, 2000 #190" w:history="1">
        <w:r w:rsidR="003B725E">
          <w:rPr>
            <w:rFonts w:ascii="Arial" w:hAnsi="Arial" w:cs="Arial"/>
            <w:noProof/>
          </w:rPr>
          <w:t>338</w:t>
        </w:r>
      </w:hyperlink>
      <w:r w:rsidR="00B64C0F">
        <w:rPr>
          <w:rFonts w:ascii="Arial" w:hAnsi="Arial" w:cs="Arial"/>
          <w:noProof/>
        </w:rPr>
        <w:t>)</w:t>
      </w:r>
      <w:r>
        <w:rPr>
          <w:rFonts w:ascii="Arial" w:hAnsi="Arial" w:cs="Arial"/>
        </w:rPr>
        <w:fldChar w:fldCharType="end"/>
      </w:r>
      <w:r w:rsidR="00434316">
        <w:rPr>
          <w:rFonts w:ascii="Arial" w:hAnsi="Arial" w:cs="Arial"/>
        </w:rPr>
        <w:t xml:space="preserve"> not all of the current data supports this</w:t>
      </w:r>
      <w:r>
        <w:rPr>
          <w:rFonts w:ascii="Arial" w:hAnsi="Arial" w:cs="Arial"/>
        </w:rPr>
        <w:t xml:space="preserve">, the evidence for this remains inconclusive. Currently BTMs alone cannot be used to predict bone loss and fracture risk </w:t>
      </w:r>
      <w:r>
        <w:rPr>
          <w:rFonts w:ascii="Arial" w:hAnsi="Arial" w:cs="Arial"/>
        </w:rPr>
        <w:fldChar w:fldCharType="begin">
          <w:fldData xml:space="preserve">PEVuZE5vdGU+PENpdGU+PFllYXI+MjAxMjwvWWVhcj48UmVjTnVtPjI5MjwvUmVjTnVtPjxEaXNw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IFJlc2VhcmNoPC9hYmJyLTE+PC9hbHQtcGVyaW9kaWNhbD48cGFnZXM+MTM5OC00MDQ8L3BhZ2Vz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==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PEVuZE5vdGU+PENpdGU+PFllYXI+MjAxMjwvWWVhcj48UmVjTnVtPjI5MjwvUmVjTnVtPjxEaXNw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IFJlc2VhcmNoPC9hYmJyLTE+PC9hbHQtcGVyaW9kaWNhbD48cGFnZXM+MTM5OC00MDQ8L3BhZ2Vz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==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39" w:tooltip=", 2012 #292" w:history="1">
        <w:r w:rsidR="003B725E">
          <w:rPr>
            <w:rFonts w:ascii="Arial" w:hAnsi="Arial" w:cs="Arial"/>
            <w:noProof/>
          </w:rPr>
          <w:t>339</w:t>
        </w:r>
      </w:hyperlink>
      <w:r w:rsidR="00B64C0F">
        <w:rPr>
          <w:rFonts w:ascii="Arial" w:hAnsi="Arial" w:cs="Arial"/>
          <w:noProof/>
        </w:rPr>
        <w:t xml:space="preserve">, </w:t>
      </w:r>
      <w:hyperlink w:anchor="_ENREF_340" w:tooltip="Rogers, 2000 #165" w:history="1">
        <w:r w:rsidR="003B725E">
          <w:rPr>
            <w:rFonts w:ascii="Arial" w:hAnsi="Arial" w:cs="Arial"/>
            <w:noProof/>
          </w:rPr>
          <w:t>340</w:t>
        </w:r>
      </w:hyperlink>
      <w:r w:rsidR="00B64C0F">
        <w:rPr>
          <w:rFonts w:ascii="Arial" w:hAnsi="Arial" w:cs="Arial"/>
          <w:noProof/>
        </w:rPr>
        <w:t>)</w:t>
      </w:r>
      <w:r>
        <w:rPr>
          <w:rFonts w:ascii="Arial" w:hAnsi="Arial" w:cs="Arial"/>
        </w:rPr>
        <w:fldChar w:fldCharType="end"/>
      </w:r>
      <w:r>
        <w:rPr>
          <w:rFonts w:ascii="Arial" w:hAnsi="Arial" w:cs="Arial"/>
        </w:rPr>
        <w:t xml:space="preserve">. However their potential </w:t>
      </w:r>
      <w:r w:rsidR="00FD1E5D">
        <w:rPr>
          <w:rFonts w:ascii="Arial" w:hAnsi="Arial" w:cs="Arial"/>
        </w:rPr>
        <w:t xml:space="preserve">use </w:t>
      </w:r>
      <w:r>
        <w:rPr>
          <w:rFonts w:ascii="Arial" w:hAnsi="Arial" w:cs="Arial"/>
        </w:rPr>
        <w:t>in postmenopausal osteoporosis</w:t>
      </w:r>
      <w:r w:rsidR="0000131C">
        <w:rPr>
          <w:rFonts w:ascii="Arial" w:hAnsi="Arial" w:cs="Arial"/>
        </w:rPr>
        <w:t xml:space="preserve"> bone loss and fracture risk</w:t>
      </w:r>
      <w:r w:rsidR="00FD1E5D">
        <w:rPr>
          <w:rFonts w:ascii="Arial" w:hAnsi="Arial" w:cs="Arial"/>
        </w:rPr>
        <w:t xml:space="preserve"> need to be further explored in a manner that can then be used to help understand the mechanism of action of current and future treatments. </w:t>
      </w:r>
      <w:r w:rsidR="00D90549" w:rsidRPr="00212637">
        <w:rPr>
          <w:rFonts w:ascii="Arial" w:hAnsi="Arial" w:cs="Arial"/>
        </w:rPr>
        <w:t xml:space="preserve">The effect of antiresorptive treatments on bone turnover is complex. The current research demonstrates that bisphosphonates and raloxifene therapies reduce </w:t>
      </w:r>
      <w:r w:rsidR="000845D8">
        <w:rPr>
          <w:rFonts w:ascii="Arial" w:hAnsi="Arial" w:cs="Arial"/>
        </w:rPr>
        <w:t>osteoclast and osteob</w:t>
      </w:r>
      <w:r w:rsidR="00D90549" w:rsidRPr="00212637">
        <w:rPr>
          <w:rFonts w:ascii="Arial" w:hAnsi="Arial" w:cs="Arial"/>
        </w:rPr>
        <w:t>last activity</w:t>
      </w:r>
      <w:r w:rsidR="005B0D50" w:rsidRPr="00212637">
        <w:rPr>
          <w:rFonts w:ascii="Arial" w:hAnsi="Arial" w:cs="Arial"/>
        </w:rPr>
        <w:t xml:space="preserve"> differently</w:t>
      </w:r>
      <w:r w:rsidR="00D90549" w:rsidRPr="00212637">
        <w:rPr>
          <w:rFonts w:ascii="Arial" w:hAnsi="Arial" w:cs="Arial"/>
        </w:rPr>
        <w:t xml:space="preserve">. </w:t>
      </w:r>
      <w:r w:rsidR="00C05F0C" w:rsidRPr="00212637">
        <w:rPr>
          <w:rFonts w:ascii="Arial" w:hAnsi="Arial" w:cs="Arial"/>
        </w:rPr>
        <w:t>To gain a better understanding of the magnitude and duration of the effects it is important to inves</w:t>
      </w:r>
      <w:r w:rsidR="00C66235" w:rsidRPr="00212637">
        <w:rPr>
          <w:rFonts w:ascii="Arial" w:hAnsi="Arial" w:cs="Arial"/>
        </w:rPr>
        <w:t>tig</w:t>
      </w:r>
      <w:r w:rsidR="00E75604">
        <w:rPr>
          <w:rFonts w:ascii="Arial" w:hAnsi="Arial" w:cs="Arial"/>
        </w:rPr>
        <w:t>ate these two factors using</w:t>
      </w:r>
      <w:r w:rsidR="00960181">
        <w:rPr>
          <w:rFonts w:ascii="Arial" w:hAnsi="Arial" w:cs="Arial"/>
        </w:rPr>
        <w:t xml:space="preserve"> several BTMs in a patient population from a randomised controlled head-to-head trial of the licenced bisphosphonates in the United Kingdom. </w:t>
      </w:r>
      <w:r w:rsidR="004B0972">
        <w:rPr>
          <w:rFonts w:ascii="Arial" w:hAnsi="Arial" w:cs="Arial"/>
        </w:rPr>
        <w:t>In addition</w:t>
      </w:r>
      <w:r w:rsidR="00CB4532">
        <w:rPr>
          <w:rFonts w:ascii="Arial" w:hAnsi="Arial" w:cs="Arial"/>
        </w:rPr>
        <w:t xml:space="preserve"> we need to know whether osteoporosis affects bone balance (as well as bone turnover) and if bone turnover and/or</w:t>
      </w:r>
      <w:r w:rsidR="00450D0A">
        <w:rPr>
          <w:rFonts w:ascii="Arial" w:hAnsi="Arial" w:cs="Arial"/>
        </w:rPr>
        <w:t xml:space="preserve"> bo</w:t>
      </w:r>
      <w:r w:rsidR="00CB4532">
        <w:rPr>
          <w:rFonts w:ascii="Arial" w:hAnsi="Arial" w:cs="Arial"/>
        </w:rPr>
        <w:t>ne balance is/are associated with f</w:t>
      </w:r>
      <w:r w:rsidR="00BB5B54">
        <w:rPr>
          <w:rFonts w:ascii="Arial" w:hAnsi="Arial" w:cs="Arial"/>
        </w:rPr>
        <w:t>racture risk. By using a mathematical model</w:t>
      </w:r>
      <w:r w:rsidR="00CB4532">
        <w:rPr>
          <w:rFonts w:ascii="Arial" w:hAnsi="Arial" w:cs="Arial"/>
        </w:rPr>
        <w:t xml:space="preserve"> (</w:t>
      </w:r>
      <w:r w:rsidR="00E75604">
        <w:rPr>
          <w:rFonts w:ascii="Arial" w:hAnsi="Arial" w:cs="Arial"/>
        </w:rPr>
        <w:t>the T</w:t>
      </w:r>
      <w:r w:rsidR="00BB5B54">
        <w:rPr>
          <w:rFonts w:ascii="Arial" w:hAnsi="Arial" w:cs="Arial"/>
        </w:rPr>
        <w:t>-score bone marker plot</w:t>
      </w:r>
      <w:r w:rsidR="00CB4532">
        <w:rPr>
          <w:rFonts w:ascii="Arial" w:hAnsi="Arial" w:cs="Arial"/>
        </w:rPr>
        <w:t>), I aimed to d</w:t>
      </w:r>
      <w:r w:rsidR="00450D0A">
        <w:rPr>
          <w:rFonts w:ascii="Arial" w:hAnsi="Arial" w:cs="Arial"/>
        </w:rPr>
        <w:t>emonstrate this effect and then determine whether antiresorptive treatments restore</w:t>
      </w:r>
      <w:r w:rsidR="003028A5">
        <w:rPr>
          <w:rFonts w:ascii="Arial" w:hAnsi="Arial" w:cs="Arial"/>
        </w:rPr>
        <w:t>/improve</w:t>
      </w:r>
      <w:r w:rsidR="00450D0A">
        <w:rPr>
          <w:rFonts w:ascii="Arial" w:hAnsi="Arial" w:cs="Arial"/>
        </w:rPr>
        <w:t xml:space="preserve"> bone turnover and bone balance. </w:t>
      </w:r>
    </w:p>
    <w:p w:rsidR="00D85A4B" w:rsidRPr="00212637" w:rsidRDefault="00C05F0C" w:rsidP="003E6719">
      <w:pPr>
        <w:spacing w:line="360" w:lineRule="auto"/>
        <w:jc w:val="both"/>
        <w:rPr>
          <w:rFonts w:ascii="Arial" w:hAnsi="Arial" w:cs="Arial"/>
        </w:rPr>
      </w:pPr>
      <w:r w:rsidRPr="00212637">
        <w:rPr>
          <w:rFonts w:ascii="Arial" w:hAnsi="Arial" w:cs="Arial"/>
        </w:rPr>
        <w:t>Furthermore,</w:t>
      </w:r>
      <w:r w:rsidR="00D90549" w:rsidRPr="00212637">
        <w:rPr>
          <w:rFonts w:ascii="Arial" w:hAnsi="Arial" w:cs="Arial"/>
        </w:rPr>
        <w:t xml:space="preserve"> </w:t>
      </w:r>
      <w:r w:rsidRPr="00212637">
        <w:rPr>
          <w:rFonts w:ascii="Arial" w:hAnsi="Arial" w:cs="Arial"/>
        </w:rPr>
        <w:t xml:space="preserve">it is </w:t>
      </w:r>
      <w:r w:rsidR="00D90549" w:rsidRPr="00212637">
        <w:rPr>
          <w:rFonts w:ascii="Arial" w:hAnsi="Arial" w:cs="Arial"/>
        </w:rPr>
        <w:t>important to understand the regulatory mechanism</w:t>
      </w:r>
      <w:r w:rsidR="00D85A4B">
        <w:rPr>
          <w:rFonts w:ascii="Arial" w:hAnsi="Arial" w:cs="Arial"/>
        </w:rPr>
        <w:t>s involved in</w:t>
      </w:r>
      <w:r w:rsidR="00D90549" w:rsidRPr="00212637">
        <w:rPr>
          <w:rFonts w:ascii="Arial" w:hAnsi="Arial" w:cs="Arial"/>
        </w:rPr>
        <w:t xml:space="preserve"> os</w:t>
      </w:r>
      <w:r w:rsidR="001C37A5" w:rsidRPr="00212637">
        <w:rPr>
          <w:rFonts w:ascii="Arial" w:hAnsi="Arial" w:cs="Arial"/>
        </w:rPr>
        <w:t>teoclast</w:t>
      </w:r>
      <w:r w:rsidR="00D85A4B">
        <w:rPr>
          <w:rFonts w:ascii="Arial" w:hAnsi="Arial" w:cs="Arial"/>
        </w:rPr>
        <w:t xml:space="preserve"> </w:t>
      </w:r>
      <w:r w:rsidR="001C37A5" w:rsidRPr="00212637">
        <w:rPr>
          <w:rFonts w:ascii="Arial" w:hAnsi="Arial" w:cs="Arial"/>
        </w:rPr>
        <w:t>for</w:t>
      </w:r>
      <w:r w:rsidR="00B264A3">
        <w:rPr>
          <w:rFonts w:ascii="Arial" w:hAnsi="Arial" w:cs="Arial"/>
        </w:rPr>
        <w:t>mation and activity</w:t>
      </w:r>
      <w:r w:rsidR="001C37A5" w:rsidRPr="00212637">
        <w:rPr>
          <w:rFonts w:ascii="Arial" w:hAnsi="Arial" w:cs="Arial"/>
        </w:rPr>
        <w:t xml:space="preserve">. </w:t>
      </w:r>
      <w:r w:rsidR="002031F1" w:rsidRPr="00212637">
        <w:rPr>
          <w:rFonts w:ascii="Arial" w:hAnsi="Arial" w:cs="Arial"/>
        </w:rPr>
        <w:t xml:space="preserve">The effect of bisphosphonates on the </w:t>
      </w:r>
      <w:r w:rsidR="00D90549" w:rsidRPr="00212637">
        <w:rPr>
          <w:rFonts w:ascii="Arial" w:hAnsi="Arial" w:cs="Arial"/>
        </w:rPr>
        <w:t xml:space="preserve">population of osteoclast precursor cells </w:t>
      </w:r>
      <w:r w:rsidR="00D85A4B">
        <w:rPr>
          <w:rFonts w:ascii="Arial" w:hAnsi="Arial" w:cs="Arial"/>
        </w:rPr>
        <w:t>had</w:t>
      </w:r>
      <w:r w:rsidR="002031F1" w:rsidRPr="00212637">
        <w:rPr>
          <w:rFonts w:ascii="Arial" w:hAnsi="Arial" w:cs="Arial"/>
        </w:rPr>
        <w:t xml:space="preserve"> not yet been fully investigated. As part of my </w:t>
      </w:r>
      <w:r w:rsidR="001C37A5" w:rsidRPr="00212637">
        <w:rPr>
          <w:rFonts w:ascii="Arial" w:hAnsi="Arial" w:cs="Arial"/>
        </w:rPr>
        <w:t>re</w:t>
      </w:r>
      <w:r w:rsidR="002031F1" w:rsidRPr="00212637">
        <w:rPr>
          <w:rFonts w:ascii="Arial" w:hAnsi="Arial" w:cs="Arial"/>
        </w:rPr>
        <w:t>search I aim</w:t>
      </w:r>
      <w:r w:rsidR="001C37A5" w:rsidRPr="00212637">
        <w:rPr>
          <w:rFonts w:ascii="Arial" w:hAnsi="Arial" w:cs="Arial"/>
        </w:rPr>
        <w:t>ed</w:t>
      </w:r>
      <w:r w:rsidR="002031F1" w:rsidRPr="00212637">
        <w:rPr>
          <w:rFonts w:ascii="Arial" w:hAnsi="Arial" w:cs="Arial"/>
        </w:rPr>
        <w:t xml:space="preserve"> to investigate this by firstly, identifying </w:t>
      </w:r>
      <w:r w:rsidR="001C37A5" w:rsidRPr="00212637">
        <w:rPr>
          <w:rFonts w:ascii="Arial" w:hAnsi="Arial" w:cs="Arial"/>
        </w:rPr>
        <w:t>the osteoclast</w:t>
      </w:r>
      <w:r w:rsidR="002031F1" w:rsidRPr="00212637">
        <w:rPr>
          <w:rFonts w:ascii="Arial" w:hAnsi="Arial" w:cs="Arial"/>
        </w:rPr>
        <w:t xml:space="preserve"> precursor cells </w:t>
      </w:r>
      <w:r w:rsidR="001C37A5" w:rsidRPr="00212637">
        <w:rPr>
          <w:rFonts w:ascii="Arial" w:hAnsi="Arial" w:cs="Arial"/>
        </w:rPr>
        <w:t xml:space="preserve">and then examine how the bisphosphonates affect this. This mechanism can be investigated </w:t>
      </w:r>
      <w:r w:rsidR="00D90549" w:rsidRPr="00212637">
        <w:rPr>
          <w:rFonts w:ascii="Arial" w:hAnsi="Arial" w:cs="Arial"/>
        </w:rPr>
        <w:t>further by measuring the circulating levels of RANKL</w:t>
      </w:r>
      <w:r w:rsidR="001C37A5" w:rsidRPr="00212637">
        <w:rPr>
          <w:rFonts w:ascii="Arial" w:hAnsi="Arial" w:cs="Arial"/>
        </w:rPr>
        <w:t xml:space="preserve"> and OPG</w:t>
      </w:r>
      <w:r w:rsidR="00D90549" w:rsidRPr="00212637">
        <w:rPr>
          <w:rFonts w:ascii="Arial" w:hAnsi="Arial" w:cs="Arial"/>
        </w:rPr>
        <w:t xml:space="preserve"> to see if this is also related to the </w:t>
      </w:r>
      <w:r w:rsidR="001C37A5" w:rsidRPr="00212637">
        <w:rPr>
          <w:rFonts w:ascii="Arial" w:hAnsi="Arial" w:cs="Arial"/>
        </w:rPr>
        <w:t>effect o</w:t>
      </w:r>
      <w:r w:rsidR="00D90549" w:rsidRPr="00212637">
        <w:rPr>
          <w:rFonts w:ascii="Arial" w:hAnsi="Arial" w:cs="Arial"/>
        </w:rPr>
        <w:t>n osteoclas</w:t>
      </w:r>
      <w:r w:rsidR="004B0972">
        <w:rPr>
          <w:rFonts w:ascii="Arial" w:hAnsi="Arial" w:cs="Arial"/>
        </w:rPr>
        <w:t xml:space="preserve">t precursor cells. </w:t>
      </w:r>
      <w:r w:rsidR="00D85A4B">
        <w:rPr>
          <w:rFonts w:ascii="Arial" w:hAnsi="Arial" w:cs="Arial"/>
        </w:rPr>
        <w:t xml:space="preserve">Antiresorptive therapies may use another mechanism of action that needs to be investigated further. </w:t>
      </w:r>
      <w:r w:rsidR="004B0972">
        <w:rPr>
          <w:rFonts w:ascii="Arial" w:hAnsi="Arial" w:cs="Arial"/>
        </w:rPr>
        <w:t>The effect of antiresorptive therapies on the Wnt signalling pathway is still unclear, in particular in large randomised controlled clinical trials. I aimed to determine whether the effect of such treatments on</w:t>
      </w:r>
      <w:r w:rsidR="00DA6B25">
        <w:rPr>
          <w:rFonts w:ascii="Arial" w:hAnsi="Arial" w:cs="Arial"/>
        </w:rPr>
        <w:t xml:space="preserve"> bone formation is mediated by s</w:t>
      </w:r>
      <w:r w:rsidR="004B0972">
        <w:rPr>
          <w:rFonts w:ascii="Arial" w:hAnsi="Arial" w:cs="Arial"/>
        </w:rPr>
        <w:t>clerostin, an inhibitor of the Wnt signalling pathway. By understanding these mechanisms, we will</w:t>
      </w:r>
      <w:r w:rsidR="004B0972" w:rsidRPr="00212637">
        <w:rPr>
          <w:rFonts w:ascii="Arial" w:hAnsi="Arial" w:cs="Arial"/>
        </w:rPr>
        <w:t xml:space="preserve"> understa</w:t>
      </w:r>
      <w:r w:rsidR="00C842AE">
        <w:rPr>
          <w:rFonts w:ascii="Arial" w:hAnsi="Arial" w:cs="Arial"/>
        </w:rPr>
        <w:t>nd how these treatments work and</w:t>
      </w:r>
      <w:r w:rsidR="004B0972" w:rsidRPr="00212637">
        <w:rPr>
          <w:rFonts w:ascii="Arial" w:hAnsi="Arial" w:cs="Arial"/>
        </w:rPr>
        <w:t xml:space="preserve"> identify</w:t>
      </w:r>
      <w:r w:rsidR="00C842AE">
        <w:rPr>
          <w:rFonts w:ascii="Arial" w:hAnsi="Arial" w:cs="Arial"/>
        </w:rPr>
        <w:t xml:space="preserve"> and develop</w:t>
      </w:r>
      <w:r w:rsidR="004B0972" w:rsidRPr="00212637">
        <w:rPr>
          <w:rFonts w:ascii="Arial" w:hAnsi="Arial" w:cs="Arial"/>
        </w:rPr>
        <w:t xml:space="preserve"> other possible</w:t>
      </w:r>
      <w:r w:rsidR="00C842AE">
        <w:rPr>
          <w:rFonts w:ascii="Arial" w:hAnsi="Arial" w:cs="Arial"/>
        </w:rPr>
        <w:t xml:space="preserve"> treatment targets for</w:t>
      </w:r>
      <w:r w:rsidR="004B0972" w:rsidRPr="00212637">
        <w:rPr>
          <w:rFonts w:ascii="Arial" w:hAnsi="Arial" w:cs="Arial"/>
        </w:rPr>
        <w:t xml:space="preserve"> metabolic bone diseases, such as osteoporosis.</w:t>
      </w:r>
    </w:p>
    <w:p w:rsidR="007E380A" w:rsidRDefault="007E380A" w:rsidP="003E6719">
      <w:pPr>
        <w:jc w:val="both"/>
        <w:rPr>
          <w:rFonts w:cs="Arial"/>
          <w:szCs w:val="20"/>
        </w:rPr>
      </w:pPr>
    </w:p>
    <w:p w:rsidR="00BA7F04" w:rsidRDefault="00BA7F04" w:rsidP="003E6719">
      <w:pPr>
        <w:jc w:val="both"/>
        <w:rPr>
          <w:rFonts w:cs="Arial"/>
          <w:szCs w:val="20"/>
        </w:rPr>
      </w:pPr>
    </w:p>
    <w:p w:rsidR="009B28B6" w:rsidRDefault="009B28B6" w:rsidP="003E6719">
      <w:pPr>
        <w:pStyle w:val="Heading1"/>
        <w:jc w:val="both"/>
      </w:pPr>
    </w:p>
    <w:p w:rsidR="009B28B6" w:rsidRDefault="009B28B6" w:rsidP="003E6719">
      <w:pPr>
        <w:pStyle w:val="Heading1"/>
        <w:jc w:val="both"/>
      </w:pPr>
    </w:p>
    <w:p w:rsidR="009B28B6" w:rsidRPr="009B28B6" w:rsidRDefault="009B28B6" w:rsidP="003E6719">
      <w:pPr>
        <w:jc w:val="both"/>
      </w:pPr>
    </w:p>
    <w:p w:rsidR="004832D1" w:rsidRDefault="004832D1" w:rsidP="003E6719">
      <w:pPr>
        <w:pStyle w:val="Heading1"/>
        <w:jc w:val="both"/>
      </w:pPr>
    </w:p>
    <w:p w:rsidR="004832D1" w:rsidRDefault="004832D1" w:rsidP="003E6719">
      <w:pPr>
        <w:pStyle w:val="Heading1"/>
        <w:jc w:val="both"/>
      </w:pPr>
    </w:p>
    <w:p w:rsidR="004832D1" w:rsidRDefault="004832D1" w:rsidP="003E6719">
      <w:pPr>
        <w:pStyle w:val="Heading1"/>
        <w:jc w:val="both"/>
      </w:pPr>
    </w:p>
    <w:p w:rsidR="004832D1" w:rsidRDefault="004832D1" w:rsidP="00900F2C">
      <w:pPr>
        <w:pStyle w:val="Heading1"/>
      </w:pPr>
    </w:p>
    <w:p w:rsidR="004832D1" w:rsidRDefault="004832D1" w:rsidP="00900F2C">
      <w:pPr>
        <w:pStyle w:val="Heading1"/>
      </w:pPr>
    </w:p>
    <w:p w:rsidR="004832D1" w:rsidRDefault="004832D1" w:rsidP="00900F2C">
      <w:pPr>
        <w:pStyle w:val="Heading1"/>
      </w:pPr>
    </w:p>
    <w:p w:rsidR="004832D1" w:rsidRDefault="004832D1" w:rsidP="00900F2C">
      <w:pPr>
        <w:pStyle w:val="Heading1"/>
      </w:pPr>
    </w:p>
    <w:p w:rsidR="004832D1" w:rsidRDefault="004832D1" w:rsidP="00900F2C">
      <w:pPr>
        <w:pStyle w:val="Heading1"/>
      </w:pPr>
    </w:p>
    <w:p w:rsidR="00C7565E" w:rsidRDefault="00C7565E" w:rsidP="00900F2C"/>
    <w:p w:rsidR="00C7565E" w:rsidRDefault="00C7565E" w:rsidP="00900F2C"/>
    <w:p w:rsidR="00DA14FE" w:rsidRDefault="00DA14FE" w:rsidP="00900F2C">
      <w:pPr>
        <w:pStyle w:val="Heading1"/>
        <w:rPr>
          <w:rFonts w:asciiTheme="minorHAnsi" w:eastAsiaTheme="minorHAnsi" w:hAnsiTheme="minorHAnsi" w:cstheme="minorBidi"/>
          <w:bCs w:val="0"/>
          <w:sz w:val="22"/>
          <w:szCs w:val="22"/>
          <w:u w:val="none"/>
        </w:rPr>
      </w:pPr>
      <w:bookmarkStart w:id="54" w:name="_Toc425418899"/>
    </w:p>
    <w:p w:rsidR="00DA14FE" w:rsidRPr="00DA14FE" w:rsidRDefault="00DA14FE" w:rsidP="00900F2C"/>
    <w:p w:rsidR="00662A4D" w:rsidRPr="00662A4D" w:rsidRDefault="00106B5F" w:rsidP="003E6719">
      <w:pPr>
        <w:pStyle w:val="Heading1"/>
        <w:jc w:val="both"/>
      </w:pPr>
      <w:r>
        <w:t>Thesis aims</w:t>
      </w:r>
      <w:bookmarkEnd w:id="54"/>
    </w:p>
    <w:p w:rsidR="00106B5F" w:rsidRPr="00106B5F" w:rsidRDefault="00106B5F" w:rsidP="003E6719">
      <w:pPr>
        <w:spacing w:line="360" w:lineRule="auto"/>
        <w:jc w:val="both"/>
        <w:rPr>
          <w:rFonts w:ascii="Arial" w:hAnsi="Arial" w:cs="Arial"/>
          <w:b/>
        </w:rPr>
      </w:pPr>
      <w:r w:rsidRPr="00106B5F">
        <w:rPr>
          <w:rFonts w:ascii="Arial" w:hAnsi="Arial" w:cs="Arial"/>
          <w:b/>
        </w:rPr>
        <w:t xml:space="preserve">The overall aim </w:t>
      </w:r>
      <w:r w:rsidR="009E6750">
        <w:rPr>
          <w:rFonts w:ascii="Arial" w:hAnsi="Arial" w:cs="Arial"/>
          <w:b/>
        </w:rPr>
        <w:t xml:space="preserve">of the thesis is to </w:t>
      </w:r>
      <w:r w:rsidR="00317C30">
        <w:rPr>
          <w:rFonts w:ascii="Arial" w:hAnsi="Arial" w:cs="Arial"/>
          <w:b/>
        </w:rPr>
        <w:t>establish the clinical utility of bone turnover markers in postmenopausal osteoporosis.</w:t>
      </w:r>
    </w:p>
    <w:p w:rsidR="00A047A8" w:rsidRPr="00A047A8" w:rsidRDefault="00481A37" w:rsidP="003E6719">
      <w:pPr>
        <w:pStyle w:val="ListParagraph"/>
        <w:numPr>
          <w:ilvl w:val="0"/>
          <w:numId w:val="37"/>
        </w:numPr>
        <w:spacing w:line="360" w:lineRule="auto"/>
        <w:jc w:val="both"/>
        <w:rPr>
          <w:rFonts w:ascii="Arial" w:hAnsi="Arial" w:cs="Arial"/>
        </w:rPr>
      </w:pPr>
      <w:bookmarkStart w:id="55" w:name="_Toc418848438"/>
      <w:r>
        <w:rPr>
          <w:rFonts w:ascii="Arial" w:hAnsi="Arial" w:cs="Arial"/>
        </w:rPr>
        <w:t xml:space="preserve">Chapter 3: </w:t>
      </w:r>
      <w:r w:rsidR="00C16F2B" w:rsidRPr="00A047A8">
        <w:rPr>
          <w:rFonts w:ascii="Arial" w:hAnsi="Arial" w:cs="Arial"/>
        </w:rPr>
        <w:t>To establish normative data for biochemical markers of bone turnover in postmenopausal and premenopausal women</w:t>
      </w:r>
      <w:bookmarkStart w:id="56" w:name="_Toc418848439"/>
      <w:bookmarkEnd w:id="55"/>
    </w:p>
    <w:p w:rsidR="00B9449D" w:rsidRPr="00A047A8" w:rsidRDefault="00B9449D" w:rsidP="003E6719">
      <w:pPr>
        <w:pStyle w:val="ListParagraph"/>
        <w:numPr>
          <w:ilvl w:val="0"/>
          <w:numId w:val="3"/>
        </w:numPr>
        <w:spacing w:line="360" w:lineRule="auto"/>
        <w:jc w:val="both"/>
        <w:rPr>
          <w:rFonts w:ascii="Arial" w:hAnsi="Arial" w:cs="Arial"/>
        </w:rPr>
      </w:pPr>
      <w:r w:rsidRPr="00A047A8">
        <w:rPr>
          <w:rFonts w:ascii="Arial" w:hAnsi="Arial" w:cs="Arial"/>
        </w:rPr>
        <w:t>To identify diseases and drugs that have a significant effect on BTMs so that they can be used as valid exclusion criteria.</w:t>
      </w:r>
      <w:bookmarkEnd w:id="56"/>
      <w:r w:rsidRPr="00A047A8">
        <w:rPr>
          <w:rFonts w:ascii="Arial" w:hAnsi="Arial" w:cs="Arial"/>
        </w:rPr>
        <w:t xml:space="preserve"> </w:t>
      </w:r>
    </w:p>
    <w:p w:rsidR="00B9449D" w:rsidRPr="00A047A8" w:rsidRDefault="00B9449D" w:rsidP="003E6719">
      <w:pPr>
        <w:pStyle w:val="ListParagraph"/>
        <w:numPr>
          <w:ilvl w:val="0"/>
          <w:numId w:val="3"/>
        </w:numPr>
        <w:spacing w:line="360" w:lineRule="auto"/>
        <w:ind w:left="1077"/>
        <w:jc w:val="both"/>
        <w:rPr>
          <w:rFonts w:ascii="Arial" w:hAnsi="Arial" w:cs="Arial"/>
        </w:rPr>
      </w:pPr>
      <w:r w:rsidRPr="00A047A8">
        <w:rPr>
          <w:rFonts w:ascii="Arial" w:hAnsi="Arial" w:cs="Arial"/>
        </w:rPr>
        <w:lastRenderedPageBreak/>
        <w:t xml:space="preserve">To establish healthy reference intervals for BTMs in postmenopausal and premenopausal women.  </w:t>
      </w:r>
    </w:p>
    <w:p w:rsidR="00B9449D" w:rsidRDefault="00B9449D" w:rsidP="003E6719">
      <w:pPr>
        <w:pStyle w:val="ListParagraph"/>
        <w:numPr>
          <w:ilvl w:val="0"/>
          <w:numId w:val="3"/>
        </w:numPr>
        <w:spacing w:line="360" w:lineRule="auto"/>
        <w:ind w:left="1077"/>
        <w:jc w:val="both"/>
        <w:rPr>
          <w:rFonts w:ascii="Arial" w:hAnsi="Arial" w:cs="Arial"/>
        </w:rPr>
      </w:pPr>
      <w:r w:rsidRPr="00A047A8">
        <w:rPr>
          <w:rFonts w:ascii="Arial" w:hAnsi="Arial" w:cs="Arial"/>
        </w:rPr>
        <w:t>To examine the effects of life style and geographical differences on bone turnover markers in healthy postmenopausal women.</w:t>
      </w:r>
    </w:p>
    <w:p w:rsidR="00A047A8" w:rsidRPr="00A047A8" w:rsidRDefault="00A047A8" w:rsidP="003E6719">
      <w:pPr>
        <w:pStyle w:val="ListParagraph"/>
        <w:spacing w:line="360" w:lineRule="auto"/>
        <w:ind w:left="1077"/>
        <w:jc w:val="both"/>
        <w:rPr>
          <w:rFonts w:ascii="Arial" w:hAnsi="Arial" w:cs="Arial"/>
        </w:rPr>
      </w:pPr>
    </w:p>
    <w:p w:rsidR="00B9449D" w:rsidRPr="00A047A8" w:rsidRDefault="00481A37" w:rsidP="003E6719">
      <w:pPr>
        <w:pStyle w:val="ListParagraph"/>
        <w:numPr>
          <w:ilvl w:val="0"/>
          <w:numId w:val="37"/>
        </w:numPr>
        <w:jc w:val="both"/>
        <w:rPr>
          <w:rFonts w:ascii="Arial" w:hAnsi="Arial" w:cs="Arial"/>
        </w:rPr>
      </w:pPr>
      <w:bookmarkStart w:id="57" w:name="_Toc418848440"/>
      <w:r>
        <w:rPr>
          <w:rFonts w:ascii="Arial" w:hAnsi="Arial" w:cs="Arial"/>
        </w:rPr>
        <w:t xml:space="preserve">Chapter 4: </w:t>
      </w:r>
      <w:r w:rsidR="00B9449D" w:rsidRPr="00A047A8">
        <w:rPr>
          <w:rFonts w:ascii="Arial" w:hAnsi="Arial" w:cs="Arial"/>
        </w:rPr>
        <w:t>To assess fracture prediction</w:t>
      </w:r>
      <w:r>
        <w:rPr>
          <w:rFonts w:ascii="Arial" w:hAnsi="Arial" w:cs="Arial"/>
        </w:rPr>
        <w:t xml:space="preserve"> and bone loss</w:t>
      </w:r>
      <w:r w:rsidR="00B9449D" w:rsidRPr="00A047A8">
        <w:rPr>
          <w:rFonts w:ascii="Arial" w:hAnsi="Arial" w:cs="Arial"/>
        </w:rPr>
        <w:t xml:space="preserve"> using bone turnover and bone balance in postmenopausal women</w:t>
      </w:r>
      <w:bookmarkEnd w:id="57"/>
    </w:p>
    <w:p w:rsidR="00BB5B54" w:rsidRDefault="009E0A68" w:rsidP="003E6719">
      <w:pPr>
        <w:pStyle w:val="ListParagraph"/>
        <w:numPr>
          <w:ilvl w:val="0"/>
          <w:numId w:val="12"/>
        </w:numPr>
        <w:spacing w:line="360" w:lineRule="auto"/>
        <w:jc w:val="both"/>
        <w:rPr>
          <w:rFonts w:ascii="Arial" w:hAnsi="Arial" w:cs="Arial"/>
        </w:rPr>
      </w:pPr>
      <w:r w:rsidRPr="00BB5B54">
        <w:rPr>
          <w:rFonts w:ascii="Arial" w:hAnsi="Arial" w:cs="Arial"/>
        </w:rPr>
        <w:t>To c</w:t>
      </w:r>
      <w:r w:rsidR="00481A37">
        <w:rPr>
          <w:rFonts w:ascii="Arial" w:hAnsi="Arial" w:cs="Arial"/>
        </w:rPr>
        <w:t>ompare bone turnover</w:t>
      </w:r>
      <w:r w:rsidR="00496FDD" w:rsidRPr="00BB5B54">
        <w:rPr>
          <w:rFonts w:ascii="Arial" w:hAnsi="Arial" w:cs="Arial"/>
        </w:rPr>
        <w:t xml:space="preserve"> and bone</w:t>
      </w:r>
      <w:r w:rsidR="00481A37">
        <w:rPr>
          <w:rFonts w:ascii="Arial" w:hAnsi="Arial" w:cs="Arial"/>
        </w:rPr>
        <w:t xml:space="preserve"> balance</w:t>
      </w:r>
      <w:r w:rsidR="00496FDD" w:rsidRPr="00BB5B54">
        <w:rPr>
          <w:rFonts w:ascii="Arial" w:hAnsi="Arial" w:cs="Arial"/>
        </w:rPr>
        <w:t xml:space="preserve"> between healthy premenopausal women and postmeno</w:t>
      </w:r>
      <w:r w:rsidR="00481A37">
        <w:rPr>
          <w:rFonts w:ascii="Arial" w:hAnsi="Arial" w:cs="Arial"/>
        </w:rPr>
        <w:t>pausal women with osteoporosis using the T</w:t>
      </w:r>
      <w:r w:rsidR="00B9449D" w:rsidRPr="00BB5B54">
        <w:rPr>
          <w:rFonts w:ascii="Arial" w:hAnsi="Arial" w:cs="Arial"/>
        </w:rPr>
        <w:t>-score bone marker plot.</w:t>
      </w:r>
    </w:p>
    <w:p w:rsidR="000136D1" w:rsidRDefault="00481A37" w:rsidP="003E6719">
      <w:pPr>
        <w:pStyle w:val="ListParagraph"/>
        <w:numPr>
          <w:ilvl w:val="0"/>
          <w:numId w:val="12"/>
        </w:numPr>
        <w:spacing w:line="360" w:lineRule="auto"/>
        <w:jc w:val="both"/>
        <w:rPr>
          <w:rFonts w:ascii="Arial" w:hAnsi="Arial" w:cs="Arial"/>
        </w:rPr>
      </w:pPr>
      <w:r>
        <w:rPr>
          <w:rFonts w:ascii="Arial" w:hAnsi="Arial" w:cs="Arial"/>
        </w:rPr>
        <w:t>To assess BMD using</w:t>
      </w:r>
      <w:r w:rsidR="000136D1">
        <w:rPr>
          <w:rFonts w:ascii="Arial" w:hAnsi="Arial" w:cs="Arial"/>
        </w:rPr>
        <w:t xml:space="preserve"> bone balance and bone turnover in postmenopausal women.</w:t>
      </w:r>
    </w:p>
    <w:p w:rsidR="00481A37" w:rsidRDefault="00B9449D" w:rsidP="003E6719">
      <w:pPr>
        <w:pStyle w:val="ListParagraph"/>
        <w:numPr>
          <w:ilvl w:val="0"/>
          <w:numId w:val="12"/>
        </w:numPr>
        <w:spacing w:line="360" w:lineRule="auto"/>
        <w:jc w:val="both"/>
        <w:rPr>
          <w:rFonts w:ascii="Arial" w:hAnsi="Arial" w:cs="Arial"/>
        </w:rPr>
      </w:pPr>
      <w:r w:rsidRPr="00BB5B54">
        <w:rPr>
          <w:rFonts w:ascii="Arial" w:hAnsi="Arial" w:cs="Arial"/>
        </w:rPr>
        <w:t>To</w:t>
      </w:r>
      <w:r w:rsidR="009E35F3">
        <w:rPr>
          <w:rFonts w:ascii="Arial" w:hAnsi="Arial" w:cs="Arial"/>
        </w:rPr>
        <w:t xml:space="preserve"> assess the risk of fracture</w:t>
      </w:r>
      <w:r w:rsidR="00481A37">
        <w:rPr>
          <w:rFonts w:ascii="Arial" w:hAnsi="Arial" w:cs="Arial"/>
        </w:rPr>
        <w:t xml:space="preserve"> using</w:t>
      </w:r>
      <w:r w:rsidRPr="00BB5B54">
        <w:rPr>
          <w:rFonts w:ascii="Arial" w:hAnsi="Arial" w:cs="Arial"/>
        </w:rPr>
        <w:t xml:space="preserve"> bone balance and bone t</w:t>
      </w:r>
      <w:r w:rsidR="00481A37">
        <w:rPr>
          <w:rFonts w:ascii="Arial" w:hAnsi="Arial" w:cs="Arial"/>
        </w:rPr>
        <w:t>urnover in postmenopausal women</w:t>
      </w:r>
    </w:p>
    <w:p w:rsidR="00481A37" w:rsidRPr="00481A37" w:rsidRDefault="00481A37" w:rsidP="003E6719">
      <w:pPr>
        <w:pStyle w:val="ListParagraph"/>
        <w:spacing w:line="360" w:lineRule="auto"/>
        <w:ind w:left="1080"/>
        <w:jc w:val="both"/>
        <w:rPr>
          <w:rFonts w:ascii="Arial" w:hAnsi="Arial" w:cs="Arial"/>
        </w:rPr>
      </w:pPr>
    </w:p>
    <w:p w:rsidR="00C16F2B" w:rsidRPr="00A047A8" w:rsidRDefault="00481A37" w:rsidP="003E6719">
      <w:pPr>
        <w:pStyle w:val="ListParagraph"/>
        <w:numPr>
          <w:ilvl w:val="0"/>
          <w:numId w:val="37"/>
        </w:numPr>
        <w:jc w:val="both"/>
        <w:rPr>
          <w:rFonts w:ascii="Arial" w:hAnsi="Arial" w:cs="Arial"/>
        </w:rPr>
      </w:pPr>
      <w:bookmarkStart w:id="58" w:name="_Toc418848441"/>
      <w:r>
        <w:rPr>
          <w:rFonts w:ascii="Arial" w:hAnsi="Arial" w:cs="Arial"/>
        </w:rPr>
        <w:t xml:space="preserve">Chapter 5: </w:t>
      </w:r>
      <w:r w:rsidR="00C16F2B" w:rsidRPr="00A047A8">
        <w:rPr>
          <w:rFonts w:ascii="Arial" w:hAnsi="Arial" w:cs="Arial"/>
        </w:rPr>
        <w:t>To determine</w:t>
      </w:r>
      <w:r w:rsidR="00106B5F" w:rsidRPr="00A047A8">
        <w:rPr>
          <w:rFonts w:ascii="Arial" w:hAnsi="Arial" w:cs="Arial"/>
        </w:rPr>
        <w:t xml:space="preserve"> </w:t>
      </w:r>
      <w:r w:rsidR="00496FDD" w:rsidRPr="00A047A8">
        <w:rPr>
          <w:rFonts w:ascii="Arial" w:hAnsi="Arial" w:cs="Arial"/>
        </w:rPr>
        <w:t>t</w:t>
      </w:r>
      <w:r w:rsidR="00512D99" w:rsidRPr="00A047A8">
        <w:rPr>
          <w:rFonts w:ascii="Arial" w:hAnsi="Arial" w:cs="Arial"/>
        </w:rPr>
        <w:t xml:space="preserve">he effect of </w:t>
      </w:r>
      <w:r w:rsidR="004F108B" w:rsidRPr="00A047A8">
        <w:rPr>
          <w:rFonts w:ascii="Arial" w:hAnsi="Arial" w:cs="Arial"/>
        </w:rPr>
        <w:t>antiresorptive treatments</w:t>
      </w:r>
      <w:r w:rsidR="00512D99" w:rsidRPr="00A047A8">
        <w:rPr>
          <w:rFonts w:ascii="Arial" w:hAnsi="Arial" w:cs="Arial"/>
        </w:rPr>
        <w:t xml:space="preserve"> on</w:t>
      </w:r>
      <w:r w:rsidR="00E937A9" w:rsidRPr="00A047A8">
        <w:rPr>
          <w:rFonts w:ascii="Arial" w:hAnsi="Arial" w:cs="Arial"/>
        </w:rPr>
        <w:t xml:space="preserve"> biochemical markers of</w:t>
      </w:r>
      <w:r w:rsidR="00512D99" w:rsidRPr="00A047A8">
        <w:rPr>
          <w:rFonts w:ascii="Arial" w:hAnsi="Arial" w:cs="Arial"/>
        </w:rPr>
        <w:t xml:space="preserve"> </w:t>
      </w:r>
      <w:r w:rsidR="00496FDD" w:rsidRPr="00A047A8">
        <w:rPr>
          <w:rFonts w:ascii="Arial" w:hAnsi="Arial" w:cs="Arial"/>
        </w:rPr>
        <w:t xml:space="preserve">bone </w:t>
      </w:r>
      <w:r w:rsidR="00E937A9" w:rsidRPr="00A047A8">
        <w:rPr>
          <w:rFonts w:ascii="Arial" w:hAnsi="Arial" w:cs="Arial"/>
        </w:rPr>
        <w:t>turnover</w:t>
      </w:r>
      <w:r w:rsidR="00433081" w:rsidRPr="00A047A8">
        <w:rPr>
          <w:rFonts w:ascii="Arial" w:hAnsi="Arial" w:cs="Arial"/>
        </w:rPr>
        <w:t xml:space="preserve"> </w:t>
      </w:r>
      <w:bookmarkEnd w:id="58"/>
    </w:p>
    <w:p w:rsidR="001C26EC" w:rsidRDefault="00E937A9" w:rsidP="003E6719">
      <w:pPr>
        <w:pStyle w:val="ListParagraph"/>
        <w:numPr>
          <w:ilvl w:val="0"/>
          <w:numId w:val="4"/>
        </w:numPr>
        <w:spacing w:line="360" w:lineRule="auto"/>
        <w:jc w:val="both"/>
        <w:rPr>
          <w:rFonts w:ascii="Arial" w:hAnsi="Arial" w:cs="Arial"/>
        </w:rPr>
      </w:pPr>
      <w:r>
        <w:rPr>
          <w:rFonts w:ascii="Arial" w:hAnsi="Arial" w:cs="Arial"/>
        </w:rPr>
        <w:t>T</w:t>
      </w:r>
      <w:r w:rsidRPr="00E937A9">
        <w:rPr>
          <w:rFonts w:ascii="Arial" w:hAnsi="Arial" w:cs="Arial"/>
        </w:rPr>
        <w:t>o</w:t>
      </w:r>
      <w:r w:rsidR="00616501" w:rsidRPr="00E937A9">
        <w:rPr>
          <w:rFonts w:ascii="Arial" w:hAnsi="Arial" w:cs="Arial"/>
        </w:rPr>
        <w:t xml:space="preserve"> </w:t>
      </w:r>
      <w:r w:rsidR="00352FE9" w:rsidRPr="00E937A9">
        <w:rPr>
          <w:rFonts w:ascii="Arial" w:hAnsi="Arial" w:cs="Arial"/>
        </w:rPr>
        <w:t>determine the effects of alendronate, ibandronate and risedronate treatments on BTMs in postmen</w:t>
      </w:r>
      <w:r w:rsidR="00616501" w:rsidRPr="00E937A9">
        <w:rPr>
          <w:rFonts w:ascii="Arial" w:hAnsi="Arial" w:cs="Arial"/>
        </w:rPr>
        <w:t>opausal women with osteoporosis</w:t>
      </w:r>
      <w:r>
        <w:rPr>
          <w:rFonts w:ascii="Arial" w:hAnsi="Arial" w:cs="Arial"/>
        </w:rPr>
        <w:t>.</w:t>
      </w:r>
    </w:p>
    <w:p w:rsidR="00C83D23" w:rsidRDefault="00D302A7" w:rsidP="003E6719">
      <w:pPr>
        <w:pStyle w:val="ListParagraph"/>
        <w:numPr>
          <w:ilvl w:val="0"/>
          <w:numId w:val="15"/>
        </w:numPr>
        <w:spacing w:line="360" w:lineRule="auto"/>
        <w:jc w:val="both"/>
        <w:rPr>
          <w:rFonts w:ascii="Arial" w:hAnsi="Arial" w:cs="Arial"/>
        </w:rPr>
      </w:pPr>
      <w:r w:rsidRPr="00BB5B54">
        <w:rPr>
          <w:rFonts w:ascii="Arial" w:hAnsi="Arial" w:cs="Arial"/>
        </w:rPr>
        <w:t>To assess the response</w:t>
      </w:r>
      <w:r w:rsidR="009E0A68" w:rsidRPr="00BB5B54">
        <w:rPr>
          <w:rFonts w:ascii="Arial" w:hAnsi="Arial" w:cs="Arial"/>
        </w:rPr>
        <w:t xml:space="preserve"> to </w:t>
      </w:r>
      <w:r w:rsidR="00E41F37">
        <w:rPr>
          <w:rFonts w:ascii="Arial" w:hAnsi="Arial" w:cs="Arial"/>
        </w:rPr>
        <w:t xml:space="preserve">each </w:t>
      </w:r>
      <w:r w:rsidR="009E0A68" w:rsidRPr="00BB5B54">
        <w:rPr>
          <w:rFonts w:ascii="Arial" w:hAnsi="Arial" w:cs="Arial"/>
        </w:rPr>
        <w:t>bisph</w:t>
      </w:r>
      <w:r w:rsidR="00E41F37">
        <w:rPr>
          <w:rFonts w:ascii="Arial" w:hAnsi="Arial" w:cs="Arial"/>
        </w:rPr>
        <w:t>osphonate treatment</w:t>
      </w:r>
      <w:r w:rsidR="009E0A68" w:rsidRPr="00BB5B54">
        <w:rPr>
          <w:rFonts w:ascii="Arial" w:hAnsi="Arial" w:cs="Arial"/>
        </w:rPr>
        <w:t xml:space="preserve"> using the </w:t>
      </w:r>
      <w:r w:rsidR="009C11D4" w:rsidRPr="00BB5B54">
        <w:rPr>
          <w:rFonts w:ascii="Arial" w:hAnsi="Arial" w:cs="Arial"/>
        </w:rPr>
        <w:t>healthy BTMs reference interval.</w:t>
      </w:r>
    </w:p>
    <w:p w:rsidR="001C26EC" w:rsidRDefault="00352FE9" w:rsidP="003E6719">
      <w:pPr>
        <w:pStyle w:val="ListParagraph"/>
        <w:numPr>
          <w:ilvl w:val="0"/>
          <w:numId w:val="4"/>
        </w:numPr>
        <w:spacing w:line="360" w:lineRule="auto"/>
        <w:ind w:left="1077"/>
        <w:jc w:val="both"/>
        <w:rPr>
          <w:rFonts w:ascii="Arial" w:hAnsi="Arial" w:cs="Arial"/>
        </w:rPr>
      </w:pPr>
      <w:r w:rsidRPr="00496FDD">
        <w:rPr>
          <w:rFonts w:ascii="Arial" w:hAnsi="Arial" w:cs="Arial"/>
        </w:rPr>
        <w:t>To determine the effects of raloxifene treatment on BTMs in postmenopausal women with osteopenia</w:t>
      </w:r>
      <w:r w:rsidR="009C11D4">
        <w:rPr>
          <w:rFonts w:ascii="Arial" w:hAnsi="Arial" w:cs="Arial"/>
        </w:rPr>
        <w:t>.</w:t>
      </w:r>
    </w:p>
    <w:p w:rsidR="00E41F37" w:rsidRPr="003028A5" w:rsidRDefault="00D302A7" w:rsidP="003E6719">
      <w:pPr>
        <w:pStyle w:val="ListParagraph"/>
        <w:numPr>
          <w:ilvl w:val="1"/>
          <w:numId w:val="4"/>
        </w:numPr>
        <w:spacing w:line="360" w:lineRule="auto"/>
        <w:jc w:val="both"/>
        <w:rPr>
          <w:rFonts w:ascii="Arial" w:hAnsi="Arial" w:cs="Arial"/>
        </w:rPr>
      </w:pPr>
      <w:r>
        <w:rPr>
          <w:rFonts w:ascii="Arial" w:hAnsi="Arial" w:cs="Arial"/>
        </w:rPr>
        <w:t>To assess</w:t>
      </w:r>
      <w:r w:rsidR="009C11D4" w:rsidRPr="001C26EC">
        <w:rPr>
          <w:rFonts w:ascii="Arial" w:hAnsi="Arial" w:cs="Arial"/>
        </w:rPr>
        <w:t xml:space="preserve"> the </w:t>
      </w:r>
      <w:r>
        <w:rPr>
          <w:rFonts w:ascii="Arial" w:hAnsi="Arial" w:cs="Arial"/>
        </w:rPr>
        <w:t>response</w:t>
      </w:r>
      <w:r w:rsidR="009C11D4" w:rsidRPr="001C26EC">
        <w:rPr>
          <w:rFonts w:ascii="Arial" w:hAnsi="Arial" w:cs="Arial"/>
        </w:rPr>
        <w:t xml:space="preserve"> to raloxifene treatment using the healthy BTMs reference intervals.</w:t>
      </w:r>
    </w:p>
    <w:p w:rsidR="006652A5" w:rsidRPr="001C26EC" w:rsidRDefault="006652A5" w:rsidP="003E6719">
      <w:pPr>
        <w:pStyle w:val="ListParagraph"/>
        <w:spacing w:line="360" w:lineRule="auto"/>
        <w:ind w:left="1440"/>
        <w:jc w:val="both"/>
        <w:rPr>
          <w:rFonts w:ascii="Arial" w:hAnsi="Arial" w:cs="Arial"/>
        </w:rPr>
      </w:pPr>
    </w:p>
    <w:p w:rsidR="00496FDD" w:rsidRPr="00A047A8" w:rsidRDefault="00481A37" w:rsidP="003E6719">
      <w:pPr>
        <w:pStyle w:val="ListParagraph"/>
        <w:numPr>
          <w:ilvl w:val="0"/>
          <w:numId w:val="37"/>
        </w:numPr>
        <w:jc w:val="both"/>
        <w:rPr>
          <w:rFonts w:ascii="Arial" w:hAnsi="Arial" w:cs="Arial"/>
        </w:rPr>
      </w:pPr>
      <w:bookmarkStart w:id="59" w:name="_Toc418848442"/>
      <w:r>
        <w:rPr>
          <w:rFonts w:ascii="Arial" w:hAnsi="Arial" w:cs="Arial"/>
        </w:rPr>
        <w:t xml:space="preserve">Chapter 6: </w:t>
      </w:r>
      <w:r w:rsidR="00C16F2B" w:rsidRPr="00A047A8">
        <w:rPr>
          <w:rFonts w:ascii="Arial" w:hAnsi="Arial" w:cs="Arial"/>
        </w:rPr>
        <w:t xml:space="preserve">To investigate </w:t>
      </w:r>
      <w:r w:rsidR="00EF7C7F" w:rsidRPr="00A047A8">
        <w:rPr>
          <w:rFonts w:ascii="Arial" w:hAnsi="Arial" w:cs="Arial"/>
        </w:rPr>
        <w:t xml:space="preserve">the </w:t>
      </w:r>
      <w:r w:rsidR="00C16F2B" w:rsidRPr="00A047A8">
        <w:rPr>
          <w:rFonts w:ascii="Arial" w:hAnsi="Arial" w:cs="Arial"/>
        </w:rPr>
        <w:t xml:space="preserve">potential </w:t>
      </w:r>
      <w:r w:rsidR="00EF7C7F" w:rsidRPr="00A047A8">
        <w:rPr>
          <w:rFonts w:ascii="Arial" w:hAnsi="Arial" w:cs="Arial"/>
        </w:rPr>
        <w:t>m</w:t>
      </w:r>
      <w:r w:rsidR="00496FDD" w:rsidRPr="00A047A8">
        <w:rPr>
          <w:rFonts w:ascii="Arial" w:hAnsi="Arial" w:cs="Arial"/>
        </w:rPr>
        <w:t>echanism</w:t>
      </w:r>
      <w:r w:rsidR="00C16F2B" w:rsidRPr="00A047A8">
        <w:rPr>
          <w:rFonts w:ascii="Arial" w:hAnsi="Arial" w:cs="Arial"/>
        </w:rPr>
        <w:t>s</w:t>
      </w:r>
      <w:r w:rsidR="00A05478" w:rsidRPr="00A047A8">
        <w:rPr>
          <w:rFonts w:ascii="Arial" w:hAnsi="Arial" w:cs="Arial"/>
        </w:rPr>
        <w:t xml:space="preserve"> of action of bis</w:t>
      </w:r>
      <w:r w:rsidR="00D302A7" w:rsidRPr="00A047A8">
        <w:rPr>
          <w:rFonts w:ascii="Arial" w:hAnsi="Arial" w:cs="Arial"/>
        </w:rPr>
        <w:t>p</w:t>
      </w:r>
      <w:r w:rsidR="00A05478" w:rsidRPr="00A047A8">
        <w:rPr>
          <w:rFonts w:ascii="Arial" w:hAnsi="Arial" w:cs="Arial"/>
        </w:rPr>
        <w:t>hosphonates</w:t>
      </w:r>
      <w:r w:rsidR="00EF3E74" w:rsidRPr="00A047A8">
        <w:rPr>
          <w:rFonts w:ascii="Arial" w:hAnsi="Arial" w:cs="Arial"/>
        </w:rPr>
        <w:t xml:space="preserve"> on bone turnover</w:t>
      </w:r>
      <w:bookmarkEnd w:id="59"/>
    </w:p>
    <w:p w:rsidR="00496FDD" w:rsidRPr="00954751" w:rsidRDefault="00496FDD" w:rsidP="003E6719">
      <w:pPr>
        <w:pStyle w:val="ListParagraph"/>
        <w:numPr>
          <w:ilvl w:val="0"/>
          <w:numId w:val="6"/>
        </w:numPr>
        <w:spacing w:line="360" w:lineRule="auto"/>
        <w:ind w:left="1077"/>
        <w:jc w:val="both"/>
        <w:rPr>
          <w:rFonts w:ascii="Arial" w:hAnsi="Arial" w:cs="Arial"/>
        </w:rPr>
      </w:pPr>
      <w:r w:rsidRPr="00954751">
        <w:rPr>
          <w:rFonts w:ascii="Arial" w:hAnsi="Arial" w:cs="Arial"/>
        </w:rPr>
        <w:t xml:space="preserve">To investigate the effect of alendronate, ibandronate and risedronate on </w:t>
      </w:r>
      <w:r w:rsidR="00954751" w:rsidRPr="00954751">
        <w:rPr>
          <w:rFonts w:ascii="Arial" w:hAnsi="Arial" w:cs="Arial"/>
        </w:rPr>
        <w:t>osteoclast precursor cells in postmenopausal women with osteoporosis and healthy premenopausal women.</w:t>
      </w:r>
    </w:p>
    <w:p w:rsidR="00D302A7" w:rsidRDefault="00D302A7" w:rsidP="003E6719">
      <w:pPr>
        <w:pStyle w:val="ListParagraph"/>
        <w:numPr>
          <w:ilvl w:val="0"/>
          <w:numId w:val="6"/>
        </w:numPr>
        <w:spacing w:line="360" w:lineRule="auto"/>
        <w:ind w:left="1077"/>
        <w:jc w:val="both"/>
        <w:rPr>
          <w:rFonts w:ascii="Arial" w:hAnsi="Arial" w:cs="Arial"/>
        </w:rPr>
      </w:pPr>
      <w:r>
        <w:rPr>
          <w:rFonts w:ascii="Arial" w:hAnsi="Arial" w:cs="Arial"/>
        </w:rPr>
        <w:t>To investigate the effects of bisphosphonates on bone turnover and bone balance</w:t>
      </w:r>
      <w:r w:rsidR="004173B4">
        <w:rPr>
          <w:rFonts w:ascii="Arial" w:hAnsi="Arial" w:cs="Arial"/>
        </w:rPr>
        <w:t xml:space="preserve"> using the T</w:t>
      </w:r>
      <w:r w:rsidR="00BB5B54">
        <w:rPr>
          <w:rFonts w:ascii="Arial" w:hAnsi="Arial" w:cs="Arial"/>
        </w:rPr>
        <w:t>-score bone marker plot.</w:t>
      </w:r>
    </w:p>
    <w:p w:rsidR="009E37A4" w:rsidRDefault="009E37A4" w:rsidP="003E6719">
      <w:pPr>
        <w:pStyle w:val="ListParagraph"/>
        <w:numPr>
          <w:ilvl w:val="0"/>
          <w:numId w:val="6"/>
        </w:numPr>
        <w:spacing w:line="360" w:lineRule="auto"/>
        <w:ind w:left="1077"/>
        <w:jc w:val="both"/>
        <w:rPr>
          <w:rFonts w:ascii="Arial" w:hAnsi="Arial" w:cs="Arial"/>
        </w:rPr>
      </w:pPr>
      <w:r w:rsidRPr="00954751">
        <w:rPr>
          <w:rFonts w:ascii="Arial" w:hAnsi="Arial" w:cs="Arial"/>
        </w:rPr>
        <w:t>To determine the effects of alendronate, ibandronate and risedronate on regulators of bone formation.</w:t>
      </w:r>
    </w:p>
    <w:p w:rsidR="00A047A8" w:rsidRPr="009E37A4" w:rsidRDefault="00A047A8" w:rsidP="003E6719">
      <w:pPr>
        <w:pStyle w:val="ListParagraph"/>
        <w:spacing w:line="360" w:lineRule="auto"/>
        <w:ind w:left="1077"/>
        <w:jc w:val="both"/>
        <w:rPr>
          <w:rFonts w:ascii="Arial" w:hAnsi="Arial" w:cs="Arial"/>
        </w:rPr>
      </w:pPr>
    </w:p>
    <w:p w:rsidR="00954751" w:rsidRPr="00A047A8" w:rsidRDefault="00481A37" w:rsidP="003E6719">
      <w:pPr>
        <w:pStyle w:val="ListParagraph"/>
        <w:numPr>
          <w:ilvl w:val="0"/>
          <w:numId w:val="37"/>
        </w:numPr>
        <w:jc w:val="both"/>
        <w:rPr>
          <w:rFonts w:ascii="Arial" w:hAnsi="Arial" w:cs="Arial"/>
        </w:rPr>
      </w:pPr>
      <w:bookmarkStart w:id="60" w:name="_Toc418848443"/>
      <w:r>
        <w:rPr>
          <w:rFonts w:ascii="Arial" w:hAnsi="Arial" w:cs="Arial"/>
        </w:rPr>
        <w:t xml:space="preserve">Chapter 7: </w:t>
      </w:r>
      <w:r w:rsidR="00D302A7" w:rsidRPr="00A047A8">
        <w:rPr>
          <w:rFonts w:ascii="Arial" w:hAnsi="Arial" w:cs="Arial"/>
        </w:rPr>
        <w:t>To investigate the potential mechanisms of action of raloxi</w:t>
      </w:r>
      <w:r w:rsidR="00EF3E74" w:rsidRPr="00A047A8">
        <w:rPr>
          <w:rFonts w:ascii="Arial" w:hAnsi="Arial" w:cs="Arial"/>
        </w:rPr>
        <w:t xml:space="preserve">fene on bone turnover </w:t>
      </w:r>
      <w:bookmarkEnd w:id="60"/>
    </w:p>
    <w:p w:rsidR="00D302A7" w:rsidRDefault="00D302A7" w:rsidP="003E6719">
      <w:pPr>
        <w:pStyle w:val="ListParagraph"/>
        <w:numPr>
          <w:ilvl w:val="0"/>
          <w:numId w:val="11"/>
        </w:numPr>
        <w:spacing w:line="360" w:lineRule="auto"/>
        <w:jc w:val="both"/>
        <w:rPr>
          <w:rFonts w:ascii="Arial" w:hAnsi="Arial" w:cs="Arial"/>
        </w:rPr>
      </w:pPr>
      <w:r>
        <w:rPr>
          <w:rFonts w:ascii="Arial" w:hAnsi="Arial" w:cs="Arial"/>
        </w:rPr>
        <w:t>To investigate the effects of raloxifene on bone turnover and bone balance</w:t>
      </w:r>
      <w:r w:rsidR="00E55577">
        <w:rPr>
          <w:rFonts w:ascii="Arial" w:hAnsi="Arial" w:cs="Arial"/>
        </w:rPr>
        <w:t xml:space="preserve"> using the T</w:t>
      </w:r>
      <w:r w:rsidR="00BB5B54">
        <w:rPr>
          <w:rFonts w:ascii="Arial" w:hAnsi="Arial" w:cs="Arial"/>
        </w:rPr>
        <w:t>-score bone marker plot</w:t>
      </w:r>
      <w:r>
        <w:rPr>
          <w:rFonts w:ascii="Arial" w:hAnsi="Arial" w:cs="Arial"/>
        </w:rPr>
        <w:t>.</w:t>
      </w:r>
    </w:p>
    <w:p w:rsidR="009E37A4" w:rsidRPr="00D302A7" w:rsidRDefault="009E37A4" w:rsidP="003E6719">
      <w:pPr>
        <w:pStyle w:val="ListParagraph"/>
        <w:numPr>
          <w:ilvl w:val="0"/>
          <w:numId w:val="11"/>
        </w:numPr>
        <w:spacing w:line="360" w:lineRule="auto"/>
        <w:jc w:val="both"/>
        <w:rPr>
          <w:rFonts w:ascii="Arial" w:hAnsi="Arial" w:cs="Arial"/>
        </w:rPr>
      </w:pPr>
      <w:r w:rsidRPr="00D302A7">
        <w:rPr>
          <w:rFonts w:ascii="Arial" w:hAnsi="Arial" w:cs="Arial"/>
        </w:rPr>
        <w:lastRenderedPageBreak/>
        <w:t>To determine the effects of raloxifene on regulators of bone formation.</w:t>
      </w:r>
    </w:p>
    <w:p w:rsidR="0006371E" w:rsidRDefault="0006371E" w:rsidP="003E6719">
      <w:pPr>
        <w:pStyle w:val="Heading1"/>
        <w:spacing w:line="240" w:lineRule="auto"/>
        <w:jc w:val="both"/>
      </w:pPr>
    </w:p>
    <w:p w:rsidR="0006371E" w:rsidRDefault="0006371E" w:rsidP="003E6719">
      <w:pPr>
        <w:jc w:val="both"/>
      </w:pPr>
    </w:p>
    <w:p w:rsidR="0006371E" w:rsidRDefault="0006371E" w:rsidP="003E6719">
      <w:pPr>
        <w:jc w:val="both"/>
      </w:pPr>
    </w:p>
    <w:p w:rsidR="0006371E" w:rsidRPr="0006371E" w:rsidRDefault="0006371E" w:rsidP="003E6719">
      <w:pPr>
        <w:jc w:val="both"/>
      </w:pPr>
    </w:p>
    <w:p w:rsidR="0006371E" w:rsidRDefault="0006371E" w:rsidP="003E6719">
      <w:pPr>
        <w:pStyle w:val="Heading1"/>
        <w:spacing w:line="240" w:lineRule="auto"/>
        <w:jc w:val="both"/>
      </w:pPr>
    </w:p>
    <w:p w:rsidR="0006371E" w:rsidRDefault="0006371E" w:rsidP="003E6719">
      <w:pPr>
        <w:pStyle w:val="Heading1"/>
        <w:spacing w:line="240" w:lineRule="auto"/>
        <w:jc w:val="both"/>
      </w:pPr>
    </w:p>
    <w:p w:rsidR="0006371E" w:rsidRDefault="0006371E" w:rsidP="003E6719">
      <w:pPr>
        <w:pStyle w:val="Heading1"/>
        <w:spacing w:line="240" w:lineRule="auto"/>
        <w:jc w:val="both"/>
      </w:pPr>
    </w:p>
    <w:p w:rsidR="0006371E" w:rsidRPr="0006371E" w:rsidRDefault="0006371E" w:rsidP="003E6719">
      <w:pPr>
        <w:jc w:val="both"/>
      </w:pPr>
    </w:p>
    <w:p w:rsidR="00EE63DF" w:rsidRDefault="00EE63DF" w:rsidP="003E6719">
      <w:pPr>
        <w:pStyle w:val="Heading1"/>
        <w:spacing w:line="240" w:lineRule="auto"/>
        <w:jc w:val="both"/>
      </w:pPr>
    </w:p>
    <w:p w:rsidR="00EE63DF" w:rsidRDefault="00EE63DF" w:rsidP="003E6719">
      <w:pPr>
        <w:pStyle w:val="Heading1"/>
        <w:spacing w:line="240" w:lineRule="auto"/>
        <w:jc w:val="both"/>
      </w:pPr>
    </w:p>
    <w:p w:rsidR="00EE63DF" w:rsidRDefault="00EE63DF" w:rsidP="003E6719">
      <w:pPr>
        <w:pStyle w:val="Heading1"/>
        <w:spacing w:line="240" w:lineRule="auto"/>
        <w:jc w:val="both"/>
      </w:pPr>
    </w:p>
    <w:p w:rsidR="00EE63DF" w:rsidRDefault="00EE63DF" w:rsidP="003E6719">
      <w:pPr>
        <w:pStyle w:val="Heading1"/>
        <w:spacing w:line="240" w:lineRule="auto"/>
        <w:jc w:val="both"/>
      </w:pPr>
    </w:p>
    <w:p w:rsidR="00EE63DF" w:rsidRDefault="00EE63DF" w:rsidP="003E6719">
      <w:pPr>
        <w:pStyle w:val="Heading1"/>
        <w:spacing w:line="240" w:lineRule="auto"/>
        <w:jc w:val="both"/>
      </w:pPr>
    </w:p>
    <w:p w:rsidR="00EE63DF" w:rsidRDefault="00EE63DF" w:rsidP="003E6719">
      <w:pPr>
        <w:pStyle w:val="Heading1"/>
        <w:spacing w:line="240" w:lineRule="auto"/>
        <w:jc w:val="both"/>
      </w:pPr>
    </w:p>
    <w:p w:rsidR="00DA14FE" w:rsidRDefault="00DA14FE" w:rsidP="003E6719">
      <w:pPr>
        <w:pStyle w:val="Heading1"/>
        <w:spacing w:line="240" w:lineRule="auto"/>
        <w:jc w:val="both"/>
        <w:rPr>
          <w:rFonts w:asciiTheme="minorHAnsi" w:eastAsiaTheme="minorHAnsi" w:hAnsiTheme="minorHAnsi" w:cstheme="minorBidi"/>
          <w:bCs w:val="0"/>
          <w:sz w:val="22"/>
          <w:szCs w:val="22"/>
          <w:u w:val="none"/>
        </w:rPr>
      </w:pPr>
      <w:bookmarkStart w:id="61" w:name="_Toc425418900"/>
    </w:p>
    <w:p w:rsidR="00DA14FE" w:rsidRPr="00DA14FE" w:rsidRDefault="00DA14FE" w:rsidP="003E6719">
      <w:pPr>
        <w:jc w:val="both"/>
      </w:pPr>
    </w:p>
    <w:p w:rsidR="00402191" w:rsidRDefault="009C11D4" w:rsidP="003E6719">
      <w:pPr>
        <w:pStyle w:val="Heading1"/>
        <w:spacing w:line="240" w:lineRule="auto"/>
        <w:jc w:val="both"/>
      </w:pPr>
      <w:r>
        <w:t>Chapter 2: Methods</w:t>
      </w:r>
      <w:bookmarkEnd w:id="61"/>
    </w:p>
    <w:p w:rsidR="00481A37" w:rsidRDefault="001B09D0" w:rsidP="003E6719">
      <w:pPr>
        <w:pStyle w:val="Heading2"/>
        <w:jc w:val="both"/>
      </w:pPr>
      <w:bookmarkStart w:id="62" w:name="_Toc425418901"/>
      <w:r>
        <w:t>Study participants</w:t>
      </w:r>
      <w:r w:rsidR="00481A37">
        <w:t xml:space="preserve"> and patients</w:t>
      </w:r>
      <w:bookmarkEnd w:id="62"/>
    </w:p>
    <w:p w:rsidR="00434B5A" w:rsidRPr="00CD700F" w:rsidRDefault="000A3D59" w:rsidP="003E6719">
      <w:pPr>
        <w:spacing w:line="360" w:lineRule="auto"/>
        <w:jc w:val="both"/>
        <w:rPr>
          <w:rFonts w:ascii="Arial" w:hAnsi="Arial" w:cs="Arial"/>
        </w:rPr>
      </w:pPr>
      <w:r w:rsidRPr="00CD700F">
        <w:rPr>
          <w:rFonts w:ascii="Arial" w:hAnsi="Arial" w:cs="Arial"/>
        </w:rPr>
        <w:t>For the research in this</w:t>
      </w:r>
      <w:r w:rsidR="001B09D0" w:rsidRPr="00CD700F">
        <w:rPr>
          <w:rFonts w:ascii="Arial" w:hAnsi="Arial" w:cs="Arial"/>
        </w:rPr>
        <w:t xml:space="preserve"> thesis I used</w:t>
      </w:r>
      <w:r w:rsidRPr="00CD700F">
        <w:rPr>
          <w:rFonts w:ascii="Arial" w:hAnsi="Arial" w:cs="Arial"/>
        </w:rPr>
        <w:t xml:space="preserve"> samples obtained from</w:t>
      </w:r>
      <w:r w:rsidR="001B09D0" w:rsidRPr="00CD700F">
        <w:rPr>
          <w:rFonts w:ascii="Arial" w:hAnsi="Arial" w:cs="Arial"/>
        </w:rPr>
        <w:t xml:space="preserve"> three studies retrospectively;</w:t>
      </w:r>
    </w:p>
    <w:p w:rsidR="00434B5A" w:rsidRPr="00CD700F" w:rsidRDefault="001B09D0" w:rsidP="003B725E">
      <w:pPr>
        <w:pStyle w:val="ListParagraph"/>
        <w:numPr>
          <w:ilvl w:val="0"/>
          <w:numId w:val="41"/>
        </w:numPr>
        <w:spacing w:line="360" w:lineRule="auto"/>
        <w:jc w:val="both"/>
        <w:rPr>
          <w:rFonts w:ascii="Arial" w:hAnsi="Arial" w:cs="Arial"/>
        </w:rPr>
      </w:pPr>
      <w:r w:rsidRPr="00CD700F">
        <w:rPr>
          <w:rFonts w:ascii="Arial" w:hAnsi="Arial" w:cs="Arial"/>
        </w:rPr>
        <w:t>Osteoporosis and Ultrasound</w:t>
      </w:r>
      <w:r w:rsidR="00441D5B" w:rsidRPr="00CD700F">
        <w:rPr>
          <w:rFonts w:ascii="Arial" w:hAnsi="Arial" w:cs="Arial"/>
        </w:rPr>
        <w:t xml:space="preserve"> (</w:t>
      </w:r>
      <w:r w:rsidR="00B1441B" w:rsidRPr="00CD700F">
        <w:rPr>
          <w:rFonts w:ascii="Arial" w:hAnsi="Arial" w:cs="Arial"/>
        </w:rPr>
        <w:t xml:space="preserve">the </w:t>
      </w:r>
      <w:r w:rsidR="00441D5B" w:rsidRPr="00CD700F">
        <w:rPr>
          <w:rFonts w:ascii="Arial" w:hAnsi="Arial" w:cs="Arial"/>
        </w:rPr>
        <w:t>OPUS</w:t>
      </w:r>
      <w:r w:rsidR="00B1441B" w:rsidRPr="00CD700F">
        <w:rPr>
          <w:rFonts w:ascii="Arial" w:hAnsi="Arial" w:cs="Arial"/>
        </w:rPr>
        <w:t xml:space="preserve"> study</w:t>
      </w:r>
      <w:r w:rsidR="00441D5B" w:rsidRPr="00CD700F">
        <w:rPr>
          <w:rFonts w:ascii="Arial" w:hAnsi="Arial" w:cs="Arial"/>
        </w:rPr>
        <w:t xml:space="preserve">): details of the study design, protocol and recruitment criteria are in chapter 3 and have been described </w:t>
      </w:r>
      <w:r w:rsidR="002178C2" w:rsidRPr="00CD700F">
        <w:rPr>
          <w:rFonts w:ascii="Arial" w:hAnsi="Arial" w:cs="Arial"/>
        </w:rPr>
        <w:t xml:space="preserve">by Gluer C.C et al 2004, </w:t>
      </w:r>
      <w:r w:rsidR="002178C2" w:rsidRPr="00CD700F">
        <w:rPr>
          <w:rFonts w:ascii="Arial" w:hAnsi="Arial" w:cs="Arial"/>
        </w:rPr>
        <w:fldChar w:fldCharType="begin">
          <w:fldData xml:space="preserve">PEVuZE5vdGU+PENpdGU+PEF1dGhvcj5HbHVlcjwvQXV0aG9yPjxZZWFyPjIwMDQ8L1llYXI+PFJl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IE1pbmVyYWwgUmVzZWFyY2g8L2FiYnItMT48L3BlcmlvZGljYWw+PGFsdC1wZXJpb2RpY2FsPjxm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PEVuZE5vdGU+PENpdGU+PEF1dGhvcj5HbHVlcjwvQXV0aG9yPjxZZWFyPjIwMDQ8L1llYXI+PFJl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IE1pbmVyYWwgUmVzZWFyY2g8L2FiYnItMT48L3BlcmlvZGljYWw+PGFsdC1wZXJpb2RpY2FsPjxm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2178C2" w:rsidRPr="00CD700F">
        <w:rPr>
          <w:rFonts w:ascii="Arial" w:hAnsi="Arial" w:cs="Arial"/>
        </w:rPr>
      </w:r>
      <w:r w:rsidR="002178C2" w:rsidRPr="00CD700F">
        <w:rPr>
          <w:rFonts w:ascii="Arial" w:hAnsi="Arial" w:cs="Arial"/>
        </w:rPr>
        <w:fldChar w:fldCharType="separate"/>
      </w:r>
      <w:r w:rsidR="00B64C0F">
        <w:rPr>
          <w:rFonts w:ascii="Arial" w:hAnsi="Arial" w:cs="Arial"/>
          <w:noProof/>
        </w:rPr>
        <w:t>(</w:t>
      </w:r>
      <w:hyperlink w:anchor="_ENREF_341" w:tooltip="Gluer, 2004 #183" w:history="1">
        <w:r w:rsidR="003B725E">
          <w:rPr>
            <w:rFonts w:ascii="Arial" w:hAnsi="Arial" w:cs="Arial"/>
            <w:noProof/>
          </w:rPr>
          <w:t>341</w:t>
        </w:r>
      </w:hyperlink>
      <w:r w:rsidR="00B64C0F">
        <w:rPr>
          <w:rFonts w:ascii="Arial" w:hAnsi="Arial" w:cs="Arial"/>
          <w:noProof/>
        </w:rPr>
        <w:t>)</w:t>
      </w:r>
      <w:r w:rsidR="002178C2" w:rsidRPr="00CD700F">
        <w:rPr>
          <w:rFonts w:ascii="Arial" w:hAnsi="Arial" w:cs="Arial"/>
        </w:rPr>
        <w:fldChar w:fldCharType="end"/>
      </w:r>
      <w:r w:rsidR="002178C2" w:rsidRPr="00CD700F">
        <w:rPr>
          <w:rFonts w:ascii="Arial" w:hAnsi="Arial" w:cs="Arial"/>
        </w:rPr>
        <w:t>.</w:t>
      </w:r>
    </w:p>
    <w:p w:rsidR="000A3D59" w:rsidRPr="00CD700F" w:rsidRDefault="00795608" w:rsidP="003B725E">
      <w:pPr>
        <w:pStyle w:val="ListParagraph"/>
        <w:numPr>
          <w:ilvl w:val="0"/>
          <w:numId w:val="41"/>
        </w:numPr>
        <w:spacing w:line="360" w:lineRule="auto"/>
        <w:jc w:val="both"/>
        <w:rPr>
          <w:rFonts w:ascii="Arial" w:hAnsi="Arial" w:cs="Arial"/>
        </w:rPr>
      </w:pPr>
      <w:r w:rsidRPr="00CD700F">
        <w:rPr>
          <w:rFonts w:ascii="Arial" w:hAnsi="Arial" w:cs="Arial"/>
        </w:rPr>
        <w:t>A randomised control</w:t>
      </w:r>
      <w:r w:rsidR="00B1441B" w:rsidRPr="00CD700F">
        <w:rPr>
          <w:rFonts w:ascii="Arial" w:hAnsi="Arial" w:cs="Arial"/>
        </w:rPr>
        <w:t>led</w:t>
      </w:r>
      <w:r w:rsidRPr="00CD700F">
        <w:rPr>
          <w:rFonts w:ascii="Arial" w:hAnsi="Arial" w:cs="Arial"/>
        </w:rPr>
        <w:t xml:space="preserve"> clinical trial of 3 oral nitrogen-containing bisphosphonates (</w:t>
      </w:r>
      <w:r w:rsidR="00B1441B" w:rsidRPr="00CD700F">
        <w:rPr>
          <w:rFonts w:ascii="Arial" w:hAnsi="Arial" w:cs="Arial"/>
        </w:rPr>
        <w:t xml:space="preserve">the </w:t>
      </w:r>
      <w:r w:rsidRPr="00CD700F">
        <w:rPr>
          <w:rFonts w:ascii="Arial" w:hAnsi="Arial" w:cs="Arial"/>
        </w:rPr>
        <w:t>TRIO</w:t>
      </w:r>
      <w:r w:rsidR="00B1441B" w:rsidRPr="00CD700F">
        <w:rPr>
          <w:rFonts w:ascii="Arial" w:hAnsi="Arial" w:cs="Arial"/>
        </w:rPr>
        <w:t xml:space="preserve"> study</w:t>
      </w:r>
      <w:r w:rsidRPr="00CD700F">
        <w:rPr>
          <w:rFonts w:ascii="Arial" w:hAnsi="Arial" w:cs="Arial"/>
        </w:rPr>
        <w:t>)</w:t>
      </w:r>
      <w:r w:rsidR="002178C2" w:rsidRPr="00CD700F">
        <w:rPr>
          <w:rFonts w:ascii="Arial" w:hAnsi="Arial" w:cs="Arial"/>
        </w:rPr>
        <w:t xml:space="preserve">: details of the study design, protocol and </w:t>
      </w:r>
      <w:r w:rsidR="002178C2" w:rsidRPr="00CD700F">
        <w:rPr>
          <w:rFonts w:ascii="Arial" w:hAnsi="Arial" w:cs="Arial"/>
        </w:rPr>
        <w:lastRenderedPageBreak/>
        <w:t xml:space="preserve">recruitment criteria are in chapter 5 and have been described by Paggiosi M.A et al 2014 </w:t>
      </w:r>
      <w:r w:rsidR="002178C2" w:rsidRPr="00CD700F">
        <w:rPr>
          <w:rFonts w:ascii="Arial" w:hAnsi="Arial" w:cs="Arial"/>
        </w:rPr>
        <w:fldChar w:fldCharType="begin"/>
      </w:r>
      <w:r w:rsidR="00B64C0F">
        <w:rPr>
          <w:rFonts w:ascii="Arial" w:hAnsi="Arial" w:cs="Arial"/>
        </w:rPr>
        <w:instrText xml:space="preserve"> ADDIN EN.CITE &lt;EndNote&gt;&lt;Cite&gt;&lt;Author&gt;Paggiosi&lt;/Author&gt;&lt;Year&gt;2014&lt;/Year&gt;&lt;RecNum&gt;364&lt;/RecNum&gt;&lt;DisplayText&gt;(342)&lt;/DisplayText&gt;&lt;record&gt;&lt;rec-number&gt;364&lt;/rec-number&gt;&lt;foreign-keys&gt;&lt;key app="EN" db-id="p9a5ttsvyvde9me5aw2x05fp5p55axf0wr90" timestamp="1435333080"&gt;364&lt;/key&gt;&lt;/foreign-keys&gt;&lt;ref-type name="Journal Article"&gt;17&lt;/ref-type&gt;&lt;contributors&gt;&lt;authors&gt;&lt;author&gt;Paggiosi, M. A.&lt;/author&gt;&lt;author&gt;Peel, N.&lt;/author&gt;&lt;author&gt;McCloskey, E.&lt;/author&gt;&lt;author&gt;Walsh, J. S.&lt;/author&gt;&lt;author&gt;Eastell, R.&lt;/author&gt;&lt;/authors&gt;&lt;/contributors&gt;&lt;auth-address&gt;Academic Unit of Bone Metabolism, The Mellanby Centre for Bone Research, The University of Sheffield, South Yorkshire, UK, m.a.paggiosi@sheffield.ac.uk.&lt;/auth-address&gt;&lt;titles&gt;&lt;title&gt;Comparison of the effects of three oral bisphosphonate therapies on the peripheral skeleton in postmenopausal osteoporosis: the TRIO study&lt;/title&gt;&lt;secondary-title&gt;Osteoporos Int&lt;/secondary-title&gt;&lt;/titles&gt;&lt;periodical&gt;&lt;full-title&gt;Osteoporos Int&lt;/full-title&gt;&lt;abbr-1&gt;Osteoporosis international : a journal established as result of cooperation between the European Foundation for Osteoporosis and the National Osteoporosis Foundation of the USA&lt;/abbr-1&gt;&lt;/periodical&gt;&lt;pages&gt;2729-41&lt;/pages&gt;&lt;volume&gt;25&lt;/volume&gt;&lt;number&gt;12&lt;/number&gt;&lt;edition&gt;2014/07/31&lt;/edition&gt;&lt;dates&gt;&lt;year&gt;2014&lt;/year&gt;&lt;pub-dates&gt;&lt;date&gt;Dec&lt;/date&gt;&lt;/pub-dates&gt;&lt;/dates&gt;&lt;isbn&gt;1433-2965 (Electronic)&amp;#xD;0937-941X (Linking)&lt;/isbn&gt;&lt;accession-num&gt;25074351&lt;/accession-num&gt;&lt;urls&gt;&lt;/urls&gt;&lt;electronic-resource-num&gt;10.1007/s00198-014-2817-z&lt;/electronic-resource-num&gt;&lt;remote-database-provider&gt;NLM&lt;/remote-database-provider&gt;&lt;language&gt;eng&lt;/language&gt;&lt;/record&gt;&lt;/Cite&gt;&lt;/EndNote&gt;</w:instrText>
      </w:r>
      <w:r w:rsidR="002178C2" w:rsidRPr="00CD700F">
        <w:rPr>
          <w:rFonts w:ascii="Arial" w:hAnsi="Arial" w:cs="Arial"/>
        </w:rPr>
        <w:fldChar w:fldCharType="separate"/>
      </w:r>
      <w:r w:rsidR="00B64C0F">
        <w:rPr>
          <w:rFonts w:ascii="Arial" w:hAnsi="Arial" w:cs="Arial"/>
          <w:noProof/>
        </w:rPr>
        <w:t>(</w:t>
      </w:r>
      <w:hyperlink w:anchor="_ENREF_342" w:tooltip="Paggiosi, 2014 #364" w:history="1">
        <w:r w:rsidR="003B725E">
          <w:rPr>
            <w:rFonts w:ascii="Arial" w:hAnsi="Arial" w:cs="Arial"/>
            <w:noProof/>
          </w:rPr>
          <w:t>342</w:t>
        </w:r>
      </w:hyperlink>
      <w:r w:rsidR="00B64C0F">
        <w:rPr>
          <w:rFonts w:ascii="Arial" w:hAnsi="Arial" w:cs="Arial"/>
          <w:noProof/>
        </w:rPr>
        <w:t>)</w:t>
      </w:r>
      <w:r w:rsidR="002178C2" w:rsidRPr="00CD700F">
        <w:rPr>
          <w:rFonts w:ascii="Arial" w:hAnsi="Arial" w:cs="Arial"/>
        </w:rPr>
        <w:fldChar w:fldCharType="end"/>
      </w:r>
      <w:r w:rsidR="00B1441B" w:rsidRPr="00CD700F">
        <w:rPr>
          <w:rFonts w:ascii="Arial" w:hAnsi="Arial" w:cs="Arial"/>
        </w:rPr>
        <w:t>.</w:t>
      </w:r>
    </w:p>
    <w:p w:rsidR="00481A37" w:rsidRPr="00CD700F" w:rsidRDefault="00B1441B" w:rsidP="003B725E">
      <w:pPr>
        <w:pStyle w:val="ListParagraph"/>
        <w:numPr>
          <w:ilvl w:val="0"/>
          <w:numId w:val="41"/>
        </w:numPr>
        <w:spacing w:line="360" w:lineRule="auto"/>
        <w:jc w:val="both"/>
        <w:rPr>
          <w:rFonts w:ascii="Arial" w:hAnsi="Arial" w:cs="Arial"/>
        </w:rPr>
      </w:pPr>
      <w:r w:rsidRPr="00CD700F">
        <w:rPr>
          <w:rFonts w:ascii="Arial" w:hAnsi="Arial" w:cs="Arial"/>
        </w:rPr>
        <w:t xml:space="preserve">An open-label randomised controlled </w:t>
      </w:r>
      <w:r w:rsidR="00795608" w:rsidRPr="00CD700F">
        <w:rPr>
          <w:rFonts w:ascii="Arial" w:hAnsi="Arial" w:cs="Arial"/>
        </w:rPr>
        <w:t>clinical trial of r</w:t>
      </w:r>
      <w:r w:rsidR="003B1F4F" w:rsidRPr="00CD700F">
        <w:rPr>
          <w:rFonts w:ascii="Arial" w:hAnsi="Arial" w:cs="Arial"/>
        </w:rPr>
        <w:t>aloxifene</w:t>
      </w:r>
      <w:r w:rsidRPr="00CD700F">
        <w:rPr>
          <w:rFonts w:ascii="Arial" w:hAnsi="Arial" w:cs="Arial"/>
        </w:rPr>
        <w:t xml:space="preserve">: details of the study design, protocol and recruitment criteria are in chapter 5 and have been described by </w:t>
      </w:r>
      <w:r w:rsidR="00CD700F">
        <w:rPr>
          <w:rFonts w:ascii="Arial" w:hAnsi="Arial" w:cs="Arial"/>
        </w:rPr>
        <w:t>Clowes J.A et al</w:t>
      </w:r>
      <w:r w:rsidR="009E35F3">
        <w:rPr>
          <w:rFonts w:ascii="Arial" w:hAnsi="Arial" w:cs="Arial"/>
        </w:rPr>
        <w:t xml:space="preserve"> 2004</w:t>
      </w:r>
      <w:r w:rsidR="00CD700F">
        <w:rPr>
          <w:rFonts w:ascii="Arial" w:hAnsi="Arial" w:cs="Arial"/>
        </w:rPr>
        <w:t xml:space="preserve"> </w:t>
      </w:r>
      <w:r w:rsidRPr="00CD700F">
        <w:rPr>
          <w:rFonts w:ascii="Arial" w:hAnsi="Arial" w:cs="Arial"/>
        </w:rPr>
        <w:fldChar w:fldCharType="begin"/>
      </w:r>
      <w:r w:rsidR="00B64C0F">
        <w:rPr>
          <w:rFonts w:ascii="Arial" w:hAnsi="Arial" w:cs="Arial"/>
        </w:rPr>
        <w:instrText xml:space="preserve"> ADDIN EN.CITE &lt;EndNote&gt;&lt;Cite&gt;&lt;Author&gt;Clowes&lt;/Author&gt;&lt;Year&gt;2004&lt;/Year&gt;&lt;RecNum&gt;365&lt;/RecNum&gt;&lt;DisplayText&gt;(343)&lt;/DisplayText&gt;&lt;record&gt;&lt;rec-number&gt;365&lt;/rec-number&gt;&lt;foreign-keys&gt;&lt;key app="EN" db-id="p9a5ttsvyvde9me5aw2x05fp5p55axf0wr90" timestamp="1435333795"&gt;365&lt;/key&gt;&lt;/foreign-keys&gt;&lt;ref-type name="Journal Article"&gt;17&lt;/ref-type&gt;&lt;contributors&gt;&lt;authors&gt;&lt;author&gt;Clowes, J. A.&lt;/author&gt;&lt;author&gt;Peel, N. F.&lt;/author&gt;&lt;author&gt;Eastell, R.&lt;/author&gt;&lt;/authors&gt;&lt;/contributors&gt;&lt;auth-address&gt;Bone Metabolism Group, University of Sheffield, Sheffield, United Kingdom S57 AU. j.a.clowes@sheffield.ac.uk&lt;/auth-address&gt;&lt;titles&gt;&lt;title&gt;The impact of monitoring on adherence and persistence with antiresorptive treatment for postmenopausal osteoporosis: a randomized controlled trial&lt;/title&gt;&lt;secondary-title&gt;J Clin Endocrinol Metab&lt;/secondary-title&gt;&lt;/titles&gt;&lt;periodical&gt;&lt;full-title&gt;J Clin Endocrinol Metab&lt;/full-title&gt;&lt;abbr-1&gt;The Journal of clinical endocrinology and metabolism&lt;/abbr-1&gt;&lt;/periodical&gt;&lt;pages&gt;1117-23&lt;/pages&gt;&lt;volume&gt;89&lt;/volume&gt;&lt;number&gt;3&lt;/number&gt;&lt;edition&gt;2004/03/06&lt;/edition&gt;&lt;keywords&gt;&lt;keyword&gt;Aged&lt;/keyword&gt;&lt;keyword&gt;Aged, 80 and over&lt;/keyword&gt;&lt;keyword&gt;Bone Density&lt;/keyword&gt;&lt;keyword&gt;Drug Monitoring/methods/ nursing&lt;/keyword&gt;&lt;keyword&gt;Estrogen Antagonists/ administration &amp;amp; dosage&lt;/keyword&gt;&lt;keyword&gt;Female&lt;/keyword&gt;&lt;keyword&gt;Follow-Up Studies&lt;/keyword&gt;&lt;keyword&gt;Humans&lt;/keyword&gt;&lt;keyword&gt;Middle Aged&lt;/keyword&gt;&lt;keyword&gt;Osteoporosis, Postmenopausal/ drug therapy/mortality/psychology&lt;/keyword&gt;&lt;keyword&gt;Patient Compliance&lt;/keyword&gt;&lt;keyword&gt;Raloxifene/ administration &amp;amp; dosage&lt;/keyword&gt;&lt;keyword&gt;Self Administration&lt;/keyword&gt;&lt;keyword&gt;Survival Analysis&lt;/keyword&gt;&lt;/keywords&gt;&lt;dates&gt;&lt;year&gt;2004&lt;/year&gt;&lt;pub-dates&gt;&lt;date&gt;Mar&lt;/date&gt;&lt;/pub-dates&gt;&lt;/dates&gt;&lt;isbn&gt;0021-972X (Print)&amp;#xD;0021-972X (Linking)&lt;/isbn&gt;&lt;accession-num&gt;15001596&lt;/accession-num&gt;&lt;urls&gt;&lt;/urls&gt;&lt;electronic-resource-num&gt;10.1210/jc.2003-030501&lt;/electronic-resource-num&gt;&lt;remote-database-provider&gt;NLM&lt;/remote-database-provider&gt;&lt;language&gt;eng&lt;/language&gt;&lt;/record&gt;&lt;/Cite&gt;&lt;/EndNote&gt;</w:instrText>
      </w:r>
      <w:r w:rsidRPr="00CD700F">
        <w:rPr>
          <w:rFonts w:ascii="Arial" w:hAnsi="Arial" w:cs="Arial"/>
        </w:rPr>
        <w:fldChar w:fldCharType="separate"/>
      </w:r>
      <w:r w:rsidR="00B64C0F">
        <w:rPr>
          <w:rFonts w:ascii="Arial" w:hAnsi="Arial" w:cs="Arial"/>
          <w:noProof/>
        </w:rPr>
        <w:t>(</w:t>
      </w:r>
      <w:hyperlink w:anchor="_ENREF_343" w:tooltip="Clowes, 2004 #365" w:history="1">
        <w:r w:rsidR="003B725E">
          <w:rPr>
            <w:rFonts w:ascii="Arial" w:hAnsi="Arial" w:cs="Arial"/>
            <w:noProof/>
          </w:rPr>
          <w:t>343</w:t>
        </w:r>
      </w:hyperlink>
      <w:r w:rsidR="00B64C0F">
        <w:rPr>
          <w:rFonts w:ascii="Arial" w:hAnsi="Arial" w:cs="Arial"/>
          <w:noProof/>
        </w:rPr>
        <w:t>)</w:t>
      </w:r>
      <w:r w:rsidRPr="00CD700F">
        <w:rPr>
          <w:rFonts w:ascii="Arial" w:hAnsi="Arial" w:cs="Arial"/>
        </w:rPr>
        <w:fldChar w:fldCharType="end"/>
      </w:r>
      <w:r w:rsidRPr="00CD700F">
        <w:rPr>
          <w:rFonts w:ascii="Arial" w:hAnsi="Arial" w:cs="Arial"/>
        </w:rPr>
        <w:t>.</w:t>
      </w:r>
    </w:p>
    <w:p w:rsidR="00D6757A" w:rsidRDefault="00D6757A" w:rsidP="003E6719">
      <w:pPr>
        <w:pStyle w:val="Heading2"/>
        <w:jc w:val="both"/>
      </w:pPr>
      <w:bookmarkStart w:id="63" w:name="_Toc425418902"/>
      <w:r>
        <w:t>Biochemical methods</w:t>
      </w:r>
      <w:bookmarkEnd w:id="63"/>
    </w:p>
    <w:p w:rsidR="00B84674" w:rsidRDefault="00B84674" w:rsidP="003E6719">
      <w:pPr>
        <w:pStyle w:val="Heading3"/>
        <w:jc w:val="both"/>
      </w:pPr>
      <w:bookmarkStart w:id="64" w:name="_Toc425418903"/>
      <w:r>
        <w:t>Sample collection, handling and storage</w:t>
      </w:r>
      <w:bookmarkEnd w:id="64"/>
    </w:p>
    <w:p w:rsidR="00B77292" w:rsidRDefault="00B77292" w:rsidP="003E6719">
      <w:pPr>
        <w:pStyle w:val="Heading4"/>
        <w:jc w:val="both"/>
      </w:pPr>
      <w:r>
        <w:t>Serum</w:t>
      </w:r>
    </w:p>
    <w:p w:rsidR="00B77292" w:rsidRPr="00BB4FD1" w:rsidRDefault="00C23C02" w:rsidP="003E6719">
      <w:pPr>
        <w:spacing w:line="360" w:lineRule="auto"/>
        <w:jc w:val="both"/>
        <w:rPr>
          <w:rFonts w:ascii="Arial" w:hAnsi="Arial" w:cs="Arial"/>
        </w:rPr>
      </w:pPr>
      <w:r w:rsidRPr="00BB4FD1">
        <w:rPr>
          <w:rFonts w:ascii="Arial" w:hAnsi="Arial" w:cs="Arial"/>
        </w:rPr>
        <w:t>5 to 7 ml of venous whole blood was collected from each of the participants in vacutainers containing serum separating gel</w:t>
      </w:r>
      <w:r w:rsidR="00ED24BA" w:rsidRPr="00BB4FD1">
        <w:rPr>
          <w:rFonts w:ascii="Arial" w:hAnsi="Arial" w:cs="Arial"/>
        </w:rPr>
        <w:t xml:space="preserve"> and no anticoagulants (e.g. Vacutainer® SST </w:t>
      </w:r>
      <w:r w:rsidR="00ED24BA" w:rsidRPr="00BB4FD1">
        <w:rPr>
          <w:rFonts w:ascii="Arial" w:hAnsi="Arial" w:cs="Arial"/>
          <w:vertAlign w:val="superscript"/>
        </w:rPr>
        <w:t>TM</w:t>
      </w:r>
      <w:r w:rsidR="00ED24BA" w:rsidRPr="00BB4FD1">
        <w:rPr>
          <w:rFonts w:ascii="Arial" w:hAnsi="Arial" w:cs="Arial"/>
        </w:rPr>
        <w:t>)</w:t>
      </w:r>
      <w:r w:rsidRPr="00BB4FD1">
        <w:rPr>
          <w:rFonts w:ascii="Arial" w:hAnsi="Arial" w:cs="Arial"/>
        </w:rPr>
        <w:t xml:space="preserve">. Blood was collected </w:t>
      </w:r>
      <w:r w:rsidR="00ED24BA" w:rsidRPr="00BB4FD1">
        <w:rPr>
          <w:rFonts w:ascii="Arial" w:hAnsi="Arial" w:cs="Arial"/>
        </w:rPr>
        <w:t xml:space="preserve">between 08:00 and 10:00 following an overnight fast </w:t>
      </w:r>
      <w:r w:rsidR="004E672D" w:rsidRPr="00BB4FD1">
        <w:rPr>
          <w:rFonts w:ascii="Arial" w:hAnsi="Arial" w:cs="Arial"/>
        </w:rPr>
        <w:t>(</w:t>
      </w:r>
      <w:r w:rsidR="00ED24BA" w:rsidRPr="00BB4FD1">
        <w:rPr>
          <w:rFonts w:ascii="Arial" w:hAnsi="Arial" w:cs="Arial"/>
        </w:rPr>
        <w:t xml:space="preserve">with the exception of the participants from the </w:t>
      </w:r>
      <w:r w:rsidR="00441D5B">
        <w:rPr>
          <w:rFonts w:ascii="Arial" w:hAnsi="Arial" w:cs="Arial"/>
        </w:rPr>
        <w:t>OPUS</w:t>
      </w:r>
      <w:r w:rsidR="00B81F19" w:rsidRPr="00BB4FD1">
        <w:rPr>
          <w:rFonts w:ascii="Arial" w:hAnsi="Arial" w:cs="Arial"/>
        </w:rPr>
        <w:t xml:space="preserve"> study</w:t>
      </w:r>
      <w:r w:rsidR="00ED24BA" w:rsidRPr="00BB4FD1">
        <w:rPr>
          <w:rFonts w:ascii="Arial" w:hAnsi="Arial" w:cs="Arial"/>
        </w:rPr>
        <w:t xml:space="preserve">. The blood was left to clot for 30 minutes at room temperature and the centrifuged at 1500 to 2000g for 10 minutes at 4°C. </w:t>
      </w:r>
      <w:r w:rsidR="004E672D" w:rsidRPr="00BB4FD1">
        <w:rPr>
          <w:rFonts w:ascii="Arial" w:hAnsi="Arial" w:cs="Arial"/>
        </w:rPr>
        <w:t xml:space="preserve">The serum was then extracted and 0.5 ml was pipetted out in to labelled 2ml tubes. Samples were stored </w:t>
      </w:r>
      <w:r w:rsidR="000B287F">
        <w:rPr>
          <w:rFonts w:ascii="Arial" w:hAnsi="Arial" w:cs="Arial"/>
        </w:rPr>
        <w:t xml:space="preserve">at -80°C </w:t>
      </w:r>
      <w:r w:rsidR="00E74074" w:rsidRPr="00BB4FD1">
        <w:rPr>
          <w:rFonts w:ascii="Arial" w:hAnsi="Arial" w:cs="Arial"/>
        </w:rPr>
        <w:t xml:space="preserve">in the Sheffield Biorepository </w:t>
      </w:r>
      <w:r w:rsidR="00025698">
        <w:rPr>
          <w:rFonts w:ascii="Arial" w:hAnsi="Arial" w:cs="Arial"/>
        </w:rPr>
        <w:t xml:space="preserve">and/or adopted by the Sheffield Musculoskeletal Biobank (SMB) </w:t>
      </w:r>
      <w:r w:rsidR="00E74074" w:rsidRPr="00BB4FD1">
        <w:rPr>
          <w:rFonts w:ascii="Arial" w:hAnsi="Arial" w:cs="Arial"/>
        </w:rPr>
        <w:t>until the time of analyses.</w:t>
      </w:r>
    </w:p>
    <w:p w:rsidR="00B77292" w:rsidRDefault="00B77292" w:rsidP="003E6719">
      <w:pPr>
        <w:pStyle w:val="Heading4"/>
        <w:jc w:val="both"/>
      </w:pPr>
      <w:r>
        <w:t>Urine</w:t>
      </w:r>
    </w:p>
    <w:p w:rsidR="00E74074" w:rsidRPr="00BB4FD1" w:rsidRDefault="00E74074" w:rsidP="003E6719">
      <w:pPr>
        <w:spacing w:line="360" w:lineRule="auto"/>
        <w:jc w:val="both"/>
        <w:rPr>
          <w:rFonts w:ascii="Arial" w:hAnsi="Arial" w:cs="Arial"/>
        </w:rPr>
      </w:pPr>
      <w:r w:rsidRPr="00BB4FD1">
        <w:rPr>
          <w:rFonts w:ascii="Arial" w:hAnsi="Arial" w:cs="Arial"/>
        </w:rPr>
        <w:t>A second morning void urine sample was collected from each participant between 08:00 and 10:00</w:t>
      </w:r>
      <w:r w:rsidR="00B81F19" w:rsidRPr="00BB4FD1">
        <w:rPr>
          <w:rFonts w:ascii="Arial" w:hAnsi="Arial" w:cs="Arial"/>
        </w:rPr>
        <w:t xml:space="preserve"> following an overnight </w:t>
      </w:r>
      <w:r w:rsidR="000B287F">
        <w:rPr>
          <w:rFonts w:ascii="Arial" w:hAnsi="Arial" w:cs="Arial"/>
        </w:rPr>
        <w:t>fast (OPUS study participants were non-fasting</w:t>
      </w:r>
      <w:r w:rsidR="00B81F19" w:rsidRPr="00BB4FD1">
        <w:rPr>
          <w:rFonts w:ascii="Arial" w:hAnsi="Arial" w:cs="Arial"/>
        </w:rPr>
        <w:t xml:space="preserve">). 0.5 ml of urine was pipetted out in to labelled 2ml tubes and stored at </w:t>
      </w:r>
      <w:r w:rsidR="00BB4FD1" w:rsidRPr="00BB4FD1">
        <w:rPr>
          <w:rFonts w:ascii="Arial" w:hAnsi="Arial" w:cs="Arial"/>
        </w:rPr>
        <w:t>-20°C and/or -80°C until the time of analyses.</w:t>
      </w:r>
    </w:p>
    <w:p w:rsidR="00B77292" w:rsidRDefault="00B77292" w:rsidP="003E6719">
      <w:pPr>
        <w:pStyle w:val="Heading4"/>
        <w:jc w:val="both"/>
      </w:pPr>
      <w:r>
        <w:t>Whole blood</w:t>
      </w:r>
    </w:p>
    <w:p w:rsidR="00B77292" w:rsidRPr="00B77292" w:rsidRDefault="00025698" w:rsidP="003E6719">
      <w:pPr>
        <w:spacing w:line="360" w:lineRule="auto"/>
        <w:jc w:val="both"/>
      </w:pPr>
      <w:r w:rsidRPr="00025698">
        <w:rPr>
          <w:rFonts w:ascii="Arial" w:hAnsi="Arial" w:cs="Arial"/>
        </w:rPr>
        <w:t>20ml</w:t>
      </w:r>
      <w:r w:rsidRPr="00025698">
        <w:t xml:space="preserve"> </w:t>
      </w:r>
      <w:r w:rsidRPr="00025698">
        <w:rPr>
          <w:rFonts w:ascii="Arial" w:hAnsi="Arial" w:cs="Arial"/>
        </w:rPr>
        <w:t>of venous whole blood was collected from each of the participants in</w:t>
      </w:r>
      <w:r>
        <w:rPr>
          <w:rFonts w:ascii="Arial" w:hAnsi="Arial" w:cs="Arial"/>
        </w:rPr>
        <w:t xml:space="preserve"> EDTA</w:t>
      </w:r>
      <w:r w:rsidRPr="00025698">
        <w:rPr>
          <w:rFonts w:ascii="Arial" w:hAnsi="Arial" w:cs="Arial"/>
        </w:rPr>
        <w:t xml:space="preserve"> vacutainers</w:t>
      </w:r>
      <w:r>
        <w:rPr>
          <w:rFonts w:ascii="Arial" w:hAnsi="Arial" w:cs="Arial"/>
        </w:rPr>
        <w:t xml:space="preserve"> from a subset of participants from the </w:t>
      </w:r>
      <w:r w:rsidR="00155321">
        <w:rPr>
          <w:rFonts w:ascii="Arial" w:hAnsi="Arial" w:cs="Arial"/>
        </w:rPr>
        <w:t>TRIO-bisphosphonates</w:t>
      </w:r>
      <w:r>
        <w:rPr>
          <w:rFonts w:ascii="Arial" w:hAnsi="Arial" w:cs="Arial"/>
        </w:rPr>
        <w:t xml:space="preserve"> study.</w:t>
      </w:r>
      <w:r w:rsidR="00155321">
        <w:rPr>
          <w:rFonts w:ascii="Arial" w:hAnsi="Arial" w:cs="Arial"/>
        </w:rPr>
        <w:t xml:space="preserve"> Blood was </w:t>
      </w:r>
      <w:r w:rsidR="00155321" w:rsidRPr="00BB4FD1">
        <w:rPr>
          <w:rFonts w:ascii="Arial" w:hAnsi="Arial" w:cs="Arial"/>
        </w:rPr>
        <w:t>collected between 08:00 and 10:00 following an overnight fast</w:t>
      </w:r>
      <w:r w:rsidR="00155321">
        <w:rPr>
          <w:rFonts w:ascii="Arial" w:hAnsi="Arial" w:cs="Arial"/>
        </w:rPr>
        <w:t>. This sample was used for cell staining in real time.</w:t>
      </w:r>
    </w:p>
    <w:p w:rsidR="003A6066" w:rsidRDefault="005231E9" w:rsidP="003E6719">
      <w:pPr>
        <w:pStyle w:val="Heading3"/>
        <w:jc w:val="both"/>
      </w:pPr>
      <w:bookmarkStart w:id="65" w:name="_Toc425418904"/>
      <w:r>
        <w:t>S</w:t>
      </w:r>
      <w:r w:rsidR="003A6066">
        <w:t xml:space="preserve">tatistical </w:t>
      </w:r>
      <w:r w:rsidR="00795608">
        <w:t>analysis</w:t>
      </w:r>
      <w:r w:rsidR="00832B59">
        <w:t>: Method comparison</w:t>
      </w:r>
      <w:bookmarkEnd w:id="65"/>
    </w:p>
    <w:p w:rsidR="00570637" w:rsidRPr="00281B03" w:rsidRDefault="003A6066" w:rsidP="003E6719">
      <w:pPr>
        <w:spacing w:line="360" w:lineRule="auto"/>
        <w:jc w:val="both"/>
        <w:rPr>
          <w:rFonts w:ascii="Arial" w:hAnsi="Arial" w:cs="Arial"/>
        </w:rPr>
      </w:pPr>
      <w:r w:rsidRPr="00281B03">
        <w:rPr>
          <w:rFonts w:ascii="Arial" w:hAnsi="Arial" w:cs="Arial"/>
        </w:rPr>
        <w:t xml:space="preserve">Bland-Altman plots and Passing-Bablok regression were performed to test the agreement between the BTM methods and stability </w:t>
      </w:r>
      <w:r w:rsidR="00281B03" w:rsidRPr="00281B03">
        <w:rPr>
          <w:rFonts w:ascii="Arial" w:hAnsi="Arial" w:cs="Arial"/>
        </w:rPr>
        <w:t>using MedCalc for Windows version 12.2.1.0.</w:t>
      </w:r>
    </w:p>
    <w:p w:rsidR="000F6514" w:rsidRDefault="000F6514" w:rsidP="003E6719">
      <w:pPr>
        <w:pStyle w:val="Heading3"/>
        <w:jc w:val="both"/>
      </w:pPr>
      <w:bookmarkStart w:id="66" w:name="_Toc425418905"/>
      <w:r>
        <w:t>Assays measuring bone turnover markers</w:t>
      </w:r>
      <w:bookmarkEnd w:id="66"/>
    </w:p>
    <w:p w:rsidR="000F6514" w:rsidRDefault="000F6514" w:rsidP="003B725E">
      <w:pPr>
        <w:spacing w:line="360" w:lineRule="auto"/>
        <w:jc w:val="both"/>
        <w:rPr>
          <w:rFonts w:ascii="Arial" w:hAnsi="Arial" w:cs="Arial"/>
        </w:rPr>
      </w:pPr>
      <w:r>
        <w:rPr>
          <w:rFonts w:ascii="Arial" w:hAnsi="Arial" w:cs="Arial"/>
        </w:rPr>
        <w:t>Several assays are currently available and continue to be developed</w:t>
      </w:r>
      <w:r w:rsidR="00BB4FD1">
        <w:rPr>
          <w:rFonts w:ascii="Arial" w:hAnsi="Arial" w:cs="Arial"/>
        </w:rPr>
        <w:t xml:space="preserve"> by companies</w:t>
      </w:r>
      <w:r>
        <w:rPr>
          <w:rFonts w:ascii="Arial" w:hAnsi="Arial" w:cs="Arial"/>
        </w:rPr>
        <w:t xml:space="preserve"> with the aim to measure the rates of bone resorption and formation. The IOF and IFCC Bone Marker Working Group have emphasised the need to standardise and harmonise such assay in order to minimise differences between methods</w:t>
      </w:r>
      <w:r w:rsidR="001F555E">
        <w:rPr>
          <w:rFonts w:ascii="Arial" w:hAnsi="Arial" w:cs="Arial"/>
        </w:rPr>
        <w:t xml:space="preserve"> </w:t>
      </w:r>
      <w:r w:rsidR="00920CA4">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20CA4">
        <w:rPr>
          <w:rFonts w:ascii="Arial" w:hAnsi="Arial" w:cs="Arial"/>
        </w:rPr>
      </w:r>
      <w:r w:rsidR="00920CA4">
        <w:rPr>
          <w:rFonts w:ascii="Arial" w:hAnsi="Arial" w:cs="Arial"/>
        </w:rPr>
        <w:fldChar w:fldCharType="separate"/>
      </w:r>
      <w:r w:rsidR="00B64C0F">
        <w:rPr>
          <w:rFonts w:ascii="Arial" w:hAnsi="Arial" w:cs="Arial"/>
          <w:noProof/>
        </w:rPr>
        <w:t>(</w:t>
      </w:r>
      <w:hyperlink w:anchor="_ENREF_319" w:tooltip="Vasikaran, 2011 #518" w:history="1">
        <w:r w:rsidR="003B725E">
          <w:rPr>
            <w:rFonts w:ascii="Arial" w:hAnsi="Arial" w:cs="Arial"/>
            <w:noProof/>
          </w:rPr>
          <w:t>319</w:t>
        </w:r>
      </w:hyperlink>
      <w:r w:rsidR="00B64C0F">
        <w:rPr>
          <w:rFonts w:ascii="Arial" w:hAnsi="Arial" w:cs="Arial"/>
          <w:noProof/>
        </w:rPr>
        <w:t>)</w:t>
      </w:r>
      <w:r w:rsidR="00920CA4">
        <w:rPr>
          <w:rFonts w:ascii="Arial" w:hAnsi="Arial" w:cs="Arial"/>
        </w:rPr>
        <w:fldChar w:fldCharType="end"/>
      </w:r>
      <w:r>
        <w:rPr>
          <w:rFonts w:ascii="Arial" w:hAnsi="Arial" w:cs="Arial"/>
        </w:rPr>
        <w:t>. This will allow comparisons and meta-analyses to be performed with the aim of establishing the clinical utility of BTMs.</w:t>
      </w:r>
    </w:p>
    <w:p w:rsidR="00ED790A" w:rsidRDefault="00ED790A" w:rsidP="003E6719">
      <w:pPr>
        <w:pStyle w:val="Heading3"/>
        <w:jc w:val="both"/>
      </w:pPr>
      <w:bookmarkStart w:id="67" w:name="_Toc425418906"/>
      <w:r>
        <w:lastRenderedPageBreak/>
        <w:t>ChemiLuminescence Immunoassays (CLIA)</w:t>
      </w:r>
      <w:bookmarkEnd w:id="67"/>
    </w:p>
    <w:p w:rsidR="005B5B53" w:rsidRPr="00452AEA" w:rsidRDefault="00434B5A" w:rsidP="003E6719">
      <w:pPr>
        <w:spacing w:line="360" w:lineRule="auto"/>
        <w:jc w:val="both"/>
        <w:rPr>
          <w:rFonts w:ascii="Arial" w:hAnsi="Arial" w:cs="Arial"/>
        </w:rPr>
      </w:pPr>
      <w:r w:rsidRPr="00452AEA">
        <w:rPr>
          <w:rFonts w:ascii="Arial" w:hAnsi="Arial" w:cs="Arial"/>
          <w:noProof/>
          <w:lang w:eastAsia="zh-CN"/>
        </w:rPr>
        <mc:AlternateContent>
          <mc:Choice Requires="wps">
            <w:drawing>
              <wp:anchor distT="0" distB="0" distL="114300" distR="114300" simplePos="0" relativeHeight="252399104" behindDoc="0" locked="0" layoutInCell="1" allowOverlap="1" wp14:anchorId="3AFC95F0" wp14:editId="0710DC4D">
                <wp:simplePos x="0" y="0"/>
                <wp:positionH relativeFrom="column">
                  <wp:posOffset>960120</wp:posOffset>
                </wp:positionH>
                <wp:positionV relativeFrom="paragraph">
                  <wp:posOffset>2251076</wp:posOffset>
                </wp:positionV>
                <wp:extent cx="3495040" cy="1028700"/>
                <wp:effectExtent l="0" t="0" r="10160" b="19050"/>
                <wp:wrapNone/>
                <wp:docPr id="18606" name="Rectangle 18606"/>
                <wp:cNvGraphicFramePr/>
                <a:graphic xmlns:a="http://schemas.openxmlformats.org/drawingml/2006/main">
                  <a:graphicData uri="http://schemas.microsoft.com/office/word/2010/wordprocessingShape">
                    <wps:wsp>
                      <wps:cNvSpPr/>
                      <wps:spPr>
                        <a:xfrm>
                          <a:off x="0" y="0"/>
                          <a:ext cx="3495040" cy="10287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F9ABE" id="Rectangle 18606" o:spid="_x0000_s1026" style="position:absolute;margin-left:75.6pt;margin-top:177.25pt;width:275.2pt;height:81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" filled="f" strokecolor="black [3213]"/>
            </w:pict>
          </mc:Fallback>
        </mc:AlternateContent>
      </w:r>
      <w:r w:rsidR="00C24FD5" w:rsidRPr="00452AEA">
        <w:rPr>
          <w:rFonts w:ascii="Arial" w:hAnsi="Arial" w:cs="Arial"/>
        </w:rPr>
        <w:t xml:space="preserve">The IDS-iSYS Multi-Disciplined automated immunoassay analyser (IDS, Boldon, UK) was mainly used to measure the majority of the BTMs and hormones discussed in my thesis. It </w:t>
      </w:r>
      <w:r w:rsidR="00572A62" w:rsidRPr="00452AEA">
        <w:rPr>
          <w:rFonts w:ascii="Arial" w:hAnsi="Arial" w:cs="Arial"/>
        </w:rPr>
        <w:t xml:space="preserve">uses a CLIA </w:t>
      </w:r>
      <w:r w:rsidR="009658F1" w:rsidRPr="00452AEA">
        <w:rPr>
          <w:rFonts w:ascii="Arial" w:hAnsi="Arial" w:cs="Arial"/>
        </w:rPr>
        <w:t xml:space="preserve">detection </w:t>
      </w:r>
      <w:r w:rsidR="00572A62" w:rsidRPr="00452AEA">
        <w:rPr>
          <w:rFonts w:ascii="Arial" w:hAnsi="Arial" w:cs="Arial"/>
        </w:rPr>
        <w:t>methodology</w:t>
      </w:r>
      <w:r w:rsidR="00481A37">
        <w:rPr>
          <w:rFonts w:ascii="Arial" w:hAnsi="Arial" w:cs="Arial"/>
        </w:rPr>
        <w:t xml:space="preserve">, (Figure 19). </w:t>
      </w:r>
      <w:r w:rsidR="00572A62" w:rsidRPr="00452AEA">
        <w:rPr>
          <w:rFonts w:ascii="Arial" w:hAnsi="Arial" w:cs="Arial"/>
        </w:rPr>
        <w:t>G</w:t>
      </w:r>
      <w:r w:rsidR="00C24FD5" w:rsidRPr="00452AEA">
        <w:rPr>
          <w:rFonts w:ascii="Arial" w:hAnsi="Arial" w:cs="Arial"/>
        </w:rPr>
        <w:t>eneral</w:t>
      </w:r>
      <w:r w:rsidR="009658F1" w:rsidRPr="00452AEA">
        <w:rPr>
          <w:rFonts w:ascii="Arial" w:hAnsi="Arial" w:cs="Arial"/>
        </w:rPr>
        <w:t>ly, in a chemical reaction the substance is oxidised</w:t>
      </w:r>
      <w:r w:rsidR="007E04FA" w:rsidRPr="00452AEA">
        <w:rPr>
          <w:rFonts w:ascii="Arial" w:hAnsi="Arial" w:cs="Arial"/>
        </w:rPr>
        <w:t xml:space="preserve"> and stabilised </w:t>
      </w:r>
      <w:r w:rsidR="009658F1" w:rsidRPr="00452AEA">
        <w:rPr>
          <w:rFonts w:ascii="Arial" w:hAnsi="Arial" w:cs="Arial"/>
        </w:rPr>
        <w:t xml:space="preserve">and </w:t>
      </w:r>
      <w:r w:rsidR="007E04FA" w:rsidRPr="00452AEA">
        <w:rPr>
          <w:rFonts w:ascii="Arial" w:hAnsi="Arial" w:cs="Arial"/>
        </w:rPr>
        <w:t>a tracer</w:t>
      </w:r>
      <w:r w:rsidR="00572A62" w:rsidRPr="00452AEA">
        <w:rPr>
          <w:rFonts w:ascii="Arial" w:hAnsi="Arial" w:cs="Arial"/>
        </w:rPr>
        <w:t xml:space="preserve"> </w:t>
      </w:r>
      <w:r w:rsidR="00C24FD5" w:rsidRPr="00452AEA">
        <w:rPr>
          <w:rFonts w:ascii="Arial" w:hAnsi="Arial" w:cs="Arial"/>
        </w:rPr>
        <w:t>converts a substrate in to a reactive produc</w:t>
      </w:r>
      <w:r w:rsidR="00912094">
        <w:rPr>
          <w:rFonts w:ascii="Arial" w:hAnsi="Arial" w:cs="Arial"/>
        </w:rPr>
        <w:t>t capable of e</w:t>
      </w:r>
      <w:r w:rsidR="00C24FD5" w:rsidRPr="00452AEA">
        <w:rPr>
          <w:rFonts w:ascii="Arial" w:hAnsi="Arial" w:cs="Arial"/>
        </w:rPr>
        <w:t xml:space="preserve">mitting light </w:t>
      </w:r>
      <w:r w:rsidR="009658F1" w:rsidRPr="00452AEA">
        <w:rPr>
          <w:rFonts w:ascii="Arial" w:hAnsi="Arial" w:cs="Arial"/>
        </w:rPr>
        <w:t xml:space="preserve">photons. </w:t>
      </w:r>
      <w:r w:rsidR="00572A62" w:rsidRPr="00452AEA">
        <w:rPr>
          <w:rFonts w:ascii="Arial" w:hAnsi="Arial" w:cs="Arial"/>
        </w:rPr>
        <w:t xml:space="preserve">The photons are detected by a luminometer </w:t>
      </w:r>
      <w:r w:rsidR="00673495" w:rsidRPr="00452AEA">
        <w:rPr>
          <w:rFonts w:ascii="Arial" w:hAnsi="Arial" w:cs="Arial"/>
        </w:rPr>
        <w:t>with wavelengths from 300 to 500 nm. T</w:t>
      </w:r>
      <w:r w:rsidR="00572A62" w:rsidRPr="00452AEA">
        <w:rPr>
          <w:rFonts w:ascii="Arial" w:hAnsi="Arial" w:cs="Arial"/>
        </w:rPr>
        <w:t>he reaction is measured and expressed as relative light units (RLUs)</w:t>
      </w:r>
      <w:r w:rsidR="00673495" w:rsidRPr="00452AEA">
        <w:rPr>
          <w:rFonts w:ascii="Arial" w:hAnsi="Arial" w:cs="Arial"/>
        </w:rPr>
        <w:t xml:space="preserve"> (linearity </w:t>
      </w:r>
      <w:r w:rsidR="00FE645A">
        <w:rPr>
          <w:rFonts w:ascii="Arial" w:hAnsi="Arial" w:cs="Arial"/>
        </w:rPr>
        <w:t xml:space="preserve">of </w:t>
      </w:r>
      <w:r w:rsidR="00673495" w:rsidRPr="00452AEA">
        <w:rPr>
          <w:rFonts w:ascii="Arial" w:hAnsi="Arial" w:cs="Arial"/>
        </w:rPr>
        <w:t>up to 10 million RLUs)</w:t>
      </w:r>
      <w:r w:rsidR="00572A62" w:rsidRPr="00452AEA">
        <w:rPr>
          <w:rFonts w:ascii="Arial" w:hAnsi="Arial" w:cs="Arial"/>
        </w:rPr>
        <w:t>. RLUs are prop</w:t>
      </w:r>
      <w:r w:rsidR="007E04FA" w:rsidRPr="00452AEA">
        <w:rPr>
          <w:rFonts w:ascii="Arial" w:hAnsi="Arial" w:cs="Arial"/>
        </w:rPr>
        <w:t>ortional to the concentration of the</w:t>
      </w:r>
      <w:r w:rsidR="00572A62" w:rsidRPr="00452AEA">
        <w:rPr>
          <w:rFonts w:ascii="Arial" w:hAnsi="Arial" w:cs="Arial"/>
        </w:rPr>
        <w:t xml:space="preserve"> analyte present in the serum. </w:t>
      </w:r>
      <w:r w:rsidR="00564C65" w:rsidRPr="00452AEA">
        <w:rPr>
          <w:rFonts w:ascii="Arial" w:hAnsi="Arial" w:cs="Arial"/>
        </w:rPr>
        <w:t>The reaction takes place in disposable cuvette</w:t>
      </w:r>
      <w:r w:rsidR="00F622B0" w:rsidRPr="00452AEA">
        <w:rPr>
          <w:rFonts w:ascii="Arial" w:hAnsi="Arial" w:cs="Arial"/>
        </w:rPr>
        <w:t>s</w:t>
      </w:r>
      <w:r w:rsidR="00564C65" w:rsidRPr="00452AEA">
        <w:rPr>
          <w:rFonts w:ascii="Arial" w:hAnsi="Arial" w:cs="Arial"/>
        </w:rPr>
        <w:t xml:space="preserve"> loaded on to the analyser</w:t>
      </w:r>
      <w:r w:rsidR="00F622B0" w:rsidRPr="00452AEA">
        <w:rPr>
          <w:rFonts w:ascii="Arial" w:hAnsi="Arial" w:cs="Arial"/>
        </w:rPr>
        <w:t xml:space="preserve"> prior</w:t>
      </w:r>
      <w:r w:rsidR="00564C65" w:rsidRPr="00452AEA">
        <w:rPr>
          <w:rFonts w:ascii="Arial" w:hAnsi="Arial" w:cs="Arial"/>
        </w:rPr>
        <w:t>.</w:t>
      </w:r>
    </w:p>
    <w:p w:rsidR="00452AEA" w:rsidRPr="00452AEA" w:rsidRDefault="007E04FA" w:rsidP="009D3BB6">
      <w:pPr>
        <w:keepNext/>
        <w:tabs>
          <w:tab w:val="left" w:pos="709"/>
        </w:tabs>
        <w:jc w:val="center"/>
      </w:pPr>
      <w:r>
        <w:rPr>
          <w:noProof/>
          <w:lang w:eastAsia="zh-CN"/>
        </w:rPr>
        <w:drawing>
          <wp:inline distT="0" distB="0" distL="0" distR="0" wp14:anchorId="2CE02DB9" wp14:editId="2F46CB14">
            <wp:extent cx="3288030" cy="872268"/>
            <wp:effectExtent l="0" t="0" r="7620" b="4445"/>
            <wp:docPr id="18627" name="Picture 1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52399" cy="889344"/>
                    </a:xfrm>
                    <a:prstGeom prst="rect">
                      <a:avLst/>
                    </a:prstGeom>
                    <a:noFill/>
                  </pic:spPr>
                </pic:pic>
              </a:graphicData>
            </a:graphic>
          </wp:inline>
        </w:drawing>
      </w:r>
    </w:p>
    <w:p w:rsidR="005B5B53" w:rsidRPr="005B5B53" w:rsidRDefault="005B5B53" w:rsidP="003E6719">
      <w:pPr>
        <w:pStyle w:val="Caption"/>
        <w:jc w:val="both"/>
        <w:rPr>
          <w:rFonts w:ascii="Arial" w:hAnsi="Arial" w:cs="Arial"/>
          <w:b w:val="0"/>
          <w:color w:val="auto"/>
        </w:rPr>
      </w:pPr>
      <w:bookmarkStart w:id="68" w:name="_Toc425419502"/>
      <w:r w:rsidRPr="005B5B53">
        <w:rPr>
          <w:rFonts w:ascii="Arial" w:hAnsi="Arial" w:cs="Arial"/>
          <w:b w:val="0"/>
          <w:color w:val="auto"/>
        </w:rPr>
        <w:t xml:space="preserve">Figure </w:t>
      </w:r>
      <w:r w:rsidRPr="005B5B53">
        <w:rPr>
          <w:rFonts w:ascii="Arial" w:hAnsi="Arial" w:cs="Arial"/>
          <w:b w:val="0"/>
          <w:color w:val="auto"/>
        </w:rPr>
        <w:fldChar w:fldCharType="begin"/>
      </w:r>
      <w:r w:rsidRPr="005B5B53">
        <w:rPr>
          <w:rFonts w:ascii="Arial" w:hAnsi="Arial" w:cs="Arial"/>
          <w:b w:val="0"/>
          <w:color w:val="auto"/>
        </w:rPr>
        <w:instrText xml:space="preserve"> SEQ Figure \* ARABIC </w:instrText>
      </w:r>
      <w:r w:rsidRPr="005B5B53">
        <w:rPr>
          <w:rFonts w:ascii="Arial" w:hAnsi="Arial" w:cs="Arial"/>
          <w:b w:val="0"/>
          <w:color w:val="auto"/>
        </w:rPr>
        <w:fldChar w:fldCharType="separate"/>
      </w:r>
      <w:r w:rsidR="0040369A">
        <w:rPr>
          <w:rFonts w:ascii="Arial" w:hAnsi="Arial" w:cs="Arial"/>
          <w:b w:val="0"/>
          <w:noProof/>
          <w:color w:val="auto"/>
        </w:rPr>
        <w:t>19</w:t>
      </w:r>
      <w:r w:rsidRPr="005B5B53">
        <w:rPr>
          <w:rFonts w:ascii="Arial" w:hAnsi="Arial" w:cs="Arial"/>
          <w:b w:val="0"/>
          <w:color w:val="auto"/>
        </w:rPr>
        <w:fldChar w:fldCharType="end"/>
      </w:r>
      <w:r w:rsidRPr="005B5B53">
        <w:rPr>
          <w:rFonts w:ascii="Arial" w:hAnsi="Arial" w:cs="Arial"/>
          <w:b w:val="0"/>
          <w:color w:val="auto"/>
        </w:rPr>
        <w:t xml:space="preserve">: </w:t>
      </w:r>
      <w:r w:rsidR="00900F2C">
        <w:rPr>
          <w:rFonts w:ascii="Arial" w:hAnsi="Arial" w:cs="Arial"/>
          <w:b w:val="0"/>
          <w:color w:val="auto"/>
        </w:rPr>
        <w:t>An overview of c</w:t>
      </w:r>
      <w:r w:rsidRPr="005B5B53">
        <w:rPr>
          <w:rFonts w:ascii="Arial" w:hAnsi="Arial" w:cs="Arial"/>
          <w:b w:val="0"/>
          <w:color w:val="auto"/>
        </w:rPr>
        <w:t>hemiluminescence methodology</w:t>
      </w:r>
      <w:bookmarkEnd w:id="68"/>
    </w:p>
    <w:p w:rsidR="00ED790A" w:rsidRDefault="00ED790A" w:rsidP="003E6719">
      <w:pPr>
        <w:pStyle w:val="Heading4"/>
        <w:jc w:val="both"/>
      </w:pPr>
      <w:r>
        <w:t>PINP assay</w:t>
      </w:r>
      <w:r w:rsidR="00C27048">
        <w:t xml:space="preserve"> procedure</w:t>
      </w:r>
    </w:p>
    <w:p w:rsidR="000D041E" w:rsidRDefault="00CA0E5F" w:rsidP="003E6719">
      <w:pPr>
        <w:spacing w:line="360" w:lineRule="auto"/>
        <w:jc w:val="both"/>
        <w:rPr>
          <w:rFonts w:ascii="Arial" w:hAnsi="Arial" w:cs="Arial"/>
        </w:rPr>
      </w:pPr>
      <w:r w:rsidRPr="00452AEA">
        <w:rPr>
          <w:rFonts w:ascii="Arial" w:hAnsi="Arial" w:cs="Arial"/>
        </w:rPr>
        <w:t xml:space="preserve">The intact trimeric </w:t>
      </w:r>
      <w:r w:rsidR="00ED790A" w:rsidRPr="00452AEA">
        <w:rPr>
          <w:rFonts w:ascii="Arial" w:hAnsi="Arial" w:cs="Arial"/>
        </w:rPr>
        <w:t>PINP was</w:t>
      </w:r>
      <w:r w:rsidR="009B22EF" w:rsidRPr="00452AEA">
        <w:rPr>
          <w:rFonts w:ascii="Arial" w:hAnsi="Arial" w:cs="Arial"/>
        </w:rPr>
        <w:t xml:space="preserve"> measured </w:t>
      </w:r>
      <w:r w:rsidRPr="00452AEA">
        <w:rPr>
          <w:rFonts w:ascii="Arial" w:hAnsi="Arial" w:cs="Arial"/>
        </w:rPr>
        <w:t xml:space="preserve">in serum </w:t>
      </w:r>
      <w:r w:rsidR="009B22EF" w:rsidRPr="00452AEA">
        <w:rPr>
          <w:rFonts w:ascii="Arial" w:hAnsi="Arial" w:cs="Arial"/>
        </w:rPr>
        <w:t>using the IDS-iSYS CLIA technology</w:t>
      </w:r>
      <w:r w:rsidR="005F2AEA">
        <w:rPr>
          <w:rFonts w:ascii="Arial" w:hAnsi="Arial" w:cs="Arial"/>
        </w:rPr>
        <w:t>, (appendices</w:t>
      </w:r>
      <w:r w:rsidR="00465CE1" w:rsidRPr="00452AEA">
        <w:rPr>
          <w:rFonts w:ascii="Arial" w:hAnsi="Arial" w:cs="Arial"/>
        </w:rPr>
        <w:t xml:space="preserve"> 1</w:t>
      </w:r>
      <w:r w:rsidR="00F90F64">
        <w:rPr>
          <w:rFonts w:ascii="Arial" w:hAnsi="Arial" w:cs="Arial"/>
        </w:rPr>
        <w:t>.0</w:t>
      </w:r>
      <w:r w:rsidR="00465CE1" w:rsidRPr="00452AEA">
        <w:rPr>
          <w:rFonts w:ascii="Arial" w:hAnsi="Arial" w:cs="Arial"/>
        </w:rPr>
        <w:t>:</w:t>
      </w:r>
      <w:r w:rsidR="005F2AEA">
        <w:rPr>
          <w:rFonts w:ascii="Arial" w:hAnsi="Arial" w:cs="Arial"/>
        </w:rPr>
        <w:t xml:space="preserve"> PINP</w:t>
      </w:r>
      <w:r w:rsidR="00465CE1" w:rsidRPr="00452AEA">
        <w:rPr>
          <w:rFonts w:ascii="Arial" w:hAnsi="Arial" w:cs="Arial"/>
        </w:rPr>
        <w:t xml:space="preserve"> kit insert)</w:t>
      </w:r>
      <w:r w:rsidR="009B22EF" w:rsidRPr="00452AEA">
        <w:rPr>
          <w:rFonts w:ascii="Arial" w:hAnsi="Arial" w:cs="Arial"/>
        </w:rPr>
        <w:t>. All reagents, calibrators and quality control material are supplied by the manufacturer and ready to use. The PINP reagent cartridge</w:t>
      </w:r>
      <w:r w:rsidR="007A6BC5" w:rsidRPr="00452AEA">
        <w:rPr>
          <w:rFonts w:ascii="Arial" w:hAnsi="Arial" w:cs="Arial"/>
        </w:rPr>
        <w:t xml:space="preserve"> is mixed in order to homogenise the </w:t>
      </w:r>
      <w:r w:rsidR="00634861" w:rsidRPr="00452AEA">
        <w:rPr>
          <w:rFonts w:ascii="Arial" w:hAnsi="Arial" w:cs="Arial"/>
        </w:rPr>
        <w:t xml:space="preserve">streptavidin labelled </w:t>
      </w:r>
      <w:r w:rsidR="009B22EF" w:rsidRPr="00452AEA">
        <w:rPr>
          <w:rFonts w:ascii="Arial" w:hAnsi="Arial" w:cs="Arial"/>
        </w:rPr>
        <w:t>magnetic particles</w:t>
      </w:r>
      <w:r w:rsidR="007A6BC5" w:rsidRPr="00452AEA">
        <w:rPr>
          <w:rFonts w:ascii="Arial" w:hAnsi="Arial" w:cs="Arial"/>
        </w:rPr>
        <w:t>,</w:t>
      </w:r>
      <w:r w:rsidR="009B22EF" w:rsidRPr="00452AEA">
        <w:rPr>
          <w:rFonts w:ascii="Arial" w:hAnsi="Arial" w:cs="Arial"/>
        </w:rPr>
        <w:t xml:space="preserve"> before loading on to the analyser where mixing will continue.</w:t>
      </w:r>
      <w:r w:rsidR="00673495" w:rsidRPr="00452AEA">
        <w:rPr>
          <w:rFonts w:ascii="Arial" w:hAnsi="Arial" w:cs="Arial"/>
        </w:rPr>
        <w:t xml:space="preserve"> Once</w:t>
      </w:r>
      <w:r w:rsidR="000D041E">
        <w:rPr>
          <w:rFonts w:ascii="Arial" w:hAnsi="Arial" w:cs="Arial"/>
        </w:rPr>
        <w:t xml:space="preserve"> loaded </w:t>
      </w:r>
      <w:r w:rsidR="00310AA9">
        <w:rPr>
          <w:rFonts w:ascii="Arial" w:hAnsi="Arial" w:cs="Arial"/>
        </w:rPr>
        <w:t xml:space="preserve">all </w:t>
      </w:r>
      <w:r w:rsidR="00155321">
        <w:rPr>
          <w:rFonts w:ascii="Arial" w:hAnsi="Arial" w:cs="Arial"/>
        </w:rPr>
        <w:t xml:space="preserve">of </w:t>
      </w:r>
      <w:r w:rsidR="000D041E">
        <w:rPr>
          <w:rFonts w:ascii="Arial" w:hAnsi="Arial" w:cs="Arial"/>
        </w:rPr>
        <w:t>the reagents are thermo-</w:t>
      </w:r>
      <w:r w:rsidR="004666F7" w:rsidRPr="00452AEA">
        <w:rPr>
          <w:rFonts w:ascii="Arial" w:hAnsi="Arial" w:cs="Arial"/>
        </w:rPr>
        <w:t>regulated between 12 to 15</w:t>
      </w:r>
      <w:r w:rsidR="00673495" w:rsidRPr="00452AEA">
        <w:rPr>
          <w:rFonts w:ascii="Arial" w:hAnsi="Arial" w:cs="Arial"/>
        </w:rPr>
        <w:t>°C.</w:t>
      </w:r>
      <w:r w:rsidR="00634861" w:rsidRPr="00452AEA">
        <w:rPr>
          <w:rFonts w:ascii="Arial" w:hAnsi="Arial" w:cs="Arial"/>
        </w:rPr>
        <w:t xml:space="preserve"> </w:t>
      </w:r>
    </w:p>
    <w:p w:rsidR="007B51E9" w:rsidRDefault="005A067D" w:rsidP="003E6719">
      <w:pPr>
        <w:pStyle w:val="ListParagraph"/>
        <w:numPr>
          <w:ilvl w:val="0"/>
          <w:numId w:val="32"/>
        </w:numPr>
        <w:spacing w:line="360" w:lineRule="auto"/>
        <w:jc w:val="both"/>
        <w:rPr>
          <w:rFonts w:ascii="Arial" w:hAnsi="Arial" w:cs="Arial"/>
        </w:rPr>
      </w:pPr>
      <w:r w:rsidRPr="000D041E">
        <w:rPr>
          <w:rFonts w:ascii="Arial" w:hAnsi="Arial" w:cs="Arial"/>
        </w:rPr>
        <w:t xml:space="preserve">200µl of each calibrators, </w:t>
      </w:r>
      <w:r w:rsidR="00634861" w:rsidRPr="000D041E">
        <w:rPr>
          <w:rFonts w:ascii="Arial" w:hAnsi="Arial" w:cs="Arial"/>
        </w:rPr>
        <w:t>quality control samples</w:t>
      </w:r>
      <w:r w:rsidRPr="000D041E">
        <w:rPr>
          <w:rFonts w:ascii="Arial" w:hAnsi="Arial" w:cs="Arial"/>
        </w:rPr>
        <w:t xml:space="preserve"> and serum</w:t>
      </w:r>
      <w:r w:rsidR="00CA0E5F" w:rsidRPr="000D041E">
        <w:rPr>
          <w:rFonts w:ascii="Arial" w:hAnsi="Arial" w:cs="Arial"/>
        </w:rPr>
        <w:t xml:space="preserve"> were</w:t>
      </w:r>
      <w:r w:rsidR="00634861" w:rsidRPr="000D041E">
        <w:rPr>
          <w:rFonts w:ascii="Arial" w:hAnsi="Arial" w:cs="Arial"/>
        </w:rPr>
        <w:t xml:space="preserve"> loaded on to the analyser</w:t>
      </w:r>
      <w:r w:rsidR="00CA0E5F" w:rsidRPr="000D041E">
        <w:rPr>
          <w:rFonts w:ascii="Arial" w:hAnsi="Arial" w:cs="Arial"/>
        </w:rPr>
        <w:t xml:space="preserve"> and diluted using a specific assay diluent (containing</w:t>
      </w:r>
      <w:r w:rsidR="007B51E9">
        <w:rPr>
          <w:rFonts w:ascii="Arial" w:hAnsi="Arial" w:cs="Arial"/>
        </w:rPr>
        <w:t xml:space="preserve"> a preservative</w:t>
      </w:r>
      <w:r w:rsidR="00CA0E5F" w:rsidRPr="000D041E">
        <w:rPr>
          <w:rFonts w:ascii="Arial" w:hAnsi="Arial" w:cs="Arial"/>
        </w:rPr>
        <w:t xml:space="preserve"> </w:t>
      </w:r>
      <w:r w:rsidR="007A6BC5" w:rsidRPr="000D041E">
        <w:rPr>
          <w:rFonts w:ascii="Arial" w:hAnsi="Arial" w:cs="Arial"/>
        </w:rPr>
        <w:t xml:space="preserve">&lt;1% </w:t>
      </w:r>
      <w:r w:rsidR="00CA0E5F" w:rsidRPr="000D041E">
        <w:rPr>
          <w:rFonts w:ascii="Arial" w:hAnsi="Arial" w:cs="Arial"/>
        </w:rPr>
        <w:t>sodium azide</w:t>
      </w:r>
      <w:r w:rsidR="007A6BC5" w:rsidRPr="000D041E">
        <w:rPr>
          <w:rFonts w:ascii="Arial" w:hAnsi="Arial" w:cs="Arial"/>
        </w:rPr>
        <w:t>)</w:t>
      </w:r>
      <w:r w:rsidR="007B51E9">
        <w:rPr>
          <w:rFonts w:ascii="Arial" w:hAnsi="Arial" w:cs="Arial"/>
        </w:rPr>
        <w:t>.</w:t>
      </w:r>
    </w:p>
    <w:p w:rsidR="00F83FA9" w:rsidRDefault="005A067D" w:rsidP="003E6719">
      <w:pPr>
        <w:pStyle w:val="ListParagraph"/>
        <w:numPr>
          <w:ilvl w:val="0"/>
          <w:numId w:val="32"/>
        </w:numPr>
        <w:spacing w:line="360" w:lineRule="auto"/>
        <w:jc w:val="both"/>
        <w:rPr>
          <w:rFonts w:ascii="Arial" w:hAnsi="Arial" w:cs="Arial"/>
        </w:rPr>
      </w:pPr>
      <w:r w:rsidRPr="000D041E">
        <w:rPr>
          <w:rFonts w:ascii="Arial" w:hAnsi="Arial" w:cs="Arial"/>
        </w:rPr>
        <w:t xml:space="preserve">These samples were incubated with: </w:t>
      </w:r>
    </w:p>
    <w:p w:rsidR="00F83FA9" w:rsidRDefault="00F83FA9" w:rsidP="003E6719">
      <w:pPr>
        <w:pStyle w:val="ListParagraph"/>
        <w:numPr>
          <w:ilvl w:val="1"/>
          <w:numId w:val="32"/>
        </w:numPr>
        <w:spacing w:line="360" w:lineRule="auto"/>
        <w:jc w:val="both"/>
        <w:rPr>
          <w:rFonts w:ascii="Arial" w:hAnsi="Arial" w:cs="Arial"/>
        </w:rPr>
      </w:pPr>
      <w:r>
        <w:rPr>
          <w:rFonts w:ascii="Arial" w:hAnsi="Arial" w:cs="Arial"/>
        </w:rPr>
        <w:t xml:space="preserve">An </w:t>
      </w:r>
      <w:r w:rsidRPr="000D041E">
        <w:rPr>
          <w:rFonts w:ascii="Arial" w:hAnsi="Arial" w:cs="Arial"/>
        </w:rPr>
        <w:t>anti-PINP monoclona</w:t>
      </w:r>
      <w:r>
        <w:rPr>
          <w:rFonts w:ascii="Arial" w:hAnsi="Arial" w:cs="Arial"/>
        </w:rPr>
        <w:t>l antibody labelled with biotin in</w:t>
      </w:r>
      <w:r w:rsidRPr="000D041E">
        <w:rPr>
          <w:rFonts w:ascii="Arial" w:hAnsi="Arial" w:cs="Arial"/>
        </w:rPr>
        <w:t xml:space="preserve"> a buffer containing mouse and bovine proteins</w:t>
      </w:r>
    </w:p>
    <w:p w:rsidR="00F83FA9" w:rsidRDefault="00F83FA9" w:rsidP="003E6719">
      <w:pPr>
        <w:pStyle w:val="ListParagraph"/>
        <w:numPr>
          <w:ilvl w:val="1"/>
          <w:numId w:val="32"/>
        </w:numPr>
        <w:spacing w:line="360" w:lineRule="auto"/>
        <w:jc w:val="both"/>
        <w:rPr>
          <w:rFonts w:ascii="Arial" w:hAnsi="Arial" w:cs="Arial"/>
        </w:rPr>
      </w:pPr>
      <w:r>
        <w:rPr>
          <w:rFonts w:ascii="Arial" w:hAnsi="Arial" w:cs="Arial"/>
        </w:rPr>
        <w:t xml:space="preserve">An anti-PINP monoclonal antibody </w:t>
      </w:r>
      <w:r w:rsidRPr="006C582C">
        <w:rPr>
          <w:rFonts w:ascii="Arial" w:hAnsi="Arial" w:cs="Arial"/>
        </w:rPr>
        <w:t>labelled with an acridi</w:t>
      </w:r>
      <w:r w:rsidR="00D665B4">
        <w:rPr>
          <w:rFonts w:ascii="Arial" w:hAnsi="Arial" w:cs="Arial"/>
        </w:rPr>
        <w:t>n</w:t>
      </w:r>
      <w:r w:rsidR="00912094">
        <w:rPr>
          <w:rFonts w:ascii="Arial" w:hAnsi="Arial" w:cs="Arial"/>
        </w:rPr>
        <w:t>i</w:t>
      </w:r>
      <w:r w:rsidR="0081125F">
        <w:rPr>
          <w:rFonts w:ascii="Arial" w:hAnsi="Arial" w:cs="Arial"/>
        </w:rPr>
        <w:t>um ester derivative in buffer containing</w:t>
      </w:r>
      <w:r>
        <w:rPr>
          <w:rFonts w:ascii="Arial" w:hAnsi="Arial" w:cs="Arial"/>
        </w:rPr>
        <w:t xml:space="preserve"> bovine and mouse proteins.</w:t>
      </w:r>
    </w:p>
    <w:p w:rsidR="00F83FA9" w:rsidRDefault="00F83FA9" w:rsidP="003E6719">
      <w:pPr>
        <w:pStyle w:val="ListParagraph"/>
        <w:numPr>
          <w:ilvl w:val="0"/>
          <w:numId w:val="32"/>
        </w:numPr>
        <w:spacing w:line="360" w:lineRule="auto"/>
        <w:jc w:val="both"/>
        <w:rPr>
          <w:rFonts w:ascii="Arial" w:hAnsi="Arial" w:cs="Arial"/>
        </w:rPr>
      </w:pPr>
      <w:r w:rsidRPr="006C582C">
        <w:rPr>
          <w:rFonts w:ascii="Arial" w:hAnsi="Arial" w:cs="Arial"/>
        </w:rPr>
        <w:t xml:space="preserve">A magnet captures the bound </w:t>
      </w:r>
      <w:r>
        <w:rPr>
          <w:rFonts w:ascii="Arial" w:hAnsi="Arial" w:cs="Arial"/>
        </w:rPr>
        <w:t xml:space="preserve">streptavidin coated </w:t>
      </w:r>
      <w:r w:rsidRPr="006C582C">
        <w:rPr>
          <w:rFonts w:ascii="Arial" w:hAnsi="Arial" w:cs="Arial"/>
        </w:rPr>
        <w:t>magnetic particles and following a wash step Trigger reagents are added</w:t>
      </w:r>
    </w:p>
    <w:p w:rsidR="00F83FA9" w:rsidRDefault="00F83FA9" w:rsidP="003E6719">
      <w:pPr>
        <w:pStyle w:val="ListParagraph"/>
        <w:numPr>
          <w:ilvl w:val="1"/>
          <w:numId w:val="32"/>
        </w:numPr>
        <w:spacing w:line="360" w:lineRule="auto"/>
        <w:jc w:val="both"/>
        <w:rPr>
          <w:rFonts w:ascii="Arial" w:hAnsi="Arial" w:cs="Arial"/>
        </w:rPr>
      </w:pPr>
      <w:r w:rsidRPr="00EC718C">
        <w:rPr>
          <w:rFonts w:ascii="Arial" w:hAnsi="Arial" w:cs="Arial"/>
        </w:rPr>
        <w:t xml:space="preserve">Trigger </w:t>
      </w:r>
      <w:proofErr w:type="gramStart"/>
      <w:r w:rsidRPr="00EC718C">
        <w:rPr>
          <w:rFonts w:ascii="Arial" w:hAnsi="Arial" w:cs="Arial"/>
        </w:rPr>
        <w:t>A</w:t>
      </w:r>
      <w:proofErr w:type="gramEnd"/>
      <w:r w:rsidRPr="00EC718C">
        <w:rPr>
          <w:rFonts w:ascii="Arial" w:hAnsi="Arial" w:cs="Arial"/>
        </w:rPr>
        <w:t xml:space="preserve"> (H</w:t>
      </w:r>
      <w:r w:rsidRPr="00EC718C">
        <w:rPr>
          <w:rFonts w:ascii="Arial" w:hAnsi="Arial" w:cs="Arial"/>
          <w:vertAlign w:val="subscript"/>
        </w:rPr>
        <w:t>2</w:t>
      </w:r>
      <w:r w:rsidRPr="00EC718C">
        <w:rPr>
          <w:rFonts w:ascii="Arial" w:hAnsi="Arial" w:cs="Arial"/>
        </w:rPr>
        <w:t>O</w:t>
      </w:r>
      <w:r w:rsidRPr="00EC718C">
        <w:rPr>
          <w:rFonts w:ascii="Arial" w:hAnsi="Arial" w:cs="Arial"/>
          <w:vertAlign w:val="subscript"/>
        </w:rPr>
        <w:t>2</w:t>
      </w:r>
      <w:r w:rsidR="0081125F">
        <w:rPr>
          <w:rFonts w:ascii="Arial" w:hAnsi="Arial" w:cs="Arial"/>
        </w:rPr>
        <w:t>) oxides the reagent</w:t>
      </w:r>
      <w:r w:rsidRPr="00EC718C">
        <w:rPr>
          <w:rFonts w:ascii="Arial" w:hAnsi="Arial" w:cs="Arial"/>
        </w:rPr>
        <w:t xml:space="preserve"> and Trigger </w:t>
      </w:r>
      <w:r>
        <w:rPr>
          <w:rFonts w:ascii="Arial" w:hAnsi="Arial" w:cs="Arial"/>
        </w:rPr>
        <w:t>B (NaOH) stabilises it, causing</w:t>
      </w:r>
      <w:r w:rsidRPr="00EC718C">
        <w:rPr>
          <w:rFonts w:ascii="Arial" w:hAnsi="Arial" w:cs="Arial"/>
        </w:rPr>
        <w:t xml:space="preserve"> photons to be released by the acridinium label</w:t>
      </w:r>
      <w:r>
        <w:rPr>
          <w:rFonts w:ascii="Arial" w:hAnsi="Arial" w:cs="Arial"/>
        </w:rPr>
        <w:t>.</w:t>
      </w:r>
    </w:p>
    <w:p w:rsidR="00F83FA9" w:rsidRPr="00EC718C" w:rsidRDefault="00F83FA9" w:rsidP="003E6719">
      <w:pPr>
        <w:pStyle w:val="ListParagraph"/>
        <w:numPr>
          <w:ilvl w:val="1"/>
          <w:numId w:val="32"/>
        </w:numPr>
        <w:spacing w:line="360" w:lineRule="auto"/>
        <w:jc w:val="both"/>
        <w:rPr>
          <w:rFonts w:ascii="Arial" w:hAnsi="Arial" w:cs="Arial"/>
        </w:rPr>
      </w:pPr>
      <w:r>
        <w:rPr>
          <w:rFonts w:ascii="Arial" w:hAnsi="Arial" w:cs="Arial"/>
        </w:rPr>
        <w:t>T</w:t>
      </w:r>
      <w:r w:rsidRPr="00EC718C">
        <w:rPr>
          <w:rFonts w:ascii="Arial" w:hAnsi="Arial" w:cs="Arial"/>
        </w:rPr>
        <w:t xml:space="preserve">he resulting light emitted </w:t>
      </w:r>
      <w:r>
        <w:rPr>
          <w:rFonts w:ascii="Arial" w:hAnsi="Arial" w:cs="Arial"/>
        </w:rPr>
        <w:t xml:space="preserve">and detected by the luminometer </w:t>
      </w:r>
      <w:r w:rsidRPr="00EC718C">
        <w:rPr>
          <w:rFonts w:ascii="Arial" w:hAnsi="Arial" w:cs="Arial"/>
        </w:rPr>
        <w:t xml:space="preserve">is directly proportional to </w:t>
      </w:r>
      <w:r>
        <w:rPr>
          <w:rFonts w:ascii="Arial" w:hAnsi="Arial" w:cs="Arial"/>
        </w:rPr>
        <w:t>the concentration of PINP</w:t>
      </w:r>
      <w:r w:rsidRPr="00EC718C">
        <w:rPr>
          <w:rFonts w:ascii="Arial" w:hAnsi="Arial" w:cs="Arial"/>
        </w:rPr>
        <w:t xml:space="preserve"> in the control materials and the participants’ serum. </w:t>
      </w:r>
    </w:p>
    <w:p w:rsidR="00ED0D0F" w:rsidRPr="00452AEA" w:rsidRDefault="00F65835" w:rsidP="003E6719">
      <w:pPr>
        <w:spacing w:line="360" w:lineRule="auto"/>
        <w:jc w:val="both"/>
        <w:rPr>
          <w:rFonts w:ascii="Arial" w:hAnsi="Arial" w:cs="Arial"/>
        </w:rPr>
      </w:pPr>
      <w:r w:rsidRPr="00452AEA">
        <w:rPr>
          <w:rFonts w:ascii="Arial" w:hAnsi="Arial" w:cs="Arial"/>
        </w:rPr>
        <w:lastRenderedPageBreak/>
        <w:t>P</w:t>
      </w:r>
      <w:r w:rsidR="00310AA9">
        <w:rPr>
          <w:rFonts w:ascii="Arial" w:hAnsi="Arial" w:cs="Arial"/>
        </w:rPr>
        <w:t>rior to analysis of the</w:t>
      </w:r>
      <w:r w:rsidRPr="00452AEA">
        <w:rPr>
          <w:rFonts w:ascii="Arial" w:hAnsi="Arial" w:cs="Arial"/>
        </w:rPr>
        <w:t xml:space="preserve"> test samples t</w:t>
      </w:r>
      <w:r w:rsidR="00C27048" w:rsidRPr="00452AEA">
        <w:rPr>
          <w:rFonts w:ascii="Arial" w:hAnsi="Arial" w:cs="Arial"/>
        </w:rPr>
        <w:t xml:space="preserve">he two PINP calibrators were </w:t>
      </w:r>
      <w:r w:rsidR="00C17C33" w:rsidRPr="00452AEA">
        <w:rPr>
          <w:rFonts w:ascii="Arial" w:hAnsi="Arial" w:cs="Arial"/>
        </w:rPr>
        <w:t xml:space="preserve">measured </w:t>
      </w:r>
      <w:r w:rsidR="002D18F0" w:rsidRPr="00452AEA">
        <w:rPr>
          <w:rFonts w:ascii="Arial" w:hAnsi="Arial" w:cs="Arial"/>
        </w:rPr>
        <w:t xml:space="preserve">in </w:t>
      </w:r>
      <w:r w:rsidR="00C17C33" w:rsidRPr="00452AEA">
        <w:rPr>
          <w:rFonts w:ascii="Arial" w:hAnsi="Arial" w:cs="Arial"/>
        </w:rPr>
        <w:t xml:space="preserve">triplicate and </w:t>
      </w:r>
      <w:r w:rsidR="00C27048" w:rsidRPr="00452AEA">
        <w:rPr>
          <w:rFonts w:ascii="Arial" w:hAnsi="Arial" w:cs="Arial"/>
        </w:rPr>
        <w:t>used to adjust the master standard curve</w:t>
      </w:r>
      <w:r w:rsidR="00C17C33" w:rsidRPr="00452AEA">
        <w:rPr>
          <w:rFonts w:ascii="Arial" w:hAnsi="Arial" w:cs="Arial"/>
        </w:rPr>
        <w:t>. This was required</w:t>
      </w:r>
      <w:r w:rsidRPr="00452AEA">
        <w:rPr>
          <w:rFonts w:ascii="Arial" w:hAnsi="Arial" w:cs="Arial"/>
        </w:rPr>
        <w:t xml:space="preserve"> to</w:t>
      </w:r>
      <w:r w:rsidR="00C17C33" w:rsidRPr="00452AEA">
        <w:rPr>
          <w:rFonts w:ascii="Arial" w:hAnsi="Arial" w:cs="Arial"/>
        </w:rPr>
        <w:t xml:space="preserve"> produce a </w:t>
      </w:r>
      <w:r w:rsidR="00C27048" w:rsidRPr="00452AEA">
        <w:rPr>
          <w:rFonts w:ascii="Arial" w:hAnsi="Arial" w:cs="Arial"/>
        </w:rPr>
        <w:t xml:space="preserve">4-parameter logistic curve fit </w:t>
      </w:r>
      <w:r w:rsidR="00426FB4">
        <w:rPr>
          <w:rFonts w:ascii="Arial" w:hAnsi="Arial" w:cs="Arial"/>
        </w:rPr>
        <w:t>(y = (A-D)</w:t>
      </w:r>
      <w:proofErr w:type="gramStart"/>
      <w:r w:rsidR="00426FB4">
        <w:rPr>
          <w:rFonts w:ascii="Arial" w:hAnsi="Arial" w:cs="Arial"/>
        </w:rPr>
        <w:t>/(</w:t>
      </w:r>
      <w:proofErr w:type="gramEnd"/>
      <w:r w:rsidR="00426FB4">
        <w:rPr>
          <w:rFonts w:ascii="Arial" w:hAnsi="Arial" w:cs="Arial"/>
        </w:rPr>
        <w:t>1+(x/C)</w:t>
      </w:r>
      <w:r w:rsidR="00426FB4">
        <w:rPr>
          <w:rFonts w:ascii="Arial" w:hAnsi="Arial" w:cs="Arial"/>
          <w:vertAlign w:val="superscript"/>
        </w:rPr>
        <w:t>B</w:t>
      </w:r>
      <w:r w:rsidR="00426FB4">
        <w:rPr>
          <w:rFonts w:ascii="Arial" w:hAnsi="Arial" w:cs="Arial"/>
        </w:rPr>
        <w:t xml:space="preserve">)+D) </w:t>
      </w:r>
      <w:r w:rsidR="00C27048" w:rsidRPr="00452AEA">
        <w:rPr>
          <w:rFonts w:ascii="Arial" w:hAnsi="Arial" w:cs="Arial"/>
        </w:rPr>
        <w:t xml:space="preserve">from </w:t>
      </w:r>
      <w:r w:rsidRPr="00452AEA">
        <w:rPr>
          <w:rFonts w:ascii="Arial" w:hAnsi="Arial" w:cs="Arial"/>
        </w:rPr>
        <w:t xml:space="preserve">which the PINP concentration was </w:t>
      </w:r>
      <w:r w:rsidR="00C27048" w:rsidRPr="00452AEA">
        <w:rPr>
          <w:rFonts w:ascii="Arial" w:hAnsi="Arial" w:cs="Arial"/>
        </w:rPr>
        <w:t>calculated</w:t>
      </w:r>
      <w:r w:rsidR="002D18F0" w:rsidRPr="00452AEA">
        <w:rPr>
          <w:rFonts w:ascii="Arial" w:hAnsi="Arial" w:cs="Arial"/>
        </w:rPr>
        <w:t xml:space="preserve">, </w:t>
      </w:r>
      <w:r w:rsidR="00662A4D">
        <w:rPr>
          <w:rFonts w:ascii="Arial" w:hAnsi="Arial" w:cs="Arial"/>
        </w:rPr>
        <w:t>(Figure 20</w:t>
      </w:r>
      <w:r w:rsidR="00465CE1" w:rsidRPr="00452AEA">
        <w:rPr>
          <w:rFonts w:ascii="Arial" w:hAnsi="Arial" w:cs="Arial"/>
        </w:rPr>
        <w:t>)</w:t>
      </w:r>
      <w:r w:rsidR="00C27048" w:rsidRPr="00452AEA">
        <w:rPr>
          <w:rFonts w:ascii="Arial" w:hAnsi="Arial" w:cs="Arial"/>
        </w:rPr>
        <w:t>.</w:t>
      </w:r>
      <w:r w:rsidR="0004470A" w:rsidRPr="00452AEA">
        <w:rPr>
          <w:rFonts w:ascii="Arial" w:hAnsi="Arial" w:cs="Arial"/>
        </w:rPr>
        <w:t xml:space="preserve"> </w:t>
      </w:r>
      <w:r w:rsidR="00C17C33" w:rsidRPr="00452AEA">
        <w:rPr>
          <w:rFonts w:ascii="Arial" w:hAnsi="Arial" w:cs="Arial"/>
        </w:rPr>
        <w:t xml:space="preserve">Three quality control samples </w:t>
      </w:r>
      <w:r w:rsidR="002D18F0" w:rsidRPr="00452AEA">
        <w:rPr>
          <w:rFonts w:ascii="Arial" w:hAnsi="Arial" w:cs="Arial"/>
        </w:rPr>
        <w:t>of different PINP concentrations (low, medium and high) were then each measured in duplicate and plotted on the standard cur</w:t>
      </w:r>
      <w:r w:rsidR="00662A4D">
        <w:rPr>
          <w:rFonts w:ascii="Arial" w:hAnsi="Arial" w:cs="Arial"/>
        </w:rPr>
        <w:t>ve to ensure accuracy (Figure 20</w:t>
      </w:r>
      <w:r w:rsidR="002D18F0" w:rsidRPr="00452AEA">
        <w:rPr>
          <w:rFonts w:ascii="Arial" w:hAnsi="Arial" w:cs="Arial"/>
        </w:rPr>
        <w:t xml:space="preserve">). </w:t>
      </w:r>
    </w:p>
    <w:p w:rsidR="00E20DBC" w:rsidRDefault="00E20DBC" w:rsidP="00900F2C">
      <w:r w:rsidRPr="00E20DBC">
        <w:rPr>
          <w:noProof/>
          <w:lang w:eastAsia="zh-CN"/>
        </w:rPr>
        <w:drawing>
          <wp:inline distT="0" distB="0" distL="0" distR="0" wp14:anchorId="49E992EF" wp14:editId="20B6BE68">
            <wp:extent cx="2676525" cy="2209108"/>
            <wp:effectExtent l="0" t="0" r="0" b="1270"/>
            <wp:docPr id="18624" name="Picture 1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a:extLst>
                        <a:ext uri="{28A0092B-C50C-407E-A947-70E740481C1C}">
                          <a14:useLocalDpi xmlns:a14="http://schemas.microsoft.com/office/drawing/2010/main" val="0"/>
                        </a:ext>
                      </a:extLst>
                    </a:blip>
                    <a:srcRect r="33263" b="7072"/>
                    <a:stretch/>
                  </pic:blipFill>
                  <pic:spPr bwMode="auto">
                    <a:xfrm>
                      <a:off x="0" y="0"/>
                      <a:ext cx="2738784" cy="2260494"/>
                    </a:xfrm>
                    <a:prstGeom prst="rect">
                      <a:avLst/>
                    </a:prstGeom>
                    <a:noFill/>
                    <a:ln>
                      <a:noFill/>
                    </a:ln>
                    <a:extLst>
                      <a:ext uri="{53640926-AAD7-44D8-BBD7-CCE9431645EC}">
                        <a14:shadowObscured xmlns:a14="http://schemas.microsoft.com/office/drawing/2010/main"/>
                      </a:ext>
                    </a:extLst>
                  </pic:spPr>
                </pic:pic>
              </a:graphicData>
            </a:graphic>
          </wp:inline>
        </w:drawing>
      </w:r>
      <w:r w:rsidRPr="00E20DBC">
        <w:rPr>
          <w:noProof/>
          <w:lang w:eastAsia="zh-CN"/>
        </w:rPr>
        <w:drawing>
          <wp:inline distT="0" distB="0" distL="0" distR="0" wp14:anchorId="1DB35E9F" wp14:editId="0541AE24">
            <wp:extent cx="2676525" cy="2232163"/>
            <wp:effectExtent l="0" t="0" r="0" b="0"/>
            <wp:docPr id="18628" name="Picture 1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32996" b="4535"/>
                    <a:stretch/>
                  </pic:blipFill>
                  <pic:spPr bwMode="auto">
                    <a:xfrm>
                      <a:off x="0" y="0"/>
                      <a:ext cx="2725221" cy="2272775"/>
                    </a:xfrm>
                    <a:prstGeom prst="rect">
                      <a:avLst/>
                    </a:prstGeom>
                    <a:noFill/>
                    <a:ln>
                      <a:noFill/>
                    </a:ln>
                    <a:extLst>
                      <a:ext uri="{53640926-AAD7-44D8-BBD7-CCE9431645EC}">
                        <a14:shadowObscured xmlns:a14="http://schemas.microsoft.com/office/drawing/2010/main"/>
                      </a:ext>
                    </a:extLst>
                  </pic:spPr>
                </pic:pic>
              </a:graphicData>
            </a:graphic>
          </wp:inline>
        </w:drawing>
      </w:r>
    </w:p>
    <w:p w:rsidR="00ED0D0F" w:rsidRDefault="00434B5A" w:rsidP="00900F2C">
      <w:pPr>
        <w:pStyle w:val="Heading4"/>
      </w:pPr>
      <w:r>
        <w:rPr>
          <w:noProof/>
          <w:lang w:eastAsia="zh-CN"/>
        </w:rPr>
        <mc:AlternateContent>
          <mc:Choice Requires="wps">
            <w:drawing>
              <wp:anchor distT="0" distB="0" distL="114300" distR="114300" simplePos="0" relativeHeight="253265408" behindDoc="0" locked="0" layoutInCell="1" allowOverlap="1" wp14:anchorId="43C24D48" wp14:editId="101B9176">
                <wp:simplePos x="0" y="0"/>
                <wp:positionH relativeFrom="column">
                  <wp:posOffset>-635</wp:posOffset>
                </wp:positionH>
                <wp:positionV relativeFrom="paragraph">
                  <wp:posOffset>8890</wp:posOffset>
                </wp:positionV>
                <wp:extent cx="5698490" cy="635"/>
                <wp:effectExtent l="0" t="0" r="0" b="8255"/>
                <wp:wrapNone/>
                <wp:docPr id="18635" name="Text Box 18635"/>
                <wp:cNvGraphicFramePr/>
                <a:graphic xmlns:a="http://schemas.openxmlformats.org/drawingml/2006/main">
                  <a:graphicData uri="http://schemas.microsoft.com/office/word/2010/wordprocessingShape">
                    <wps:wsp>
                      <wps:cNvSpPr txBox="1"/>
                      <wps:spPr>
                        <a:xfrm>
                          <a:off x="0" y="0"/>
                          <a:ext cx="5698490" cy="635"/>
                        </a:xfrm>
                        <a:prstGeom prst="rect">
                          <a:avLst/>
                        </a:prstGeom>
                        <a:solidFill>
                          <a:prstClr val="white"/>
                        </a:solidFill>
                        <a:ln>
                          <a:noFill/>
                        </a:ln>
                        <a:effectLst/>
                      </wps:spPr>
                      <wps:txbx>
                        <w:txbxContent>
                          <w:p w:rsidR="004166BC" w:rsidRPr="002D18F0" w:rsidRDefault="004166BC" w:rsidP="003E6719">
                            <w:pPr>
                              <w:pStyle w:val="Caption"/>
                              <w:jc w:val="both"/>
                              <w:rPr>
                                <w:rFonts w:ascii="Arial" w:hAnsi="Arial" w:cs="Arial"/>
                                <w:b w:val="0"/>
                                <w:color w:val="auto"/>
                              </w:rPr>
                            </w:pPr>
                            <w:bookmarkStart w:id="69" w:name="_Toc422736060"/>
                            <w:bookmarkStart w:id="70" w:name="_Toc422736168"/>
                            <w:bookmarkStart w:id="71" w:name="_Toc425419503"/>
                            <w:r w:rsidRPr="002D18F0">
                              <w:rPr>
                                <w:rFonts w:ascii="Arial" w:hAnsi="Arial" w:cs="Arial"/>
                                <w:b w:val="0"/>
                                <w:color w:val="auto"/>
                              </w:rPr>
                              <w:t xml:space="preserve">Figure </w:t>
                            </w:r>
                            <w:r w:rsidRPr="002D18F0">
                              <w:rPr>
                                <w:rFonts w:ascii="Arial" w:hAnsi="Arial" w:cs="Arial"/>
                                <w:b w:val="0"/>
                                <w:color w:val="auto"/>
                              </w:rPr>
                              <w:fldChar w:fldCharType="begin"/>
                            </w:r>
                            <w:r w:rsidRPr="002D18F0">
                              <w:rPr>
                                <w:rFonts w:ascii="Arial" w:hAnsi="Arial" w:cs="Arial"/>
                                <w:b w:val="0"/>
                                <w:color w:val="auto"/>
                              </w:rPr>
                              <w:instrText xml:space="preserve"> SEQ Figure \* ARABIC </w:instrText>
                            </w:r>
                            <w:r w:rsidRPr="002D18F0">
                              <w:rPr>
                                <w:rFonts w:ascii="Arial" w:hAnsi="Arial" w:cs="Arial"/>
                                <w:b w:val="0"/>
                                <w:color w:val="auto"/>
                              </w:rPr>
                              <w:fldChar w:fldCharType="separate"/>
                            </w:r>
                            <w:r>
                              <w:rPr>
                                <w:rFonts w:ascii="Arial" w:hAnsi="Arial" w:cs="Arial"/>
                                <w:b w:val="0"/>
                                <w:noProof/>
                                <w:color w:val="auto"/>
                              </w:rPr>
                              <w:t>20</w:t>
                            </w:r>
                            <w:r w:rsidRPr="002D18F0">
                              <w:rPr>
                                <w:rFonts w:ascii="Arial" w:hAnsi="Arial" w:cs="Arial"/>
                                <w:b w:val="0"/>
                                <w:color w:val="auto"/>
                              </w:rPr>
                              <w:fldChar w:fldCharType="end"/>
                            </w:r>
                            <w:r w:rsidRPr="002D18F0">
                              <w:rPr>
                                <w:rFonts w:ascii="Arial" w:hAnsi="Arial" w:cs="Arial"/>
                                <w:b w:val="0"/>
                                <w:color w:val="auto"/>
                              </w:rPr>
                              <w:t xml:space="preserve">: IDS-iSYS PINP calibration curve (left) and with the addition </w:t>
                            </w:r>
                            <w:r>
                              <w:rPr>
                                <w:rFonts w:ascii="Arial" w:hAnsi="Arial" w:cs="Arial"/>
                                <w:b w:val="0"/>
                                <w:color w:val="auto"/>
                              </w:rPr>
                              <w:t xml:space="preserve">of the values </w:t>
                            </w:r>
                            <w:r w:rsidRPr="002D18F0">
                              <w:rPr>
                                <w:rFonts w:ascii="Arial" w:hAnsi="Arial" w:cs="Arial"/>
                                <w:b w:val="0"/>
                                <w:color w:val="auto"/>
                              </w:rPr>
                              <w:t>of the quality control materials</w:t>
                            </w:r>
                            <w:r>
                              <w:rPr>
                                <w:rFonts w:ascii="Arial" w:hAnsi="Arial" w:cs="Arial"/>
                                <w:b w:val="0"/>
                                <w:color w:val="auto"/>
                              </w:rPr>
                              <w:t xml:space="preserve"> shown in pink shapes and the acceptable RLU range for each</w:t>
                            </w:r>
                            <w:r w:rsidRPr="002D18F0">
                              <w:rPr>
                                <w:rFonts w:ascii="Arial" w:hAnsi="Arial" w:cs="Arial"/>
                                <w:b w:val="0"/>
                                <w:color w:val="auto"/>
                              </w:rPr>
                              <w:t xml:space="preserve"> (right)</w:t>
                            </w:r>
                            <w:bookmarkEnd w:id="69"/>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C24D48" id="Text Box 18635" o:spid="_x0000_s1128" type="#_x0000_t202" style="position:absolute;margin-left:-.05pt;margin-top:.7pt;width:448.7pt;height:.05pt;z-index:2532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" stroked="f">
                <v:textbox style="mso-fit-shape-to-text:t" inset="0,0,0,0">
                  <w:txbxContent>
                    <w:p w:rsidR="004166BC" w:rsidRPr="002D18F0" w:rsidRDefault="004166BC" w:rsidP="003E6719">
                      <w:pPr>
                        <w:pStyle w:val="Caption"/>
                        <w:jc w:val="both"/>
                        <w:rPr>
                          <w:rFonts w:ascii="Arial" w:hAnsi="Arial" w:cs="Arial"/>
                          <w:b w:val="0"/>
                          <w:color w:val="auto"/>
                        </w:rPr>
                      </w:pPr>
                      <w:bookmarkStart w:id="93" w:name="_Toc422736060"/>
                      <w:bookmarkStart w:id="94" w:name="_Toc422736168"/>
                      <w:bookmarkStart w:id="95" w:name="_Toc425419503"/>
                      <w:r w:rsidRPr="002D18F0">
                        <w:rPr>
                          <w:rFonts w:ascii="Arial" w:hAnsi="Arial" w:cs="Arial"/>
                          <w:b w:val="0"/>
                          <w:color w:val="auto"/>
                        </w:rPr>
                        <w:t xml:space="preserve">Figure </w:t>
                      </w:r>
                      <w:r w:rsidRPr="002D18F0">
                        <w:rPr>
                          <w:rFonts w:ascii="Arial" w:hAnsi="Arial" w:cs="Arial"/>
                          <w:b w:val="0"/>
                          <w:color w:val="auto"/>
                        </w:rPr>
                        <w:fldChar w:fldCharType="begin"/>
                      </w:r>
                      <w:r w:rsidRPr="002D18F0">
                        <w:rPr>
                          <w:rFonts w:ascii="Arial" w:hAnsi="Arial" w:cs="Arial"/>
                          <w:b w:val="0"/>
                          <w:color w:val="auto"/>
                        </w:rPr>
                        <w:instrText xml:space="preserve"> SEQ Figure \* ARABIC </w:instrText>
                      </w:r>
                      <w:r w:rsidRPr="002D18F0">
                        <w:rPr>
                          <w:rFonts w:ascii="Arial" w:hAnsi="Arial" w:cs="Arial"/>
                          <w:b w:val="0"/>
                          <w:color w:val="auto"/>
                        </w:rPr>
                        <w:fldChar w:fldCharType="separate"/>
                      </w:r>
                      <w:r>
                        <w:rPr>
                          <w:rFonts w:ascii="Arial" w:hAnsi="Arial" w:cs="Arial"/>
                          <w:b w:val="0"/>
                          <w:noProof/>
                          <w:color w:val="auto"/>
                        </w:rPr>
                        <w:t>20</w:t>
                      </w:r>
                      <w:r w:rsidRPr="002D18F0">
                        <w:rPr>
                          <w:rFonts w:ascii="Arial" w:hAnsi="Arial" w:cs="Arial"/>
                          <w:b w:val="0"/>
                          <w:color w:val="auto"/>
                        </w:rPr>
                        <w:fldChar w:fldCharType="end"/>
                      </w:r>
                      <w:r w:rsidRPr="002D18F0">
                        <w:rPr>
                          <w:rFonts w:ascii="Arial" w:hAnsi="Arial" w:cs="Arial"/>
                          <w:b w:val="0"/>
                          <w:color w:val="auto"/>
                        </w:rPr>
                        <w:t xml:space="preserve">: IDS-iSYS PINP calibration curve (left) and with the addition </w:t>
                      </w:r>
                      <w:r>
                        <w:rPr>
                          <w:rFonts w:ascii="Arial" w:hAnsi="Arial" w:cs="Arial"/>
                          <w:b w:val="0"/>
                          <w:color w:val="auto"/>
                        </w:rPr>
                        <w:t xml:space="preserve">of the values </w:t>
                      </w:r>
                      <w:r w:rsidRPr="002D18F0">
                        <w:rPr>
                          <w:rFonts w:ascii="Arial" w:hAnsi="Arial" w:cs="Arial"/>
                          <w:b w:val="0"/>
                          <w:color w:val="auto"/>
                        </w:rPr>
                        <w:t>of the quality control materials</w:t>
                      </w:r>
                      <w:r>
                        <w:rPr>
                          <w:rFonts w:ascii="Arial" w:hAnsi="Arial" w:cs="Arial"/>
                          <w:b w:val="0"/>
                          <w:color w:val="auto"/>
                        </w:rPr>
                        <w:t xml:space="preserve"> shown in pink shapes and the acceptable RLU range for each</w:t>
                      </w:r>
                      <w:r w:rsidRPr="002D18F0">
                        <w:rPr>
                          <w:rFonts w:ascii="Arial" w:hAnsi="Arial" w:cs="Arial"/>
                          <w:b w:val="0"/>
                          <w:color w:val="auto"/>
                        </w:rPr>
                        <w:t xml:space="preserve"> (right)</w:t>
                      </w:r>
                      <w:bookmarkEnd w:id="93"/>
                      <w:bookmarkEnd w:id="94"/>
                      <w:bookmarkEnd w:id="95"/>
                    </w:p>
                  </w:txbxContent>
                </v:textbox>
              </v:shape>
            </w:pict>
          </mc:Fallback>
        </mc:AlternateContent>
      </w:r>
    </w:p>
    <w:p w:rsidR="00434B5A" w:rsidRDefault="00434B5A" w:rsidP="00900F2C">
      <w:pPr>
        <w:pStyle w:val="Heading4"/>
      </w:pPr>
    </w:p>
    <w:p w:rsidR="00ED790A" w:rsidRDefault="00ED790A" w:rsidP="003E6719">
      <w:pPr>
        <w:pStyle w:val="Heading4"/>
        <w:jc w:val="both"/>
      </w:pPr>
      <w:r>
        <w:t>P</w:t>
      </w:r>
      <w:r w:rsidR="00C27048">
        <w:t>INP assay performance and validation</w:t>
      </w:r>
    </w:p>
    <w:p w:rsidR="00F622B0" w:rsidRPr="00452AEA" w:rsidRDefault="00F622B0" w:rsidP="003B725E">
      <w:pPr>
        <w:spacing w:line="360" w:lineRule="auto"/>
        <w:jc w:val="both"/>
        <w:rPr>
          <w:rFonts w:ascii="Arial" w:hAnsi="Arial" w:cs="Arial"/>
        </w:rPr>
      </w:pPr>
      <w:r w:rsidRPr="00452AEA">
        <w:rPr>
          <w:rFonts w:ascii="Arial" w:hAnsi="Arial" w:cs="Arial"/>
        </w:rPr>
        <w:t xml:space="preserve">The performance of the PINP assay </w:t>
      </w:r>
      <w:r w:rsidR="00FB37F6" w:rsidRPr="00452AEA">
        <w:rPr>
          <w:rFonts w:ascii="Arial" w:hAnsi="Arial" w:cs="Arial"/>
        </w:rPr>
        <w:t>u</w:t>
      </w:r>
      <w:r w:rsidR="003C51E4" w:rsidRPr="00452AEA">
        <w:rPr>
          <w:rFonts w:ascii="Arial" w:hAnsi="Arial" w:cs="Arial"/>
        </w:rPr>
        <w:t xml:space="preserve">sing the iSYS-IDS analyser </w:t>
      </w:r>
      <w:r w:rsidRPr="00452AEA">
        <w:rPr>
          <w:rFonts w:ascii="Arial" w:hAnsi="Arial" w:cs="Arial"/>
        </w:rPr>
        <w:t xml:space="preserve">has previously been validated by IDS and Koivula et al after it was launched in 2010 </w:t>
      </w:r>
      <w:r w:rsidR="00A732CB">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PEVuZE5vdGU+PENpdGU+PEF1dGhvcj5Lb2l2dWxhPC9BdXRob3I+PFllYXI+MjAxMDwvWWVhcj48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A732CB">
        <w:rPr>
          <w:rFonts w:ascii="Arial" w:hAnsi="Arial" w:cs="Arial"/>
        </w:rPr>
      </w:r>
      <w:r w:rsidR="00A732CB">
        <w:rPr>
          <w:rFonts w:ascii="Arial" w:hAnsi="Arial" w:cs="Arial"/>
        </w:rPr>
        <w:fldChar w:fldCharType="separate"/>
      </w:r>
      <w:r w:rsidR="005A347B">
        <w:rPr>
          <w:rFonts w:ascii="Arial" w:hAnsi="Arial" w:cs="Arial"/>
          <w:noProof/>
        </w:rPr>
        <w:t>(</w:t>
      </w:r>
      <w:hyperlink w:anchor="_ENREF_196" w:tooltip="Koivula, 2010 #500" w:history="1">
        <w:r w:rsidR="003B725E">
          <w:rPr>
            <w:rFonts w:ascii="Arial" w:hAnsi="Arial" w:cs="Arial"/>
            <w:noProof/>
          </w:rPr>
          <w:t>196</w:t>
        </w:r>
      </w:hyperlink>
      <w:r w:rsidR="005A347B">
        <w:rPr>
          <w:rFonts w:ascii="Arial" w:hAnsi="Arial" w:cs="Arial"/>
          <w:noProof/>
        </w:rPr>
        <w:t>)</w:t>
      </w:r>
      <w:r w:rsidR="00A732CB">
        <w:rPr>
          <w:rFonts w:ascii="Arial" w:hAnsi="Arial" w:cs="Arial"/>
        </w:rPr>
        <w:fldChar w:fldCharType="end"/>
      </w:r>
      <w:r w:rsidR="004173B4" w:rsidRPr="00452AEA">
        <w:rPr>
          <w:rFonts w:ascii="Arial" w:hAnsi="Arial" w:cs="Arial"/>
        </w:rPr>
        <w:t xml:space="preserve">. </w:t>
      </w:r>
      <w:r w:rsidR="003C51E4" w:rsidRPr="00452AEA">
        <w:rPr>
          <w:rFonts w:ascii="Arial" w:hAnsi="Arial" w:cs="Arial"/>
        </w:rPr>
        <w:t xml:space="preserve">The detection range was 2 to 230ng/ml, </w:t>
      </w:r>
      <w:r w:rsidR="00310AA9">
        <w:rPr>
          <w:rFonts w:ascii="Arial" w:hAnsi="Arial" w:cs="Arial"/>
        </w:rPr>
        <w:t>the limit of detection</w:t>
      </w:r>
      <w:r w:rsidR="00765D1A">
        <w:rPr>
          <w:rFonts w:ascii="Arial" w:hAnsi="Arial" w:cs="Arial"/>
        </w:rPr>
        <w:t xml:space="preserve"> was </w:t>
      </w:r>
      <w:r w:rsidR="00510368" w:rsidRPr="00452AEA">
        <w:rPr>
          <w:rFonts w:ascii="Arial" w:hAnsi="Arial" w:cs="Arial"/>
        </w:rPr>
        <w:t>2.0</w:t>
      </w:r>
      <w:r w:rsidR="00765D1A">
        <w:rPr>
          <w:rFonts w:ascii="Arial" w:hAnsi="Arial" w:cs="Arial"/>
        </w:rPr>
        <w:t xml:space="preserve"> ng/ml</w:t>
      </w:r>
      <w:r w:rsidR="00F83FA9">
        <w:rPr>
          <w:rFonts w:ascii="Arial" w:hAnsi="Arial" w:cs="Arial"/>
        </w:rPr>
        <w:t xml:space="preserve"> </w:t>
      </w:r>
      <w:r w:rsidR="00F83FA9" w:rsidRPr="00452AEA">
        <w:rPr>
          <w:rFonts w:ascii="Arial" w:hAnsi="Arial" w:cs="Arial"/>
        </w:rPr>
        <w:t>and it</w:t>
      </w:r>
      <w:r w:rsidR="00510368" w:rsidRPr="00452AEA">
        <w:rPr>
          <w:rFonts w:ascii="Arial" w:hAnsi="Arial" w:cs="Arial"/>
        </w:rPr>
        <w:t xml:space="preserve"> is</w:t>
      </w:r>
      <w:r w:rsidR="003C51E4" w:rsidRPr="00452AEA">
        <w:rPr>
          <w:rFonts w:ascii="Arial" w:hAnsi="Arial" w:cs="Arial"/>
        </w:rPr>
        <w:t xml:space="preserve"> specific only to the trimeric form of PINP</w:t>
      </w:r>
      <w:r w:rsidR="00510368" w:rsidRPr="00452AEA">
        <w:rPr>
          <w:rFonts w:ascii="Arial" w:hAnsi="Arial" w:cs="Arial"/>
        </w:rPr>
        <w:t xml:space="preserve"> with no hook effec</w:t>
      </w:r>
      <w:r w:rsidR="0040473E" w:rsidRPr="00452AEA">
        <w:rPr>
          <w:rFonts w:ascii="Arial" w:hAnsi="Arial" w:cs="Arial"/>
        </w:rPr>
        <w:t>t observed</w:t>
      </w:r>
      <w:r w:rsidR="003C51E4" w:rsidRPr="00452AEA">
        <w:rPr>
          <w:rFonts w:ascii="Arial" w:hAnsi="Arial" w:cs="Arial"/>
        </w:rPr>
        <w:t xml:space="preserve">. </w:t>
      </w:r>
      <w:r w:rsidRPr="00452AEA">
        <w:rPr>
          <w:rFonts w:ascii="Arial" w:hAnsi="Arial" w:cs="Arial"/>
        </w:rPr>
        <w:t>In order to confirm that the performance of the assay is satisfactory in our laboratory environment additional validations were carried out</w:t>
      </w:r>
      <w:r w:rsidR="000B287F">
        <w:rPr>
          <w:rFonts w:ascii="Arial" w:hAnsi="Arial" w:cs="Arial"/>
        </w:rPr>
        <w:t xml:space="preserve"> for my thesis</w:t>
      </w:r>
      <w:r w:rsidRPr="00452AEA">
        <w:rPr>
          <w:rFonts w:ascii="Arial" w:hAnsi="Arial" w:cs="Arial"/>
        </w:rPr>
        <w:t>:</w:t>
      </w:r>
    </w:p>
    <w:p w:rsidR="00F622B0" w:rsidRDefault="0040473E" w:rsidP="003E6719">
      <w:pPr>
        <w:pStyle w:val="Heading4"/>
        <w:jc w:val="both"/>
      </w:pPr>
      <w:r>
        <w:t>PINP a</w:t>
      </w:r>
      <w:r w:rsidR="00F622B0">
        <w:t>ssay precision:</w:t>
      </w:r>
    </w:p>
    <w:p w:rsidR="00C27048" w:rsidRDefault="000B287F" w:rsidP="003B725E">
      <w:pPr>
        <w:spacing w:line="360" w:lineRule="auto"/>
        <w:jc w:val="both"/>
      </w:pPr>
      <w:r>
        <w:rPr>
          <w:rFonts w:ascii="Arial" w:hAnsi="Arial" w:cs="Arial"/>
        </w:rPr>
        <w:t>I assessed t</w:t>
      </w:r>
      <w:r w:rsidR="00FB37F6" w:rsidRPr="00452AEA">
        <w:rPr>
          <w:rFonts w:ascii="Arial" w:hAnsi="Arial" w:cs="Arial"/>
        </w:rPr>
        <w:t>he precision of the PINP assay in</w:t>
      </w:r>
      <w:r w:rsidR="008478BA">
        <w:rPr>
          <w:rFonts w:ascii="Arial" w:hAnsi="Arial" w:cs="Arial"/>
        </w:rPr>
        <w:t xml:space="preserve"> ac</w:t>
      </w:r>
      <w:r w:rsidR="001C0FF7">
        <w:rPr>
          <w:rFonts w:ascii="Arial" w:hAnsi="Arial" w:cs="Arial"/>
        </w:rPr>
        <w:t xml:space="preserve">cordance with the Clinical and Laboratory Standards Institute (CLSI) guidelines </w:t>
      </w:r>
      <w:r w:rsidR="008478BA">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8478BA">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8478BA">
        <w:rPr>
          <w:rFonts w:ascii="Arial" w:hAnsi="Arial" w:cs="Arial"/>
        </w:rPr>
        <w:fldChar w:fldCharType="end"/>
      </w:r>
      <w:r w:rsidR="00FB37F6" w:rsidRPr="00452AEA">
        <w:rPr>
          <w:rFonts w:ascii="Arial" w:hAnsi="Arial" w:cs="Arial"/>
        </w:rPr>
        <w:t>: Evaluation of precision performance of quantit</w:t>
      </w:r>
      <w:r w:rsidR="009F0A80" w:rsidRPr="00452AEA">
        <w:rPr>
          <w:rFonts w:ascii="Arial" w:hAnsi="Arial" w:cs="Arial"/>
        </w:rPr>
        <w:t xml:space="preserve">ative measurement methods. </w:t>
      </w:r>
      <w:r>
        <w:rPr>
          <w:rFonts w:ascii="Arial" w:hAnsi="Arial" w:cs="Arial"/>
        </w:rPr>
        <w:t>I used f</w:t>
      </w:r>
      <w:r w:rsidR="009F0A80" w:rsidRPr="00452AEA">
        <w:rPr>
          <w:rFonts w:ascii="Arial" w:hAnsi="Arial" w:cs="Arial"/>
        </w:rPr>
        <w:t>our</w:t>
      </w:r>
      <w:r w:rsidR="00FB37F6" w:rsidRPr="00452AEA">
        <w:rPr>
          <w:rFonts w:ascii="Arial" w:hAnsi="Arial" w:cs="Arial"/>
        </w:rPr>
        <w:t xml:space="preserve"> quality control </w:t>
      </w:r>
      <w:r w:rsidR="009F0A80" w:rsidRPr="00452AEA">
        <w:rPr>
          <w:rFonts w:ascii="Arial" w:hAnsi="Arial" w:cs="Arial"/>
        </w:rPr>
        <w:t xml:space="preserve">(QC) </w:t>
      </w:r>
      <w:r w:rsidR="00FB37F6" w:rsidRPr="00452AEA">
        <w:rPr>
          <w:rFonts w:ascii="Arial" w:hAnsi="Arial" w:cs="Arial"/>
        </w:rPr>
        <w:t xml:space="preserve">materials of different concentrations </w:t>
      </w:r>
      <w:r>
        <w:rPr>
          <w:rFonts w:ascii="Arial" w:hAnsi="Arial" w:cs="Arial"/>
        </w:rPr>
        <w:t>and</w:t>
      </w:r>
      <w:r w:rsidR="00FB37F6" w:rsidRPr="00452AEA">
        <w:rPr>
          <w:rFonts w:ascii="Arial" w:hAnsi="Arial" w:cs="Arial"/>
        </w:rPr>
        <w:t xml:space="preserve"> measured </w:t>
      </w:r>
      <w:r>
        <w:rPr>
          <w:rFonts w:ascii="Arial" w:hAnsi="Arial" w:cs="Arial"/>
        </w:rPr>
        <w:t xml:space="preserve">these </w:t>
      </w:r>
      <w:r w:rsidR="00FB37F6" w:rsidRPr="00452AEA">
        <w:rPr>
          <w:rFonts w:ascii="Arial" w:hAnsi="Arial" w:cs="Arial"/>
        </w:rPr>
        <w:t>once per day over a period of 20 d</w:t>
      </w:r>
      <w:r w:rsidR="003C51E4" w:rsidRPr="00452AEA">
        <w:rPr>
          <w:rFonts w:ascii="Arial" w:hAnsi="Arial" w:cs="Arial"/>
        </w:rPr>
        <w:t xml:space="preserve">ays. The coefficient of variation (CV) was calculated and expressed as a percentage, </w:t>
      </w:r>
      <w:r w:rsidR="00155321">
        <w:rPr>
          <w:rFonts w:ascii="Arial" w:hAnsi="Arial" w:cs="Arial"/>
        </w:rPr>
        <w:t>(</w:t>
      </w:r>
      <w:r w:rsidR="003C51E4" w:rsidRPr="00452AEA">
        <w:rPr>
          <w:rFonts w:ascii="Arial" w:hAnsi="Arial" w:cs="Arial"/>
        </w:rPr>
        <w:t>Table</w:t>
      </w:r>
      <w:r w:rsidR="005010B9">
        <w:rPr>
          <w:rFonts w:ascii="Arial" w:hAnsi="Arial" w:cs="Arial"/>
        </w:rPr>
        <w:t xml:space="preserve"> 2</w:t>
      </w:r>
      <w:r w:rsidR="00155321">
        <w:rPr>
          <w:rFonts w:ascii="Arial" w:hAnsi="Arial" w:cs="Arial"/>
        </w:rPr>
        <w:t>)</w:t>
      </w:r>
      <w:r w:rsidR="003C51E4" w:rsidRPr="00452AEA">
        <w:rPr>
          <w:rFonts w:ascii="Arial" w:hAnsi="Arial" w:cs="Arial"/>
        </w:rPr>
        <w:t>. A CV of less than</w:t>
      </w:r>
      <w:r>
        <w:rPr>
          <w:rFonts w:ascii="Arial" w:hAnsi="Arial" w:cs="Arial"/>
        </w:rPr>
        <w:t xml:space="preserve"> or equal to</w:t>
      </w:r>
      <w:r w:rsidR="003C51E4" w:rsidRPr="00452AEA">
        <w:rPr>
          <w:rFonts w:ascii="Arial" w:hAnsi="Arial" w:cs="Arial"/>
        </w:rPr>
        <w:t xml:space="preserve"> 10% was acceptable</w:t>
      </w:r>
      <w:r w:rsidR="003C51E4">
        <w:t>.</w:t>
      </w:r>
    </w:p>
    <w:p w:rsidR="009F0A80" w:rsidRPr="009F0A80" w:rsidRDefault="009F0A80" w:rsidP="003E6719">
      <w:pPr>
        <w:pStyle w:val="Caption"/>
        <w:keepNext/>
        <w:jc w:val="both"/>
        <w:rPr>
          <w:rFonts w:ascii="Arial" w:hAnsi="Arial" w:cs="Arial"/>
          <w:b w:val="0"/>
          <w:color w:val="auto"/>
        </w:rPr>
      </w:pPr>
      <w:bookmarkStart w:id="72" w:name="_Toc424043676"/>
      <w:r w:rsidRPr="009F0A80">
        <w:rPr>
          <w:rFonts w:ascii="Arial" w:hAnsi="Arial" w:cs="Arial"/>
          <w:b w:val="0"/>
          <w:color w:val="auto"/>
        </w:rPr>
        <w:t xml:space="preserve">Table </w:t>
      </w:r>
      <w:r w:rsidRPr="009F0A80">
        <w:rPr>
          <w:rFonts w:ascii="Arial" w:hAnsi="Arial" w:cs="Arial"/>
          <w:b w:val="0"/>
          <w:color w:val="auto"/>
        </w:rPr>
        <w:fldChar w:fldCharType="begin"/>
      </w:r>
      <w:r w:rsidRPr="009F0A80">
        <w:rPr>
          <w:rFonts w:ascii="Arial" w:hAnsi="Arial" w:cs="Arial"/>
          <w:b w:val="0"/>
          <w:color w:val="auto"/>
        </w:rPr>
        <w:instrText xml:space="preserve"> SEQ Table \* ARABIC </w:instrText>
      </w:r>
      <w:r w:rsidRPr="009F0A80">
        <w:rPr>
          <w:rFonts w:ascii="Arial" w:hAnsi="Arial" w:cs="Arial"/>
          <w:b w:val="0"/>
          <w:color w:val="auto"/>
        </w:rPr>
        <w:fldChar w:fldCharType="separate"/>
      </w:r>
      <w:r w:rsidR="00DD116A">
        <w:rPr>
          <w:rFonts w:ascii="Arial" w:hAnsi="Arial" w:cs="Arial"/>
          <w:b w:val="0"/>
          <w:noProof/>
          <w:color w:val="auto"/>
        </w:rPr>
        <w:t>2</w:t>
      </w:r>
      <w:r w:rsidRPr="009F0A80">
        <w:rPr>
          <w:rFonts w:ascii="Arial" w:hAnsi="Arial" w:cs="Arial"/>
          <w:b w:val="0"/>
          <w:color w:val="auto"/>
        </w:rPr>
        <w:fldChar w:fldCharType="end"/>
      </w:r>
      <w:r w:rsidR="00BD690E">
        <w:rPr>
          <w:rFonts w:ascii="Arial" w:hAnsi="Arial" w:cs="Arial"/>
          <w:b w:val="0"/>
          <w:color w:val="auto"/>
        </w:rPr>
        <w:t>: The</w:t>
      </w:r>
      <w:r w:rsidRPr="009F0A80">
        <w:rPr>
          <w:rFonts w:ascii="Arial" w:hAnsi="Arial" w:cs="Arial"/>
          <w:b w:val="0"/>
          <w:color w:val="auto"/>
        </w:rPr>
        <w:t xml:space="preserve"> inter assay precision of the IDS-iSYS PINP </w:t>
      </w:r>
      <w:r w:rsidR="004C11D6">
        <w:rPr>
          <w:rFonts w:ascii="Arial" w:hAnsi="Arial" w:cs="Arial"/>
          <w:b w:val="0"/>
          <w:color w:val="auto"/>
        </w:rPr>
        <w:t xml:space="preserve">(ng/ml) </w:t>
      </w:r>
      <w:r w:rsidRPr="009F0A80">
        <w:rPr>
          <w:rFonts w:ascii="Arial" w:hAnsi="Arial" w:cs="Arial"/>
          <w:b w:val="0"/>
          <w:color w:val="auto"/>
        </w:rPr>
        <w:t>using four different levels of QC material measured (N = 20 each)</w:t>
      </w:r>
      <w:bookmarkEnd w:id="72"/>
    </w:p>
    <w:tbl>
      <w:tblPr>
        <w:tblStyle w:val="TableGrid"/>
        <w:tblW w:w="0" w:type="auto"/>
        <w:jc w:val="center"/>
        <w:tblLook w:val="04A0" w:firstRow="1" w:lastRow="0" w:firstColumn="1" w:lastColumn="0" w:noHBand="0" w:noVBand="1"/>
      </w:tblPr>
      <w:tblGrid>
        <w:gridCol w:w="2500"/>
        <w:gridCol w:w="2500"/>
        <w:gridCol w:w="2500"/>
      </w:tblGrid>
      <w:tr w:rsidR="00541ACA" w:rsidRPr="009F0A80" w:rsidTr="00E95A99">
        <w:trPr>
          <w:trHeight w:val="283"/>
          <w:jc w:val="center"/>
        </w:trPr>
        <w:tc>
          <w:tcPr>
            <w:tcW w:w="2500" w:type="dxa"/>
          </w:tcPr>
          <w:p w:rsidR="00541ACA" w:rsidRPr="009F0A80" w:rsidRDefault="009F0A80"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Mean concentr</w:t>
            </w:r>
            <w:r w:rsidR="00E95A99">
              <w:rPr>
                <w:rFonts w:ascii="Arial" w:hAnsi="Arial" w:cs="Arial"/>
                <w:sz w:val="16"/>
                <w:szCs w:val="16"/>
              </w:rPr>
              <w:t>ation, ng/ml</w:t>
            </w:r>
            <w:r w:rsidRPr="009F0A80">
              <w:rPr>
                <w:rFonts w:ascii="Arial" w:hAnsi="Arial" w:cs="Arial"/>
                <w:sz w:val="16"/>
                <w:szCs w:val="16"/>
              </w:rPr>
              <w:t>/ (standard deviation)</w:t>
            </w:r>
          </w:p>
        </w:tc>
        <w:tc>
          <w:tcPr>
            <w:tcW w:w="2500" w:type="dxa"/>
          </w:tcPr>
          <w:p w:rsidR="00541ACA" w:rsidRPr="009F0A80" w:rsidRDefault="00541ACA" w:rsidP="00900F2C">
            <w:pPr>
              <w:rPr>
                <w:rFonts w:ascii="Arial" w:hAnsi="Arial" w:cs="Arial"/>
                <w:sz w:val="16"/>
                <w:szCs w:val="16"/>
              </w:rPr>
            </w:pPr>
            <w:r w:rsidRPr="009F0A80">
              <w:rPr>
                <w:rFonts w:ascii="Arial" w:hAnsi="Arial" w:cs="Arial"/>
                <w:sz w:val="16"/>
                <w:szCs w:val="16"/>
              </w:rPr>
              <w:t>Inter-assay CV (%)</w:t>
            </w:r>
          </w:p>
        </w:tc>
      </w:tr>
      <w:tr w:rsidR="00541ACA" w:rsidRPr="009F0A80" w:rsidTr="00E95A99">
        <w:trPr>
          <w:trHeight w:val="283"/>
          <w:jc w:val="center"/>
        </w:trPr>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QC 1</w:t>
            </w:r>
            <w:r w:rsidR="009F0A80" w:rsidRPr="009F0A80">
              <w:rPr>
                <w:rFonts w:ascii="Arial" w:hAnsi="Arial" w:cs="Arial"/>
                <w:sz w:val="16"/>
                <w:szCs w:val="16"/>
              </w:rPr>
              <w:t xml:space="preserve"> (low)</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18.4 (1.0)</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5.5</w:t>
            </w:r>
          </w:p>
        </w:tc>
      </w:tr>
      <w:tr w:rsidR="00541ACA" w:rsidRPr="009F0A80" w:rsidTr="00E95A99">
        <w:trPr>
          <w:trHeight w:val="283"/>
          <w:jc w:val="center"/>
        </w:trPr>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QC 2</w:t>
            </w:r>
            <w:r w:rsidR="009F0A80" w:rsidRPr="009F0A80">
              <w:rPr>
                <w:rFonts w:ascii="Arial" w:hAnsi="Arial" w:cs="Arial"/>
                <w:sz w:val="16"/>
                <w:szCs w:val="16"/>
              </w:rPr>
              <w:t xml:space="preserve"> (medium)</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46.8 (1.8)</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3.8</w:t>
            </w:r>
          </w:p>
        </w:tc>
      </w:tr>
      <w:tr w:rsidR="00541ACA" w:rsidRPr="009F0A80" w:rsidTr="00E95A99">
        <w:trPr>
          <w:trHeight w:val="283"/>
          <w:jc w:val="center"/>
        </w:trPr>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QC 3</w:t>
            </w:r>
            <w:r w:rsidR="009F0A80" w:rsidRPr="009F0A80">
              <w:rPr>
                <w:rFonts w:ascii="Arial" w:hAnsi="Arial" w:cs="Arial"/>
                <w:sz w:val="16"/>
                <w:szCs w:val="16"/>
              </w:rPr>
              <w:t xml:space="preserve"> (high)</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127.2 (8.7)</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6.8</w:t>
            </w:r>
          </w:p>
        </w:tc>
      </w:tr>
      <w:tr w:rsidR="00541ACA" w:rsidRPr="009F0A80" w:rsidTr="00E95A99">
        <w:trPr>
          <w:trHeight w:val="283"/>
          <w:jc w:val="center"/>
        </w:trPr>
        <w:tc>
          <w:tcPr>
            <w:tcW w:w="2500" w:type="dxa"/>
            <w:vAlign w:val="center"/>
          </w:tcPr>
          <w:p w:rsidR="00541ACA" w:rsidRPr="009F0A80" w:rsidRDefault="009F0A80" w:rsidP="00900F2C">
            <w:pPr>
              <w:rPr>
                <w:rFonts w:ascii="Arial" w:hAnsi="Arial" w:cs="Arial"/>
                <w:sz w:val="16"/>
                <w:szCs w:val="16"/>
              </w:rPr>
            </w:pPr>
            <w:r w:rsidRPr="009F0A80">
              <w:rPr>
                <w:rFonts w:ascii="Arial" w:hAnsi="Arial" w:cs="Arial"/>
                <w:sz w:val="16"/>
                <w:szCs w:val="16"/>
              </w:rPr>
              <w:lastRenderedPageBreak/>
              <w:t>QC 4 (</w:t>
            </w:r>
            <w:r w:rsidR="00541ACA" w:rsidRPr="009F0A80">
              <w:rPr>
                <w:rFonts w:ascii="Arial" w:hAnsi="Arial" w:cs="Arial"/>
                <w:sz w:val="16"/>
                <w:szCs w:val="16"/>
              </w:rPr>
              <w:t>In</w:t>
            </w:r>
            <w:r w:rsidR="00174540">
              <w:rPr>
                <w:rFonts w:ascii="Arial" w:hAnsi="Arial" w:cs="Arial"/>
                <w:sz w:val="16"/>
                <w:szCs w:val="16"/>
              </w:rPr>
              <w:t>-</w:t>
            </w:r>
            <w:r w:rsidRPr="009F0A80">
              <w:rPr>
                <w:rFonts w:ascii="Arial" w:hAnsi="Arial" w:cs="Arial"/>
                <w:sz w:val="16"/>
                <w:szCs w:val="16"/>
              </w:rPr>
              <w:t>house plasma)</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141.3 (10.2)</w:t>
            </w:r>
          </w:p>
        </w:tc>
        <w:tc>
          <w:tcPr>
            <w:tcW w:w="2500" w:type="dxa"/>
            <w:vAlign w:val="center"/>
          </w:tcPr>
          <w:p w:rsidR="00541ACA" w:rsidRPr="009F0A80" w:rsidRDefault="00541ACA" w:rsidP="00900F2C">
            <w:pPr>
              <w:rPr>
                <w:rFonts w:ascii="Arial" w:hAnsi="Arial" w:cs="Arial"/>
                <w:sz w:val="16"/>
                <w:szCs w:val="16"/>
              </w:rPr>
            </w:pPr>
            <w:r w:rsidRPr="009F0A80">
              <w:rPr>
                <w:rFonts w:ascii="Arial" w:hAnsi="Arial" w:cs="Arial"/>
                <w:sz w:val="16"/>
                <w:szCs w:val="16"/>
              </w:rPr>
              <w:t>7.2</w:t>
            </w:r>
          </w:p>
        </w:tc>
      </w:tr>
    </w:tbl>
    <w:p w:rsidR="00957E88" w:rsidRDefault="00E97B62" w:rsidP="003E6719">
      <w:pPr>
        <w:pStyle w:val="Heading4"/>
        <w:jc w:val="both"/>
      </w:pPr>
      <w:r>
        <w:t>PINP m</w:t>
      </w:r>
      <w:r w:rsidR="009D6EFE">
        <w:t>ethod comparison:</w:t>
      </w:r>
    </w:p>
    <w:p w:rsidR="003F2D64" w:rsidRPr="00452AEA" w:rsidRDefault="009D6EFE" w:rsidP="003E6719">
      <w:pPr>
        <w:spacing w:line="360" w:lineRule="auto"/>
        <w:jc w:val="both"/>
        <w:rPr>
          <w:rFonts w:ascii="Arial" w:hAnsi="Arial" w:cs="Arial"/>
        </w:rPr>
      </w:pPr>
      <w:r w:rsidRPr="00452AEA">
        <w:rPr>
          <w:rFonts w:ascii="Arial" w:hAnsi="Arial" w:cs="Arial"/>
        </w:rPr>
        <w:t xml:space="preserve">The IDS-iSYS intact PINP assay was </w:t>
      </w:r>
      <w:r w:rsidR="00504F51" w:rsidRPr="00452AEA">
        <w:rPr>
          <w:rFonts w:ascii="Arial" w:hAnsi="Arial" w:cs="Arial"/>
        </w:rPr>
        <w:t xml:space="preserve">directly </w:t>
      </w:r>
      <w:r w:rsidRPr="00452AEA">
        <w:rPr>
          <w:rFonts w:ascii="Arial" w:hAnsi="Arial" w:cs="Arial"/>
        </w:rPr>
        <w:t xml:space="preserve">compared to the total PINP assay, </w:t>
      </w:r>
      <w:r w:rsidR="00AC17F8" w:rsidRPr="00452AEA">
        <w:rPr>
          <w:rFonts w:ascii="Arial" w:hAnsi="Arial" w:cs="Arial"/>
        </w:rPr>
        <w:t>Elecsys 2010,</w:t>
      </w:r>
      <w:r w:rsidR="00CA6772">
        <w:rPr>
          <w:rFonts w:ascii="Arial" w:hAnsi="Arial" w:cs="Arial"/>
        </w:rPr>
        <w:t xml:space="preserve"> </w:t>
      </w:r>
      <w:r w:rsidRPr="00452AEA">
        <w:rPr>
          <w:rFonts w:ascii="Arial" w:hAnsi="Arial" w:cs="Arial"/>
        </w:rPr>
        <w:t>Roche Diagnostics (Pensberg, Germany</w:t>
      </w:r>
      <w:r w:rsidR="004173B4" w:rsidRPr="00452AEA">
        <w:rPr>
          <w:rFonts w:ascii="Arial" w:hAnsi="Arial" w:cs="Arial"/>
        </w:rPr>
        <w:t>)</w:t>
      </w:r>
      <w:r w:rsidRPr="00452AEA">
        <w:rPr>
          <w:rFonts w:ascii="Arial" w:hAnsi="Arial" w:cs="Arial"/>
        </w:rPr>
        <w:t xml:space="preserve"> in accordance with </w:t>
      </w:r>
      <w:r w:rsidR="005010B9">
        <w:rPr>
          <w:rFonts w:ascii="Arial" w:hAnsi="Arial" w:cs="Arial"/>
        </w:rPr>
        <w:t>CLSI guidelines</w:t>
      </w:r>
      <w:r w:rsidR="00AC17F8" w:rsidRPr="00452AEA">
        <w:rPr>
          <w:rFonts w:ascii="Arial" w:hAnsi="Arial" w:cs="Arial"/>
        </w:rPr>
        <w:t>. 514 serum samples from premenopausal and postmenopausal women were used to represent a range of PINP concentrations. Intact and total PINP w</w:t>
      </w:r>
      <w:r w:rsidR="00465CE1" w:rsidRPr="00452AEA">
        <w:rPr>
          <w:rFonts w:ascii="Arial" w:hAnsi="Arial" w:cs="Arial"/>
        </w:rPr>
        <w:t xml:space="preserve">ere measured using the IDS-iSYS </w:t>
      </w:r>
      <w:r w:rsidR="00AC17F8" w:rsidRPr="00452AEA">
        <w:rPr>
          <w:rFonts w:ascii="Arial" w:hAnsi="Arial" w:cs="Arial"/>
        </w:rPr>
        <w:t>and Elecsys 2010 analysers.</w:t>
      </w:r>
      <w:r w:rsidR="00504F51" w:rsidRPr="00452AEA">
        <w:rPr>
          <w:rFonts w:ascii="Arial" w:hAnsi="Arial" w:cs="Arial"/>
        </w:rPr>
        <w:t xml:space="preserve"> There has been no previous data di</w:t>
      </w:r>
      <w:r w:rsidR="00035813">
        <w:rPr>
          <w:rFonts w:ascii="Arial" w:hAnsi="Arial" w:cs="Arial"/>
        </w:rPr>
        <w:t>rectly comparing these two methods</w:t>
      </w:r>
      <w:r w:rsidR="00504F51" w:rsidRPr="00452AEA">
        <w:rPr>
          <w:rFonts w:ascii="Arial" w:hAnsi="Arial" w:cs="Arial"/>
        </w:rPr>
        <w:t xml:space="preserve">. </w:t>
      </w:r>
    </w:p>
    <w:p w:rsidR="003F2D64" w:rsidRDefault="00AC17F8" w:rsidP="003E6719">
      <w:pPr>
        <w:spacing w:line="360" w:lineRule="auto"/>
        <w:jc w:val="both"/>
        <w:rPr>
          <w:rFonts w:ascii="Arial" w:hAnsi="Arial" w:cs="Arial"/>
        </w:rPr>
      </w:pPr>
      <w:r w:rsidRPr="00452AEA">
        <w:rPr>
          <w:rFonts w:ascii="Arial" w:hAnsi="Arial" w:cs="Arial"/>
        </w:rPr>
        <w:t>Bland-Altman plot and Passing and Bablok regression analyses were used to compare the data, (Figure</w:t>
      </w:r>
      <w:r w:rsidR="0040369A">
        <w:rPr>
          <w:rFonts w:ascii="Arial" w:hAnsi="Arial" w:cs="Arial"/>
        </w:rPr>
        <w:t xml:space="preserve"> 21</w:t>
      </w:r>
      <w:r w:rsidRPr="00452AEA">
        <w:rPr>
          <w:rFonts w:ascii="Arial" w:hAnsi="Arial" w:cs="Arial"/>
        </w:rPr>
        <w:t>)</w:t>
      </w:r>
      <w:r w:rsidR="00D769C6" w:rsidRPr="00452AEA">
        <w:rPr>
          <w:rFonts w:ascii="Arial" w:hAnsi="Arial" w:cs="Arial"/>
        </w:rPr>
        <w:t>.</w:t>
      </w:r>
      <w:r w:rsidR="00510368" w:rsidRPr="00452AEA">
        <w:rPr>
          <w:rFonts w:ascii="Arial" w:hAnsi="Arial" w:cs="Arial"/>
        </w:rPr>
        <w:t xml:space="preserve"> The mean difference between the IDS-iS</w:t>
      </w:r>
      <w:r w:rsidR="000D1DA9" w:rsidRPr="00452AEA">
        <w:rPr>
          <w:rFonts w:ascii="Arial" w:hAnsi="Arial" w:cs="Arial"/>
        </w:rPr>
        <w:t>YS and the Elecsys 2010 was –9.6</w:t>
      </w:r>
      <w:r w:rsidR="00510368" w:rsidRPr="00452AEA">
        <w:rPr>
          <w:rFonts w:ascii="Arial" w:hAnsi="Arial" w:cs="Arial"/>
        </w:rPr>
        <w:t xml:space="preserve"> ng/ml</w:t>
      </w:r>
      <w:r w:rsidR="002E40F1" w:rsidRPr="00452AEA">
        <w:rPr>
          <w:rFonts w:ascii="Arial" w:hAnsi="Arial" w:cs="Arial"/>
        </w:rPr>
        <w:t>, p&lt;0.</w:t>
      </w:r>
      <w:r w:rsidR="000D1DA9" w:rsidRPr="00452AEA">
        <w:rPr>
          <w:rFonts w:ascii="Arial" w:hAnsi="Arial" w:cs="Arial"/>
        </w:rPr>
        <w:t>0</w:t>
      </w:r>
      <w:r w:rsidR="002E40F1" w:rsidRPr="00452AEA">
        <w:rPr>
          <w:rFonts w:ascii="Arial" w:hAnsi="Arial" w:cs="Arial"/>
        </w:rPr>
        <w:t>01</w:t>
      </w:r>
      <w:r w:rsidR="000D1DA9" w:rsidRPr="00452AEA">
        <w:rPr>
          <w:rFonts w:ascii="Arial" w:hAnsi="Arial" w:cs="Arial"/>
        </w:rPr>
        <w:t xml:space="preserve"> (Mann Whitney test)</w:t>
      </w:r>
      <w:r w:rsidR="00510368" w:rsidRPr="00452AEA">
        <w:rPr>
          <w:rFonts w:ascii="Arial" w:hAnsi="Arial" w:cs="Arial"/>
        </w:rPr>
        <w:t xml:space="preserve">. The median (and standard deviation) were </w:t>
      </w:r>
      <w:r w:rsidR="00DC20EE">
        <w:rPr>
          <w:rFonts w:ascii="Arial" w:hAnsi="Arial" w:cs="Arial"/>
        </w:rPr>
        <w:t xml:space="preserve">39.7 (22.4) and </w:t>
      </w:r>
      <w:r w:rsidR="003D6AFB" w:rsidRPr="00452AEA">
        <w:rPr>
          <w:rFonts w:ascii="Arial" w:hAnsi="Arial" w:cs="Arial"/>
        </w:rPr>
        <w:t>49.1 (22.1) ng/ml, respectively</w:t>
      </w:r>
      <w:r w:rsidR="00230DA3" w:rsidRPr="00452AEA">
        <w:rPr>
          <w:rFonts w:ascii="Arial" w:hAnsi="Arial" w:cs="Arial"/>
        </w:rPr>
        <w:t>. The mean difference between t</w:t>
      </w:r>
      <w:r w:rsidR="00AB7D49" w:rsidRPr="00452AEA">
        <w:rPr>
          <w:rFonts w:ascii="Arial" w:hAnsi="Arial" w:cs="Arial"/>
        </w:rPr>
        <w:t>he two</w:t>
      </w:r>
      <w:r w:rsidR="00230DA3" w:rsidRPr="00452AEA">
        <w:rPr>
          <w:rFonts w:ascii="Arial" w:hAnsi="Arial" w:cs="Arial"/>
        </w:rPr>
        <w:t xml:space="preserve"> methods was greater at high PINP concentration, greater than 100 ng/ml. The</w:t>
      </w:r>
      <w:r w:rsidR="003D6AFB" w:rsidRPr="00452AEA">
        <w:rPr>
          <w:rFonts w:ascii="Arial" w:hAnsi="Arial" w:cs="Arial"/>
        </w:rPr>
        <w:t xml:space="preserve"> regression equation was</w:t>
      </w:r>
      <w:r w:rsidR="003F2D64" w:rsidRPr="00452AEA">
        <w:rPr>
          <w:rFonts w:ascii="Arial" w:hAnsi="Arial" w:cs="Arial"/>
        </w:rPr>
        <w:t xml:space="preserve"> y = -6.1 + 1.0x. </w:t>
      </w:r>
    </w:p>
    <w:p w:rsidR="0040369A" w:rsidRDefault="00743B61" w:rsidP="0040369A">
      <w:pPr>
        <w:keepNext/>
      </w:pPr>
      <w:r>
        <w:rPr>
          <w:noProof/>
          <w:lang w:eastAsia="zh-CN"/>
        </w:rPr>
        <mc:AlternateContent>
          <mc:Choice Requires="wps">
            <w:drawing>
              <wp:anchor distT="0" distB="0" distL="114300" distR="114300" simplePos="0" relativeHeight="253300224" behindDoc="0" locked="0" layoutInCell="1" allowOverlap="1" wp14:anchorId="60B8B93D" wp14:editId="29A74BCD">
                <wp:simplePos x="0" y="0"/>
                <wp:positionH relativeFrom="column">
                  <wp:posOffset>-189230</wp:posOffset>
                </wp:positionH>
                <wp:positionV relativeFrom="paragraph">
                  <wp:posOffset>2216150</wp:posOffset>
                </wp:positionV>
                <wp:extent cx="6219190" cy="635"/>
                <wp:effectExtent l="0" t="0" r="0" b="0"/>
                <wp:wrapNone/>
                <wp:docPr id="18656" name="Text Box 18656"/>
                <wp:cNvGraphicFramePr/>
                <a:graphic xmlns:a="http://schemas.openxmlformats.org/drawingml/2006/main">
                  <a:graphicData uri="http://schemas.microsoft.com/office/word/2010/wordprocessingShape">
                    <wps:wsp>
                      <wps:cNvSpPr txBox="1"/>
                      <wps:spPr>
                        <a:xfrm>
                          <a:off x="0" y="0"/>
                          <a:ext cx="6219190" cy="635"/>
                        </a:xfrm>
                        <a:prstGeom prst="rect">
                          <a:avLst/>
                        </a:prstGeom>
                        <a:solidFill>
                          <a:prstClr val="white"/>
                        </a:solidFill>
                        <a:ln>
                          <a:noFill/>
                        </a:ln>
                        <a:effectLst/>
                      </wps:spPr>
                      <wps:txbx>
                        <w:txbxContent>
                          <w:p w:rsidR="004166BC" w:rsidRPr="00693CA2" w:rsidRDefault="004166BC" w:rsidP="0040369A">
                            <w:pPr>
                              <w:pStyle w:val="Caption"/>
                              <w:jc w:val="both"/>
                              <w:rPr>
                                <w:rFonts w:ascii="Arial" w:hAnsi="Arial" w:cs="Arial"/>
                                <w:b w:val="0"/>
                                <w:noProof/>
                                <w:color w:val="auto"/>
                              </w:rPr>
                            </w:pPr>
                            <w:bookmarkStart w:id="73" w:name="_Toc422736062"/>
                            <w:bookmarkStart w:id="74" w:name="_Toc422736170"/>
                            <w:bookmarkStart w:id="75" w:name="_Toc425419505"/>
                            <w:r w:rsidRPr="00693CA2">
                              <w:rPr>
                                <w:rFonts w:ascii="Arial" w:hAnsi="Arial" w:cs="Arial"/>
                                <w:b w:val="0"/>
                                <w:color w:val="auto"/>
                              </w:rPr>
                              <w:t xml:space="preserve">Figure </w:t>
                            </w:r>
                            <w:r>
                              <w:rPr>
                                <w:rFonts w:ascii="Arial" w:hAnsi="Arial" w:cs="Arial"/>
                                <w:b w:val="0"/>
                                <w:color w:val="auto"/>
                              </w:rPr>
                              <w:t>21</w:t>
                            </w:r>
                            <w:r w:rsidRPr="00693CA2">
                              <w:rPr>
                                <w:rFonts w:ascii="Arial" w:hAnsi="Arial" w:cs="Arial"/>
                                <w:b w:val="0"/>
                                <w:color w:val="auto"/>
                              </w:rPr>
                              <w:t xml:space="preserve">: PINP </w:t>
                            </w:r>
                            <w:r>
                              <w:rPr>
                                <w:rFonts w:ascii="Arial" w:hAnsi="Arial" w:cs="Arial"/>
                                <w:b w:val="0"/>
                                <w:color w:val="auto"/>
                              </w:rPr>
                              <w:t xml:space="preserve">(ng/ml) </w:t>
                            </w:r>
                            <w:r w:rsidRPr="00693CA2">
                              <w:rPr>
                                <w:rFonts w:ascii="Arial" w:hAnsi="Arial" w:cs="Arial"/>
                                <w:b w:val="0"/>
                                <w:color w:val="auto"/>
                              </w:rPr>
                              <w:t>method comparison</w:t>
                            </w:r>
                            <w:r>
                              <w:rPr>
                                <w:rFonts w:ascii="Arial" w:hAnsi="Arial" w:cs="Arial"/>
                                <w:b w:val="0"/>
                                <w:color w:val="auto"/>
                              </w:rPr>
                              <w:t xml:space="preserve"> analyses</w:t>
                            </w:r>
                            <w:r w:rsidRPr="00693CA2">
                              <w:rPr>
                                <w:rFonts w:ascii="Arial" w:hAnsi="Arial" w:cs="Arial"/>
                                <w:b w:val="0"/>
                                <w:color w:val="auto"/>
                              </w:rPr>
                              <w:t xml:space="preserve"> using Bland-Altman (left) and Passing and Bablok regression (right)</w:t>
                            </w:r>
                            <w:bookmarkEnd w:id="73"/>
                            <w:bookmarkEnd w:id="74"/>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B8B93D" id="Text Box 18656" o:spid="_x0000_s1129" type="#_x0000_t202" style="position:absolute;margin-left:-14.9pt;margin-top:174.5pt;width:489.7pt;height:.05pt;z-index:2533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" stroked="f">
                <v:textbox style="mso-fit-shape-to-text:t" inset="0,0,0,0">
                  <w:txbxContent>
                    <w:p w:rsidR="004166BC" w:rsidRPr="00693CA2" w:rsidRDefault="004166BC" w:rsidP="0040369A">
                      <w:pPr>
                        <w:pStyle w:val="Caption"/>
                        <w:jc w:val="both"/>
                        <w:rPr>
                          <w:rFonts w:ascii="Arial" w:hAnsi="Arial" w:cs="Arial"/>
                          <w:b w:val="0"/>
                          <w:noProof/>
                          <w:color w:val="auto"/>
                        </w:rPr>
                      </w:pPr>
                      <w:bookmarkStart w:id="100" w:name="_Toc422736062"/>
                      <w:bookmarkStart w:id="101" w:name="_Toc422736170"/>
                      <w:bookmarkStart w:id="102" w:name="_Toc425419505"/>
                      <w:r w:rsidRPr="00693CA2">
                        <w:rPr>
                          <w:rFonts w:ascii="Arial" w:hAnsi="Arial" w:cs="Arial"/>
                          <w:b w:val="0"/>
                          <w:color w:val="auto"/>
                        </w:rPr>
                        <w:t xml:space="preserve">Figure </w:t>
                      </w:r>
                      <w:r>
                        <w:rPr>
                          <w:rFonts w:ascii="Arial" w:hAnsi="Arial" w:cs="Arial"/>
                          <w:b w:val="0"/>
                          <w:color w:val="auto"/>
                        </w:rPr>
                        <w:t>21</w:t>
                      </w:r>
                      <w:r w:rsidRPr="00693CA2">
                        <w:rPr>
                          <w:rFonts w:ascii="Arial" w:hAnsi="Arial" w:cs="Arial"/>
                          <w:b w:val="0"/>
                          <w:color w:val="auto"/>
                        </w:rPr>
                        <w:t xml:space="preserve">: PINP </w:t>
                      </w:r>
                      <w:r>
                        <w:rPr>
                          <w:rFonts w:ascii="Arial" w:hAnsi="Arial" w:cs="Arial"/>
                          <w:b w:val="0"/>
                          <w:color w:val="auto"/>
                        </w:rPr>
                        <w:t xml:space="preserve">(ng/ml) </w:t>
                      </w:r>
                      <w:r w:rsidRPr="00693CA2">
                        <w:rPr>
                          <w:rFonts w:ascii="Arial" w:hAnsi="Arial" w:cs="Arial"/>
                          <w:b w:val="0"/>
                          <w:color w:val="auto"/>
                        </w:rPr>
                        <w:t>method comparison</w:t>
                      </w:r>
                      <w:r>
                        <w:rPr>
                          <w:rFonts w:ascii="Arial" w:hAnsi="Arial" w:cs="Arial"/>
                          <w:b w:val="0"/>
                          <w:color w:val="auto"/>
                        </w:rPr>
                        <w:t xml:space="preserve"> analyses</w:t>
                      </w:r>
                      <w:r w:rsidRPr="00693CA2">
                        <w:rPr>
                          <w:rFonts w:ascii="Arial" w:hAnsi="Arial" w:cs="Arial"/>
                          <w:b w:val="0"/>
                          <w:color w:val="auto"/>
                        </w:rPr>
                        <w:t xml:space="preserve"> using Bland-Altman (left) and Passing and Bablok regression (right)</w:t>
                      </w:r>
                      <w:bookmarkEnd w:id="100"/>
                      <w:bookmarkEnd w:id="101"/>
                      <w:bookmarkEnd w:id="102"/>
                    </w:p>
                  </w:txbxContent>
                </v:textbox>
              </v:shape>
            </w:pict>
          </mc:Fallback>
        </mc:AlternateContent>
      </w:r>
      <w:r>
        <w:rPr>
          <w:noProof/>
          <w:lang w:eastAsia="zh-CN"/>
        </w:rPr>
        <w:drawing>
          <wp:inline distT="0" distB="0" distL="0" distR="0" wp14:anchorId="1213CDDE" wp14:editId="1CCD81B0">
            <wp:extent cx="2667000" cy="1996965"/>
            <wp:effectExtent l="0" t="0" r="0" b="3810"/>
            <wp:docPr id="18657" name="Picture 1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69696" cy="1998984"/>
                    </a:xfrm>
                    <a:prstGeom prst="rect">
                      <a:avLst/>
                    </a:prstGeom>
                    <a:noFill/>
                  </pic:spPr>
                </pic:pic>
              </a:graphicData>
            </a:graphic>
          </wp:inline>
        </w:drawing>
      </w:r>
      <w:r>
        <w:rPr>
          <w:noProof/>
          <w:lang w:eastAsia="zh-CN"/>
        </w:rPr>
        <w:drawing>
          <wp:inline distT="0" distB="0" distL="0" distR="0" wp14:anchorId="12F4EDB8" wp14:editId="595068D6">
            <wp:extent cx="2703707" cy="1833245"/>
            <wp:effectExtent l="0" t="0" r="1905" b="0"/>
            <wp:docPr id="18658" name="Picture 1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2478" cy="1873095"/>
                    </a:xfrm>
                    <a:prstGeom prst="rect">
                      <a:avLst/>
                    </a:prstGeom>
                    <a:noFill/>
                  </pic:spPr>
                </pic:pic>
              </a:graphicData>
            </a:graphic>
          </wp:inline>
        </w:drawing>
      </w:r>
    </w:p>
    <w:p w:rsidR="00743B61" w:rsidRPr="00452AEA" w:rsidRDefault="00743B61" w:rsidP="00900F2C">
      <w:pPr>
        <w:spacing w:line="360" w:lineRule="auto"/>
        <w:rPr>
          <w:rFonts w:ascii="Arial" w:hAnsi="Arial" w:cs="Arial"/>
        </w:rPr>
      </w:pPr>
    </w:p>
    <w:p w:rsidR="006958E2" w:rsidRPr="00452AEA" w:rsidRDefault="00230DA3" w:rsidP="003B725E">
      <w:pPr>
        <w:spacing w:line="360" w:lineRule="auto"/>
        <w:jc w:val="both"/>
        <w:rPr>
          <w:rFonts w:ascii="Arial" w:hAnsi="Arial" w:cs="Arial"/>
        </w:rPr>
      </w:pPr>
      <w:r w:rsidRPr="00452AEA">
        <w:rPr>
          <w:rFonts w:ascii="Arial" w:hAnsi="Arial" w:cs="Arial"/>
        </w:rPr>
        <w:t xml:space="preserve">PINP measured by the IDS-iSYS </w:t>
      </w:r>
      <w:r w:rsidR="00034691" w:rsidRPr="00452AEA">
        <w:rPr>
          <w:rFonts w:ascii="Arial" w:hAnsi="Arial" w:cs="Arial"/>
        </w:rPr>
        <w:t>was significantly lower compared to the PINP measured by</w:t>
      </w:r>
      <w:r w:rsidRPr="00452AEA">
        <w:rPr>
          <w:rFonts w:ascii="Arial" w:hAnsi="Arial" w:cs="Arial"/>
        </w:rPr>
        <w:t xml:space="preserve"> </w:t>
      </w:r>
      <w:r w:rsidR="00743B61">
        <w:rPr>
          <w:rFonts w:ascii="Arial" w:hAnsi="Arial" w:cs="Arial"/>
        </w:rPr>
        <w:t xml:space="preserve">the </w:t>
      </w:r>
      <w:r w:rsidRPr="00452AEA">
        <w:rPr>
          <w:rFonts w:ascii="Arial" w:hAnsi="Arial" w:cs="Arial"/>
        </w:rPr>
        <w:t xml:space="preserve">Elecsys 2010 </w:t>
      </w:r>
      <w:r w:rsidR="00504F51" w:rsidRPr="00452AEA">
        <w:rPr>
          <w:rFonts w:ascii="Arial" w:hAnsi="Arial" w:cs="Arial"/>
        </w:rPr>
        <w:t>autoimmunassay analysers.</w:t>
      </w:r>
      <w:r w:rsidR="006958E2" w:rsidRPr="00452AEA">
        <w:rPr>
          <w:rFonts w:ascii="Arial" w:hAnsi="Arial" w:cs="Arial"/>
        </w:rPr>
        <w:t xml:space="preserve"> This may be due to the difference in the methodology used i.e. sandwich CLIA using an acridinium labelled monoclonal antibody compared the two-step sandwich Electrochemical CLIA using a ruthenium labelled monoclonal antibody. The IDS-iSYS detects the trimeric fragments only of PINP whereas the Elecsys 2010 detects the trimeric and the monomeric fragments (total) of PINP. In addition renal impairment was </w:t>
      </w:r>
      <w:r w:rsidR="00155321">
        <w:rPr>
          <w:rFonts w:ascii="Arial" w:hAnsi="Arial" w:cs="Arial"/>
        </w:rPr>
        <w:t xml:space="preserve">later </w:t>
      </w:r>
      <w:r w:rsidR="006958E2" w:rsidRPr="00452AEA">
        <w:rPr>
          <w:rFonts w:ascii="Arial" w:hAnsi="Arial" w:cs="Arial"/>
        </w:rPr>
        <w:t>observ</w:t>
      </w:r>
      <w:r w:rsidR="00DB38BA" w:rsidRPr="00452AEA">
        <w:rPr>
          <w:rFonts w:ascii="Arial" w:hAnsi="Arial" w:cs="Arial"/>
        </w:rPr>
        <w:t xml:space="preserve">ed in some of these participants. Clearance of the monomeric fragment is dependent on renal function and thus making the interpretation of the total PINP difficult in this patient group because there is a non-linear effect </w:t>
      </w:r>
      <w:r w:rsidR="00A732CB">
        <w:rPr>
          <w:rFonts w:ascii="Arial" w:hAnsi="Arial" w:cs="Arial"/>
        </w:rPr>
        <w:fldChar w:fldCharType="begin">
          <w:fldData xml:space="preserve">PEVuZE5vdGU+PENpdGU+PEF1dGhvcj5BbHZhcmV6PC9BdXRob3I+PFllYXI+MjAwNDwvWWVhcj48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=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PEVuZE5vdGU+PENpdGU+PEF1dGhvcj5BbHZhcmV6PC9BdXRob3I+PFllYXI+MjAwNDwvWWVhcj48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=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A732CB">
        <w:rPr>
          <w:rFonts w:ascii="Arial" w:hAnsi="Arial" w:cs="Arial"/>
        </w:rPr>
      </w:r>
      <w:r w:rsidR="00A732CB">
        <w:rPr>
          <w:rFonts w:ascii="Arial" w:hAnsi="Arial" w:cs="Arial"/>
        </w:rPr>
        <w:fldChar w:fldCharType="separate"/>
      </w:r>
      <w:r w:rsidR="00B64C0F">
        <w:rPr>
          <w:rFonts w:ascii="Arial" w:hAnsi="Arial" w:cs="Arial"/>
          <w:noProof/>
        </w:rPr>
        <w:t>(</w:t>
      </w:r>
      <w:hyperlink w:anchor="_ENREF_345" w:tooltip="Alvarez, 2004 #217" w:history="1">
        <w:r w:rsidR="003B725E">
          <w:rPr>
            <w:rFonts w:ascii="Arial" w:hAnsi="Arial" w:cs="Arial"/>
            <w:noProof/>
          </w:rPr>
          <w:t>345</w:t>
        </w:r>
      </w:hyperlink>
      <w:r w:rsidR="00B64C0F">
        <w:rPr>
          <w:rFonts w:ascii="Arial" w:hAnsi="Arial" w:cs="Arial"/>
          <w:noProof/>
        </w:rPr>
        <w:t>)</w:t>
      </w:r>
      <w:r w:rsidR="00A732CB">
        <w:rPr>
          <w:rFonts w:ascii="Arial" w:hAnsi="Arial" w:cs="Arial"/>
        </w:rPr>
        <w:fldChar w:fldCharType="end"/>
      </w:r>
      <w:r w:rsidR="00DB38BA" w:rsidRPr="00452AEA">
        <w:rPr>
          <w:rFonts w:ascii="Arial" w:hAnsi="Arial" w:cs="Arial"/>
        </w:rPr>
        <w:t xml:space="preserve"> </w:t>
      </w:r>
    </w:p>
    <w:p w:rsidR="00230DA3" w:rsidRPr="00743B61" w:rsidRDefault="00DB38BA" w:rsidP="003E6719">
      <w:pPr>
        <w:spacing w:line="360" w:lineRule="auto"/>
        <w:jc w:val="both"/>
        <w:rPr>
          <w:rFonts w:ascii="Arial" w:hAnsi="Arial" w:cs="Arial"/>
        </w:rPr>
      </w:pPr>
      <w:r w:rsidRPr="00452AEA">
        <w:rPr>
          <w:rFonts w:ascii="Arial" w:hAnsi="Arial" w:cs="Arial"/>
        </w:rPr>
        <w:t xml:space="preserve">For the remainder of my thesis </w:t>
      </w:r>
      <w:r w:rsidR="008F1517" w:rsidRPr="00452AEA">
        <w:rPr>
          <w:rFonts w:ascii="Arial" w:hAnsi="Arial" w:cs="Arial"/>
        </w:rPr>
        <w:t xml:space="preserve">I have measured </w:t>
      </w:r>
      <w:r w:rsidRPr="00452AEA">
        <w:rPr>
          <w:rFonts w:ascii="Arial" w:hAnsi="Arial" w:cs="Arial"/>
        </w:rPr>
        <w:t xml:space="preserve">the intact trimeric form of PINP using </w:t>
      </w:r>
      <w:r w:rsidR="008F1517" w:rsidRPr="00452AEA">
        <w:rPr>
          <w:rFonts w:ascii="Arial" w:hAnsi="Arial" w:cs="Arial"/>
        </w:rPr>
        <w:t>the IDS-iSYS</w:t>
      </w:r>
      <w:r w:rsidR="0084343F" w:rsidRPr="00452AEA">
        <w:rPr>
          <w:rFonts w:ascii="Arial" w:hAnsi="Arial" w:cs="Arial"/>
        </w:rPr>
        <w:t xml:space="preserve"> autoimmunoassay analyser</w:t>
      </w:r>
      <w:r w:rsidR="008F1517" w:rsidRPr="00452AEA">
        <w:rPr>
          <w:rFonts w:ascii="Arial" w:hAnsi="Arial" w:cs="Arial"/>
        </w:rPr>
        <w:t>.</w:t>
      </w:r>
    </w:p>
    <w:p w:rsidR="00465CE1" w:rsidRDefault="00465CE1" w:rsidP="003E6719">
      <w:pPr>
        <w:pStyle w:val="Heading4"/>
        <w:jc w:val="both"/>
      </w:pPr>
      <w:r>
        <w:lastRenderedPageBreak/>
        <w:t>CTX assay procedure</w:t>
      </w:r>
    </w:p>
    <w:p w:rsidR="00EC718C" w:rsidRDefault="00465CE1" w:rsidP="003E6719">
      <w:pPr>
        <w:spacing w:line="360" w:lineRule="auto"/>
        <w:jc w:val="both"/>
        <w:rPr>
          <w:rFonts w:ascii="Arial" w:hAnsi="Arial" w:cs="Arial"/>
        </w:rPr>
      </w:pPr>
      <w:r w:rsidRPr="00452AEA">
        <w:rPr>
          <w:rFonts w:ascii="Arial" w:hAnsi="Arial" w:cs="Arial"/>
        </w:rPr>
        <w:t>CTX-I (CrossLaps®) was measured in serum using the IDS-iSYS CLIA technology, (appendices 1.1: kit insert). All reagents, calibrators and quality control material are supplied by the manufac</w:t>
      </w:r>
      <w:r w:rsidR="00EC47CA" w:rsidRPr="00452AEA">
        <w:rPr>
          <w:rFonts w:ascii="Arial" w:hAnsi="Arial" w:cs="Arial"/>
        </w:rPr>
        <w:t>turer and ready to use. The CTX-I</w:t>
      </w:r>
      <w:r w:rsidRPr="00452AEA">
        <w:rPr>
          <w:rFonts w:ascii="Arial" w:hAnsi="Arial" w:cs="Arial"/>
        </w:rPr>
        <w:t xml:space="preserve"> reagent cartridge is mixed in order to homogenise the streptavidin labelled magnetic particles, before loading on to the analys</w:t>
      </w:r>
      <w:r w:rsidR="00EC47CA" w:rsidRPr="00452AEA">
        <w:rPr>
          <w:rFonts w:ascii="Arial" w:hAnsi="Arial" w:cs="Arial"/>
        </w:rPr>
        <w:t>er where mixing will continue.</w:t>
      </w:r>
    </w:p>
    <w:p w:rsidR="00EC718C" w:rsidRDefault="00EC47CA" w:rsidP="003E6719">
      <w:pPr>
        <w:pStyle w:val="ListParagraph"/>
        <w:numPr>
          <w:ilvl w:val="0"/>
          <w:numId w:val="31"/>
        </w:numPr>
        <w:spacing w:line="360" w:lineRule="auto"/>
        <w:jc w:val="both"/>
        <w:rPr>
          <w:rFonts w:ascii="Arial" w:hAnsi="Arial" w:cs="Arial"/>
        </w:rPr>
      </w:pPr>
      <w:r w:rsidRPr="00EC718C">
        <w:rPr>
          <w:rFonts w:ascii="Arial" w:hAnsi="Arial" w:cs="Arial"/>
        </w:rPr>
        <w:t>4</w:t>
      </w:r>
      <w:r w:rsidR="00465CE1" w:rsidRPr="00EC718C">
        <w:rPr>
          <w:rFonts w:ascii="Arial" w:hAnsi="Arial" w:cs="Arial"/>
        </w:rPr>
        <w:t>00µl of each calibrators, quality control samples and serum</w:t>
      </w:r>
      <w:r w:rsidRPr="00EC718C">
        <w:rPr>
          <w:rFonts w:ascii="Arial" w:hAnsi="Arial" w:cs="Arial"/>
        </w:rPr>
        <w:t xml:space="preserve"> were loaded on to the analyser. </w:t>
      </w:r>
    </w:p>
    <w:p w:rsidR="00EC718C" w:rsidRDefault="00465CE1" w:rsidP="003E6719">
      <w:pPr>
        <w:pStyle w:val="ListParagraph"/>
        <w:numPr>
          <w:ilvl w:val="0"/>
          <w:numId w:val="31"/>
        </w:numPr>
        <w:spacing w:line="360" w:lineRule="auto"/>
        <w:jc w:val="both"/>
        <w:rPr>
          <w:rFonts w:ascii="Arial" w:hAnsi="Arial" w:cs="Arial"/>
        </w:rPr>
      </w:pPr>
      <w:r w:rsidRPr="00EC718C">
        <w:rPr>
          <w:rFonts w:ascii="Arial" w:hAnsi="Arial" w:cs="Arial"/>
        </w:rPr>
        <w:t>These samples were incubated with:</w:t>
      </w:r>
    </w:p>
    <w:p w:rsidR="00EC718C" w:rsidRDefault="00EC718C" w:rsidP="003E6719">
      <w:pPr>
        <w:pStyle w:val="ListParagraph"/>
        <w:numPr>
          <w:ilvl w:val="1"/>
          <w:numId w:val="30"/>
        </w:numPr>
        <w:spacing w:line="360" w:lineRule="auto"/>
        <w:jc w:val="both"/>
        <w:rPr>
          <w:rFonts w:ascii="Arial" w:hAnsi="Arial" w:cs="Arial"/>
        </w:rPr>
      </w:pPr>
      <w:r>
        <w:rPr>
          <w:rFonts w:ascii="Arial" w:hAnsi="Arial" w:cs="Arial"/>
        </w:rPr>
        <w:t xml:space="preserve">An </w:t>
      </w:r>
      <w:r w:rsidRPr="00EC718C">
        <w:rPr>
          <w:rFonts w:ascii="Arial" w:hAnsi="Arial" w:cs="Arial"/>
        </w:rPr>
        <w:t>anti-CTX monoclonal antibody labelled with biotin</w:t>
      </w:r>
      <w:r>
        <w:rPr>
          <w:rFonts w:ascii="Arial" w:hAnsi="Arial" w:cs="Arial"/>
        </w:rPr>
        <w:t xml:space="preserve"> contai</w:t>
      </w:r>
      <w:r w:rsidR="00F83FA9">
        <w:rPr>
          <w:rFonts w:ascii="Arial" w:hAnsi="Arial" w:cs="Arial"/>
        </w:rPr>
        <w:t>ning bovine and mouse proteins.</w:t>
      </w:r>
    </w:p>
    <w:p w:rsidR="00EC718C" w:rsidRDefault="000D041E" w:rsidP="003E6719">
      <w:pPr>
        <w:pStyle w:val="ListParagraph"/>
        <w:numPr>
          <w:ilvl w:val="1"/>
          <w:numId w:val="31"/>
        </w:numPr>
        <w:spacing w:line="360" w:lineRule="auto"/>
        <w:jc w:val="both"/>
        <w:rPr>
          <w:rFonts w:ascii="Arial" w:hAnsi="Arial" w:cs="Arial"/>
        </w:rPr>
      </w:pPr>
      <w:r>
        <w:rPr>
          <w:rFonts w:ascii="Arial" w:hAnsi="Arial" w:cs="Arial"/>
        </w:rPr>
        <w:t xml:space="preserve">An anti-CTX monoclonal antibody </w:t>
      </w:r>
      <w:r w:rsidRPr="006C582C">
        <w:rPr>
          <w:rFonts w:ascii="Arial" w:hAnsi="Arial" w:cs="Arial"/>
        </w:rPr>
        <w:t>labelled with an acridi</w:t>
      </w:r>
      <w:r w:rsidR="00DF777C">
        <w:rPr>
          <w:rFonts w:ascii="Arial" w:hAnsi="Arial" w:cs="Arial"/>
        </w:rPr>
        <w:t>ni</w:t>
      </w:r>
      <w:r w:rsidRPr="006C582C">
        <w:rPr>
          <w:rFonts w:ascii="Arial" w:hAnsi="Arial" w:cs="Arial"/>
        </w:rPr>
        <w:t>um est</w:t>
      </w:r>
      <w:r w:rsidR="00DF777C">
        <w:rPr>
          <w:rFonts w:ascii="Arial" w:hAnsi="Arial" w:cs="Arial"/>
        </w:rPr>
        <w:t>er derivative in buffer containing bovine and mouse proteins.</w:t>
      </w:r>
    </w:p>
    <w:p w:rsidR="000D041E" w:rsidRDefault="000D041E" w:rsidP="003E6719">
      <w:pPr>
        <w:pStyle w:val="ListParagraph"/>
        <w:numPr>
          <w:ilvl w:val="1"/>
          <w:numId w:val="31"/>
        </w:numPr>
        <w:spacing w:line="360" w:lineRule="auto"/>
        <w:jc w:val="both"/>
        <w:rPr>
          <w:rFonts w:ascii="Arial" w:hAnsi="Arial" w:cs="Arial"/>
        </w:rPr>
      </w:pPr>
      <w:r>
        <w:rPr>
          <w:rFonts w:ascii="Arial" w:hAnsi="Arial" w:cs="Arial"/>
        </w:rPr>
        <w:t>Both of these antibodies are highly specific to</w:t>
      </w:r>
      <w:r w:rsidRPr="00EC718C">
        <w:rPr>
          <w:rFonts w:ascii="Arial" w:hAnsi="Arial" w:cs="Arial"/>
        </w:rPr>
        <w:t xml:space="preserve"> the β conformation of the CTX fragment EKAHDGGR amino acid sequence (Figure 11)</w:t>
      </w:r>
      <w:r>
        <w:rPr>
          <w:rFonts w:ascii="Arial" w:hAnsi="Arial" w:cs="Arial"/>
        </w:rPr>
        <w:t>.</w:t>
      </w:r>
    </w:p>
    <w:p w:rsidR="000D041E" w:rsidRDefault="000D041E" w:rsidP="003E6719">
      <w:pPr>
        <w:pStyle w:val="ListParagraph"/>
        <w:numPr>
          <w:ilvl w:val="0"/>
          <w:numId w:val="31"/>
        </w:numPr>
        <w:spacing w:line="360" w:lineRule="auto"/>
        <w:jc w:val="both"/>
        <w:rPr>
          <w:rFonts w:ascii="Arial" w:hAnsi="Arial" w:cs="Arial"/>
        </w:rPr>
      </w:pPr>
      <w:r w:rsidRPr="006C582C">
        <w:rPr>
          <w:rFonts w:ascii="Arial" w:hAnsi="Arial" w:cs="Arial"/>
        </w:rPr>
        <w:t xml:space="preserve">A magnet captures the bound </w:t>
      </w:r>
      <w:r>
        <w:rPr>
          <w:rFonts w:ascii="Arial" w:hAnsi="Arial" w:cs="Arial"/>
        </w:rPr>
        <w:t xml:space="preserve">streptavidin coated </w:t>
      </w:r>
      <w:r w:rsidRPr="006C582C">
        <w:rPr>
          <w:rFonts w:ascii="Arial" w:hAnsi="Arial" w:cs="Arial"/>
        </w:rPr>
        <w:t>magnetic particles and following a wash step Trigger reagents are added</w:t>
      </w:r>
    </w:p>
    <w:p w:rsidR="000D041E" w:rsidRDefault="000D041E" w:rsidP="003E6719">
      <w:pPr>
        <w:pStyle w:val="ListParagraph"/>
        <w:numPr>
          <w:ilvl w:val="1"/>
          <w:numId w:val="31"/>
        </w:numPr>
        <w:spacing w:line="360" w:lineRule="auto"/>
        <w:jc w:val="both"/>
        <w:rPr>
          <w:rFonts w:ascii="Arial" w:hAnsi="Arial" w:cs="Arial"/>
        </w:rPr>
      </w:pPr>
      <w:r w:rsidRPr="00EC718C">
        <w:rPr>
          <w:rFonts w:ascii="Arial" w:hAnsi="Arial" w:cs="Arial"/>
        </w:rPr>
        <w:t xml:space="preserve">Trigger </w:t>
      </w:r>
      <w:proofErr w:type="gramStart"/>
      <w:r w:rsidRPr="00EC718C">
        <w:rPr>
          <w:rFonts w:ascii="Arial" w:hAnsi="Arial" w:cs="Arial"/>
        </w:rPr>
        <w:t>A</w:t>
      </w:r>
      <w:proofErr w:type="gramEnd"/>
      <w:r w:rsidRPr="00EC718C">
        <w:rPr>
          <w:rFonts w:ascii="Arial" w:hAnsi="Arial" w:cs="Arial"/>
        </w:rPr>
        <w:t xml:space="preserve"> (H</w:t>
      </w:r>
      <w:r w:rsidRPr="00EC718C">
        <w:rPr>
          <w:rFonts w:ascii="Arial" w:hAnsi="Arial" w:cs="Arial"/>
          <w:vertAlign w:val="subscript"/>
        </w:rPr>
        <w:t>2</w:t>
      </w:r>
      <w:r w:rsidRPr="00EC718C">
        <w:rPr>
          <w:rFonts w:ascii="Arial" w:hAnsi="Arial" w:cs="Arial"/>
        </w:rPr>
        <w:t>O</w:t>
      </w:r>
      <w:r w:rsidRPr="00EC718C">
        <w:rPr>
          <w:rFonts w:ascii="Arial" w:hAnsi="Arial" w:cs="Arial"/>
          <w:vertAlign w:val="subscript"/>
        </w:rPr>
        <w:t>2</w:t>
      </w:r>
      <w:r w:rsidR="00DF777C">
        <w:rPr>
          <w:rFonts w:ascii="Arial" w:hAnsi="Arial" w:cs="Arial"/>
        </w:rPr>
        <w:t>) oxides the reagents</w:t>
      </w:r>
      <w:r w:rsidRPr="00EC718C">
        <w:rPr>
          <w:rFonts w:ascii="Arial" w:hAnsi="Arial" w:cs="Arial"/>
        </w:rPr>
        <w:t xml:space="preserve"> and Trigger </w:t>
      </w:r>
      <w:r>
        <w:rPr>
          <w:rFonts w:ascii="Arial" w:hAnsi="Arial" w:cs="Arial"/>
        </w:rPr>
        <w:t>B (NaOH) stabilises it, causing</w:t>
      </w:r>
      <w:r w:rsidRPr="00EC718C">
        <w:rPr>
          <w:rFonts w:ascii="Arial" w:hAnsi="Arial" w:cs="Arial"/>
        </w:rPr>
        <w:t xml:space="preserve"> photons to be released by the acridinium label</w:t>
      </w:r>
      <w:r>
        <w:rPr>
          <w:rFonts w:ascii="Arial" w:hAnsi="Arial" w:cs="Arial"/>
        </w:rPr>
        <w:t>.</w:t>
      </w:r>
    </w:p>
    <w:p w:rsidR="000D041E" w:rsidRPr="00EC718C" w:rsidRDefault="000D041E" w:rsidP="003E6719">
      <w:pPr>
        <w:pStyle w:val="ListParagraph"/>
        <w:numPr>
          <w:ilvl w:val="1"/>
          <w:numId w:val="31"/>
        </w:numPr>
        <w:spacing w:line="360" w:lineRule="auto"/>
        <w:jc w:val="both"/>
        <w:rPr>
          <w:rFonts w:ascii="Arial" w:hAnsi="Arial" w:cs="Arial"/>
        </w:rPr>
      </w:pPr>
      <w:r>
        <w:rPr>
          <w:rFonts w:ascii="Arial" w:hAnsi="Arial" w:cs="Arial"/>
        </w:rPr>
        <w:t>T</w:t>
      </w:r>
      <w:r w:rsidRPr="00EC718C">
        <w:rPr>
          <w:rFonts w:ascii="Arial" w:hAnsi="Arial" w:cs="Arial"/>
        </w:rPr>
        <w:t xml:space="preserve">he resulting light emitted </w:t>
      </w:r>
      <w:r>
        <w:rPr>
          <w:rFonts w:ascii="Arial" w:hAnsi="Arial" w:cs="Arial"/>
        </w:rPr>
        <w:t xml:space="preserve">and detected by the luminometer </w:t>
      </w:r>
      <w:r w:rsidRPr="00EC718C">
        <w:rPr>
          <w:rFonts w:ascii="Arial" w:hAnsi="Arial" w:cs="Arial"/>
        </w:rPr>
        <w:t xml:space="preserve">is directly proportional to the concentration of osteocalcin in the control materials and the participants’ serum. </w:t>
      </w:r>
    </w:p>
    <w:p w:rsidR="00CE2B71" w:rsidRPr="00452AEA" w:rsidRDefault="00F65835" w:rsidP="003E6719">
      <w:pPr>
        <w:spacing w:line="360" w:lineRule="auto"/>
        <w:jc w:val="both"/>
        <w:rPr>
          <w:rFonts w:ascii="Arial" w:hAnsi="Arial" w:cs="Arial"/>
        </w:rPr>
      </w:pPr>
      <w:r w:rsidRPr="00452AEA">
        <w:rPr>
          <w:rFonts w:ascii="Arial" w:hAnsi="Arial" w:cs="Arial"/>
        </w:rPr>
        <w:t>Prior to the analysis of the human serum test samples t</w:t>
      </w:r>
      <w:r w:rsidR="007318F8" w:rsidRPr="00452AEA">
        <w:rPr>
          <w:rFonts w:ascii="Arial" w:hAnsi="Arial" w:cs="Arial"/>
        </w:rPr>
        <w:t xml:space="preserve">he two CTX calibrators were measured in triplicate and used to adjust the master standard curve. This was required </w:t>
      </w:r>
      <w:r w:rsidRPr="00452AEA">
        <w:rPr>
          <w:rFonts w:ascii="Arial" w:hAnsi="Arial" w:cs="Arial"/>
        </w:rPr>
        <w:t xml:space="preserve">to </w:t>
      </w:r>
      <w:r w:rsidR="007318F8" w:rsidRPr="00452AEA">
        <w:rPr>
          <w:rFonts w:ascii="Arial" w:hAnsi="Arial" w:cs="Arial"/>
        </w:rPr>
        <w:t xml:space="preserve">produce a 4-parameter logistic curve fit </w:t>
      </w:r>
      <w:r w:rsidR="00426FB4">
        <w:rPr>
          <w:rFonts w:ascii="Arial" w:hAnsi="Arial" w:cs="Arial"/>
        </w:rPr>
        <w:t>(y = (A-D)</w:t>
      </w:r>
      <w:proofErr w:type="gramStart"/>
      <w:r w:rsidR="00426FB4">
        <w:rPr>
          <w:rFonts w:ascii="Arial" w:hAnsi="Arial" w:cs="Arial"/>
        </w:rPr>
        <w:t>/(</w:t>
      </w:r>
      <w:proofErr w:type="gramEnd"/>
      <w:r w:rsidR="00426FB4">
        <w:rPr>
          <w:rFonts w:ascii="Arial" w:hAnsi="Arial" w:cs="Arial"/>
        </w:rPr>
        <w:t>1+(x/C)</w:t>
      </w:r>
      <w:r w:rsidR="00426FB4">
        <w:rPr>
          <w:rFonts w:ascii="Arial" w:hAnsi="Arial" w:cs="Arial"/>
          <w:vertAlign w:val="superscript"/>
        </w:rPr>
        <w:t>B</w:t>
      </w:r>
      <w:r w:rsidR="00426FB4">
        <w:rPr>
          <w:rFonts w:ascii="Arial" w:hAnsi="Arial" w:cs="Arial"/>
        </w:rPr>
        <w:t xml:space="preserve">)+D) </w:t>
      </w:r>
      <w:r w:rsidR="007318F8" w:rsidRPr="00452AEA">
        <w:rPr>
          <w:rFonts w:ascii="Arial" w:hAnsi="Arial" w:cs="Arial"/>
        </w:rPr>
        <w:t>from which the CTX</w:t>
      </w:r>
      <w:r w:rsidRPr="00452AEA">
        <w:rPr>
          <w:rFonts w:ascii="Arial" w:hAnsi="Arial" w:cs="Arial"/>
        </w:rPr>
        <w:t xml:space="preserve"> concentration was </w:t>
      </w:r>
      <w:r w:rsidR="007318F8" w:rsidRPr="00452AEA">
        <w:rPr>
          <w:rFonts w:ascii="Arial" w:hAnsi="Arial" w:cs="Arial"/>
        </w:rPr>
        <w:t>calculated</w:t>
      </w:r>
      <w:r w:rsidR="00C13464">
        <w:rPr>
          <w:rFonts w:ascii="Arial" w:hAnsi="Arial" w:cs="Arial"/>
        </w:rPr>
        <w:t>, (Figure 22</w:t>
      </w:r>
      <w:r w:rsidR="007318F8" w:rsidRPr="00452AEA">
        <w:rPr>
          <w:rFonts w:ascii="Arial" w:hAnsi="Arial" w:cs="Arial"/>
        </w:rPr>
        <w:t>). Three quality control samples of different CTX concentrations (low, medium and high) were then each measured in duplicate and plotted on the standard curve to ensure accuracy</w:t>
      </w:r>
      <w:r w:rsidR="00035813">
        <w:rPr>
          <w:rFonts w:ascii="Arial" w:hAnsi="Arial" w:cs="Arial"/>
        </w:rPr>
        <w:t>,</w:t>
      </w:r>
      <w:r w:rsidR="007318F8" w:rsidRPr="00452AEA">
        <w:rPr>
          <w:rFonts w:ascii="Arial" w:hAnsi="Arial" w:cs="Arial"/>
        </w:rPr>
        <w:t xml:space="preserve"> (Figure </w:t>
      </w:r>
      <w:r w:rsidR="0040369A">
        <w:rPr>
          <w:rFonts w:ascii="Arial" w:hAnsi="Arial" w:cs="Arial"/>
        </w:rPr>
        <w:t>22</w:t>
      </w:r>
      <w:r w:rsidR="007318F8" w:rsidRPr="00452AEA">
        <w:rPr>
          <w:rFonts w:ascii="Arial" w:hAnsi="Arial" w:cs="Arial"/>
        </w:rPr>
        <w:t>).</w:t>
      </w:r>
    </w:p>
    <w:p w:rsidR="00B34AE1" w:rsidRDefault="00AB4E97" w:rsidP="003E6719">
      <w:pPr>
        <w:jc w:val="center"/>
      </w:pPr>
      <w:r>
        <w:rPr>
          <w:noProof/>
          <w:lang w:eastAsia="zh-CN"/>
        </w:rPr>
        <mc:AlternateContent>
          <mc:Choice Requires="wps">
            <w:drawing>
              <wp:anchor distT="0" distB="0" distL="114300" distR="114300" simplePos="0" relativeHeight="252523008" behindDoc="0" locked="0" layoutInCell="1" allowOverlap="1" wp14:anchorId="7CD2AE08" wp14:editId="396B765F">
                <wp:simplePos x="0" y="0"/>
                <wp:positionH relativeFrom="column">
                  <wp:posOffset>-68580</wp:posOffset>
                </wp:positionH>
                <wp:positionV relativeFrom="paragraph">
                  <wp:posOffset>2215832</wp:posOffset>
                </wp:positionV>
                <wp:extent cx="5925820" cy="267335"/>
                <wp:effectExtent l="0" t="0" r="0" b="0"/>
                <wp:wrapNone/>
                <wp:docPr id="18633" name="Text Box 18633"/>
                <wp:cNvGraphicFramePr/>
                <a:graphic xmlns:a="http://schemas.openxmlformats.org/drawingml/2006/main">
                  <a:graphicData uri="http://schemas.microsoft.com/office/word/2010/wordprocessingShape">
                    <wps:wsp>
                      <wps:cNvSpPr txBox="1"/>
                      <wps:spPr>
                        <a:xfrm>
                          <a:off x="0" y="0"/>
                          <a:ext cx="5925820" cy="267335"/>
                        </a:xfrm>
                        <a:prstGeom prst="rect">
                          <a:avLst/>
                        </a:prstGeom>
                        <a:solidFill>
                          <a:prstClr val="white"/>
                        </a:solidFill>
                        <a:ln>
                          <a:noFill/>
                        </a:ln>
                        <a:effectLst/>
                      </wps:spPr>
                      <wps:txbx>
                        <w:txbxContent>
                          <w:p w:rsidR="004166BC" w:rsidRPr="00ED0D0F" w:rsidRDefault="004166BC" w:rsidP="003E6719">
                            <w:pPr>
                              <w:pStyle w:val="Caption"/>
                              <w:jc w:val="both"/>
                              <w:rPr>
                                <w:rFonts w:ascii="Arial" w:hAnsi="Arial" w:cs="Arial"/>
                                <w:b w:val="0"/>
                                <w:color w:val="auto"/>
                              </w:rPr>
                            </w:pPr>
                            <w:bookmarkStart w:id="76" w:name="_Toc422736063"/>
                            <w:bookmarkStart w:id="77" w:name="_Toc422736171"/>
                            <w:bookmarkStart w:id="78" w:name="_Toc425419506"/>
                            <w:r w:rsidRPr="00ED0D0F">
                              <w:rPr>
                                <w:rFonts w:ascii="Arial" w:hAnsi="Arial" w:cs="Arial"/>
                                <w:b w:val="0"/>
                                <w:color w:val="auto"/>
                              </w:rPr>
                              <w:t xml:space="preserve">Figure </w:t>
                            </w:r>
                            <w:r w:rsidRPr="00ED0D0F">
                              <w:rPr>
                                <w:rFonts w:ascii="Arial" w:hAnsi="Arial" w:cs="Arial"/>
                                <w:b w:val="0"/>
                                <w:color w:val="auto"/>
                              </w:rPr>
                              <w:fldChar w:fldCharType="begin"/>
                            </w:r>
                            <w:r w:rsidRPr="00ED0D0F">
                              <w:rPr>
                                <w:rFonts w:ascii="Arial" w:hAnsi="Arial" w:cs="Arial"/>
                                <w:b w:val="0"/>
                                <w:color w:val="auto"/>
                              </w:rPr>
                              <w:instrText xml:space="preserve"> SEQ Figure \* ARABIC </w:instrText>
                            </w:r>
                            <w:r w:rsidRPr="00ED0D0F">
                              <w:rPr>
                                <w:rFonts w:ascii="Arial" w:hAnsi="Arial" w:cs="Arial"/>
                                <w:b w:val="0"/>
                                <w:color w:val="auto"/>
                              </w:rPr>
                              <w:fldChar w:fldCharType="separate"/>
                            </w:r>
                            <w:r>
                              <w:rPr>
                                <w:rFonts w:ascii="Arial" w:hAnsi="Arial" w:cs="Arial"/>
                                <w:b w:val="0"/>
                                <w:noProof/>
                                <w:color w:val="auto"/>
                              </w:rPr>
                              <w:t>22</w:t>
                            </w:r>
                            <w:r w:rsidRPr="00ED0D0F">
                              <w:rPr>
                                <w:rFonts w:ascii="Arial" w:hAnsi="Arial" w:cs="Arial"/>
                                <w:b w:val="0"/>
                                <w:color w:val="auto"/>
                              </w:rPr>
                              <w:fldChar w:fldCharType="end"/>
                            </w:r>
                            <w:r>
                              <w:rPr>
                                <w:rFonts w:ascii="Arial" w:hAnsi="Arial" w:cs="Arial"/>
                                <w:b w:val="0"/>
                                <w:color w:val="auto"/>
                              </w:rPr>
                              <w:t>: IDS-iSYS CTX-1</w:t>
                            </w:r>
                            <w:r w:rsidRPr="00ED0D0F">
                              <w:rPr>
                                <w:rFonts w:ascii="Arial" w:hAnsi="Arial" w:cs="Arial"/>
                                <w:b w:val="0"/>
                                <w:color w:val="auto"/>
                              </w:rPr>
                              <w:t xml:space="preserve"> calibration curve (left) and with the addition of the </w:t>
                            </w:r>
                            <w:r>
                              <w:rPr>
                                <w:rFonts w:ascii="Arial" w:hAnsi="Arial" w:cs="Arial"/>
                                <w:b w:val="0"/>
                                <w:color w:val="auto"/>
                              </w:rPr>
                              <w:t xml:space="preserve">values of the </w:t>
                            </w:r>
                            <w:r w:rsidRPr="00ED0D0F">
                              <w:rPr>
                                <w:rFonts w:ascii="Arial" w:hAnsi="Arial" w:cs="Arial"/>
                                <w:b w:val="0"/>
                                <w:color w:val="auto"/>
                              </w:rPr>
                              <w:t>quality control materials</w:t>
                            </w:r>
                            <w:r>
                              <w:rPr>
                                <w:rFonts w:ascii="Arial" w:hAnsi="Arial" w:cs="Arial"/>
                                <w:b w:val="0"/>
                                <w:color w:val="auto"/>
                              </w:rPr>
                              <w:t xml:space="preserve"> shown in pink shapes and the acceptable RLU range for each</w:t>
                            </w:r>
                            <w:r w:rsidRPr="00ED0D0F">
                              <w:rPr>
                                <w:rFonts w:ascii="Arial" w:hAnsi="Arial" w:cs="Arial"/>
                                <w:b w:val="0"/>
                                <w:color w:val="auto"/>
                              </w:rPr>
                              <w:t xml:space="preserve"> (right)</w:t>
                            </w:r>
                            <w:bookmarkEnd w:id="76"/>
                            <w:bookmarkEnd w:id="77"/>
                            <w:bookmarkEnd w:id="78"/>
                          </w:p>
                          <w:p w:rsidR="004166BC" w:rsidRPr="00ED0D0F" w:rsidRDefault="004166BC" w:rsidP="003E6719">
                            <w:pPr>
                              <w:pStyle w:val="Caption"/>
                              <w:jc w:val="both"/>
                              <w:rPr>
                                <w:rFonts w:ascii="Arial" w:hAnsi="Arial" w:cs="Arial"/>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D2AE08" id="Text Box 18633" o:spid="_x0000_s1130" type="#_x0000_t202" style="position:absolute;left:0;text-align:left;margin-left:-5.4pt;margin-top:174.45pt;width:466.6pt;height:21.05pt;z-index:25252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" stroked="f">
                <v:textbox inset="0,0,0,0">
                  <w:txbxContent>
                    <w:p w:rsidR="004166BC" w:rsidRPr="00ED0D0F" w:rsidRDefault="004166BC" w:rsidP="003E6719">
                      <w:pPr>
                        <w:pStyle w:val="Caption"/>
                        <w:jc w:val="both"/>
                        <w:rPr>
                          <w:rFonts w:ascii="Arial" w:hAnsi="Arial" w:cs="Arial"/>
                          <w:b w:val="0"/>
                          <w:color w:val="auto"/>
                        </w:rPr>
                      </w:pPr>
                      <w:bookmarkStart w:id="106" w:name="_Toc422736063"/>
                      <w:bookmarkStart w:id="107" w:name="_Toc422736171"/>
                      <w:bookmarkStart w:id="108" w:name="_Toc425419506"/>
                      <w:r w:rsidRPr="00ED0D0F">
                        <w:rPr>
                          <w:rFonts w:ascii="Arial" w:hAnsi="Arial" w:cs="Arial"/>
                          <w:b w:val="0"/>
                          <w:color w:val="auto"/>
                        </w:rPr>
                        <w:t xml:space="preserve">Figure </w:t>
                      </w:r>
                      <w:r w:rsidRPr="00ED0D0F">
                        <w:rPr>
                          <w:rFonts w:ascii="Arial" w:hAnsi="Arial" w:cs="Arial"/>
                          <w:b w:val="0"/>
                          <w:color w:val="auto"/>
                        </w:rPr>
                        <w:fldChar w:fldCharType="begin"/>
                      </w:r>
                      <w:r w:rsidRPr="00ED0D0F">
                        <w:rPr>
                          <w:rFonts w:ascii="Arial" w:hAnsi="Arial" w:cs="Arial"/>
                          <w:b w:val="0"/>
                          <w:color w:val="auto"/>
                        </w:rPr>
                        <w:instrText xml:space="preserve"> SEQ Figure \* ARABIC </w:instrText>
                      </w:r>
                      <w:r w:rsidRPr="00ED0D0F">
                        <w:rPr>
                          <w:rFonts w:ascii="Arial" w:hAnsi="Arial" w:cs="Arial"/>
                          <w:b w:val="0"/>
                          <w:color w:val="auto"/>
                        </w:rPr>
                        <w:fldChar w:fldCharType="separate"/>
                      </w:r>
                      <w:r>
                        <w:rPr>
                          <w:rFonts w:ascii="Arial" w:hAnsi="Arial" w:cs="Arial"/>
                          <w:b w:val="0"/>
                          <w:noProof/>
                          <w:color w:val="auto"/>
                        </w:rPr>
                        <w:t>22</w:t>
                      </w:r>
                      <w:r w:rsidRPr="00ED0D0F">
                        <w:rPr>
                          <w:rFonts w:ascii="Arial" w:hAnsi="Arial" w:cs="Arial"/>
                          <w:b w:val="0"/>
                          <w:color w:val="auto"/>
                        </w:rPr>
                        <w:fldChar w:fldCharType="end"/>
                      </w:r>
                      <w:r>
                        <w:rPr>
                          <w:rFonts w:ascii="Arial" w:hAnsi="Arial" w:cs="Arial"/>
                          <w:b w:val="0"/>
                          <w:color w:val="auto"/>
                        </w:rPr>
                        <w:t>: IDS-iSYS CTX-1</w:t>
                      </w:r>
                      <w:r w:rsidRPr="00ED0D0F">
                        <w:rPr>
                          <w:rFonts w:ascii="Arial" w:hAnsi="Arial" w:cs="Arial"/>
                          <w:b w:val="0"/>
                          <w:color w:val="auto"/>
                        </w:rPr>
                        <w:t xml:space="preserve"> calibration curve (left) and with the addition of the </w:t>
                      </w:r>
                      <w:r>
                        <w:rPr>
                          <w:rFonts w:ascii="Arial" w:hAnsi="Arial" w:cs="Arial"/>
                          <w:b w:val="0"/>
                          <w:color w:val="auto"/>
                        </w:rPr>
                        <w:t xml:space="preserve">values of the </w:t>
                      </w:r>
                      <w:r w:rsidRPr="00ED0D0F">
                        <w:rPr>
                          <w:rFonts w:ascii="Arial" w:hAnsi="Arial" w:cs="Arial"/>
                          <w:b w:val="0"/>
                          <w:color w:val="auto"/>
                        </w:rPr>
                        <w:t>quality control materials</w:t>
                      </w:r>
                      <w:r>
                        <w:rPr>
                          <w:rFonts w:ascii="Arial" w:hAnsi="Arial" w:cs="Arial"/>
                          <w:b w:val="0"/>
                          <w:color w:val="auto"/>
                        </w:rPr>
                        <w:t xml:space="preserve"> shown in pink shapes and the acceptable RLU range for each</w:t>
                      </w:r>
                      <w:r w:rsidRPr="00ED0D0F">
                        <w:rPr>
                          <w:rFonts w:ascii="Arial" w:hAnsi="Arial" w:cs="Arial"/>
                          <w:b w:val="0"/>
                          <w:color w:val="auto"/>
                        </w:rPr>
                        <w:t xml:space="preserve"> (right)</w:t>
                      </w:r>
                      <w:bookmarkEnd w:id="106"/>
                      <w:bookmarkEnd w:id="107"/>
                      <w:bookmarkEnd w:id="108"/>
                    </w:p>
                    <w:p w:rsidR="004166BC" w:rsidRPr="00ED0D0F" w:rsidRDefault="004166BC" w:rsidP="003E6719">
                      <w:pPr>
                        <w:pStyle w:val="Caption"/>
                        <w:jc w:val="both"/>
                        <w:rPr>
                          <w:rFonts w:ascii="Arial" w:hAnsi="Arial" w:cs="Arial"/>
                          <w:b w:val="0"/>
                          <w:noProof/>
                          <w:color w:val="auto"/>
                        </w:rPr>
                      </w:pPr>
                    </w:p>
                  </w:txbxContent>
                </v:textbox>
              </v:shape>
            </w:pict>
          </mc:Fallback>
        </mc:AlternateContent>
      </w:r>
      <w:r w:rsidR="00ED0D0F" w:rsidRPr="00ED0D0F">
        <w:rPr>
          <w:noProof/>
          <w:lang w:eastAsia="zh-CN"/>
        </w:rPr>
        <w:drawing>
          <wp:inline distT="0" distB="0" distL="0" distR="0" wp14:anchorId="6AA8F1F3" wp14:editId="6E56F681">
            <wp:extent cx="2665361" cy="2133797"/>
            <wp:effectExtent l="0" t="0" r="1905" b="0"/>
            <wp:docPr id="18623" name="Picture 1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33212"/>
                    <a:stretch/>
                  </pic:blipFill>
                  <pic:spPr bwMode="auto">
                    <a:xfrm>
                      <a:off x="0" y="0"/>
                      <a:ext cx="2771989" cy="2219159"/>
                    </a:xfrm>
                    <a:prstGeom prst="rect">
                      <a:avLst/>
                    </a:prstGeom>
                    <a:noFill/>
                    <a:ln>
                      <a:noFill/>
                    </a:ln>
                    <a:extLst>
                      <a:ext uri="{53640926-AAD7-44D8-BBD7-CCE9431645EC}">
                        <a14:shadowObscured xmlns:a14="http://schemas.microsoft.com/office/drawing/2010/main"/>
                      </a:ext>
                    </a:extLst>
                  </pic:spPr>
                </pic:pic>
              </a:graphicData>
            </a:graphic>
          </wp:inline>
        </w:drawing>
      </w:r>
      <w:r w:rsidR="00ED0D0F" w:rsidRPr="00ED0D0F">
        <w:rPr>
          <w:noProof/>
          <w:lang w:eastAsia="zh-CN"/>
        </w:rPr>
        <w:drawing>
          <wp:inline distT="0" distB="0" distL="0" distR="0" wp14:anchorId="193B9D0A" wp14:editId="1F044AF2">
            <wp:extent cx="2499995" cy="2125784"/>
            <wp:effectExtent l="0" t="0" r="0" b="8255"/>
            <wp:docPr id="18625" name="Picture 1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32853"/>
                    <a:stretch/>
                  </pic:blipFill>
                  <pic:spPr bwMode="auto">
                    <a:xfrm>
                      <a:off x="0" y="0"/>
                      <a:ext cx="2589746" cy="2202101"/>
                    </a:xfrm>
                    <a:prstGeom prst="rect">
                      <a:avLst/>
                    </a:prstGeom>
                    <a:noFill/>
                    <a:ln>
                      <a:noFill/>
                    </a:ln>
                    <a:extLst>
                      <a:ext uri="{53640926-AAD7-44D8-BBD7-CCE9431645EC}">
                        <a14:shadowObscured xmlns:a14="http://schemas.microsoft.com/office/drawing/2010/main"/>
                      </a:ext>
                    </a:extLst>
                  </pic:spPr>
                </pic:pic>
              </a:graphicData>
            </a:graphic>
          </wp:inline>
        </w:drawing>
      </w:r>
    </w:p>
    <w:p w:rsidR="00465CE1" w:rsidRDefault="00186C89" w:rsidP="003E6719">
      <w:pPr>
        <w:pStyle w:val="Heading4"/>
        <w:jc w:val="both"/>
      </w:pPr>
      <w:r>
        <w:lastRenderedPageBreak/>
        <w:t>CTX</w:t>
      </w:r>
      <w:r w:rsidR="00465CE1">
        <w:t xml:space="preserve"> assay performance and validation</w:t>
      </w:r>
    </w:p>
    <w:p w:rsidR="00DF777C" w:rsidRDefault="00DF777C" w:rsidP="003E6719">
      <w:pPr>
        <w:spacing w:line="360" w:lineRule="auto"/>
        <w:jc w:val="both"/>
        <w:rPr>
          <w:rFonts w:ascii="Arial" w:hAnsi="Arial" w:cs="Arial"/>
        </w:rPr>
      </w:pPr>
    </w:p>
    <w:p w:rsidR="00504F51" w:rsidRPr="00BC71DE" w:rsidRDefault="00FF4A77" w:rsidP="003E6719">
      <w:pPr>
        <w:spacing w:line="360" w:lineRule="auto"/>
        <w:jc w:val="both"/>
        <w:rPr>
          <w:rFonts w:ascii="Arial" w:hAnsi="Arial" w:cs="Arial"/>
        </w:rPr>
      </w:pPr>
      <w:r>
        <w:rPr>
          <w:rFonts w:ascii="Arial" w:hAnsi="Arial" w:cs="Arial"/>
        </w:rPr>
        <w:t>The performance of the CTX-I</w:t>
      </w:r>
      <w:r w:rsidR="00186C89" w:rsidRPr="00BC71DE">
        <w:rPr>
          <w:rFonts w:ascii="Arial" w:hAnsi="Arial" w:cs="Arial"/>
        </w:rPr>
        <w:t xml:space="preserve"> assay using the iSYS-IDS analyser has previously been validated by IDS. The detection range was 0.033 to 6.000 ng/ml, the detection limit was &lt;0.23</w:t>
      </w:r>
      <w:r w:rsidR="0040473E" w:rsidRPr="00BC71DE">
        <w:rPr>
          <w:rFonts w:ascii="Arial" w:hAnsi="Arial" w:cs="Arial"/>
        </w:rPr>
        <w:t xml:space="preserve"> and there was no hook effect observed</w:t>
      </w:r>
      <w:r w:rsidR="00186C89" w:rsidRPr="00BC71DE">
        <w:rPr>
          <w:rFonts w:ascii="Arial" w:hAnsi="Arial" w:cs="Arial"/>
        </w:rPr>
        <w:t xml:space="preserve">.  </w:t>
      </w:r>
      <w:r w:rsidR="00504F51" w:rsidRPr="00BC71DE">
        <w:rPr>
          <w:rFonts w:ascii="Arial" w:hAnsi="Arial" w:cs="Arial"/>
        </w:rPr>
        <w:t>In order for this assay to give a signal two CTX peptides in the β conformation are required to be cross-linked</w:t>
      </w:r>
      <w:r w:rsidR="00186C89" w:rsidRPr="00BC71DE">
        <w:rPr>
          <w:rFonts w:ascii="Arial" w:hAnsi="Arial" w:cs="Arial"/>
        </w:rPr>
        <w:t>.</w:t>
      </w:r>
      <w:r w:rsidR="00504F51" w:rsidRPr="00BC71DE">
        <w:rPr>
          <w:rFonts w:ascii="Arial" w:hAnsi="Arial" w:cs="Arial"/>
        </w:rPr>
        <w:t xml:space="preserve"> This means that newly synthesised collagen that is in the αCTX form is not detected by this assay and thus it was designed to be specific for mature type I collagen.</w:t>
      </w:r>
      <w:r w:rsidR="00186C89" w:rsidRPr="00BC71DE">
        <w:rPr>
          <w:rFonts w:ascii="Arial" w:hAnsi="Arial" w:cs="Arial"/>
        </w:rPr>
        <w:t xml:space="preserve"> </w:t>
      </w:r>
    </w:p>
    <w:p w:rsidR="00186C89" w:rsidRPr="00BC71DE" w:rsidRDefault="00186C89" w:rsidP="003E6719">
      <w:pPr>
        <w:spacing w:line="360" w:lineRule="auto"/>
        <w:jc w:val="both"/>
        <w:rPr>
          <w:rFonts w:ascii="Arial" w:hAnsi="Arial" w:cs="Arial"/>
        </w:rPr>
      </w:pPr>
      <w:r w:rsidRPr="00BC71DE">
        <w:rPr>
          <w:rFonts w:ascii="Arial" w:hAnsi="Arial" w:cs="Arial"/>
        </w:rPr>
        <w:t>In order to confirm that the performance of the assay is satisfactory in our laboratory environment additional validations were carried out:</w:t>
      </w:r>
    </w:p>
    <w:p w:rsidR="0040473E" w:rsidRDefault="00FF4A77" w:rsidP="003E6719">
      <w:pPr>
        <w:pStyle w:val="Heading4"/>
        <w:jc w:val="both"/>
      </w:pPr>
      <w:r>
        <w:t>CTX</w:t>
      </w:r>
      <w:r w:rsidR="0040473E">
        <w:t xml:space="preserve"> assay precision</w:t>
      </w:r>
    </w:p>
    <w:p w:rsidR="0040473E" w:rsidRPr="00BC71DE" w:rsidRDefault="00865229" w:rsidP="003B725E">
      <w:pPr>
        <w:spacing w:line="360" w:lineRule="auto"/>
        <w:jc w:val="both"/>
        <w:rPr>
          <w:rFonts w:ascii="Arial" w:hAnsi="Arial" w:cs="Arial"/>
        </w:rPr>
      </w:pPr>
      <w:r>
        <w:rPr>
          <w:rFonts w:ascii="Arial" w:hAnsi="Arial" w:cs="Arial"/>
        </w:rPr>
        <w:t>I assessed the</w:t>
      </w:r>
      <w:r w:rsidR="0040473E" w:rsidRPr="00BC71DE">
        <w:rPr>
          <w:rFonts w:ascii="Arial" w:hAnsi="Arial" w:cs="Arial"/>
        </w:rPr>
        <w:t xml:space="preserve"> precision</w:t>
      </w:r>
      <w:r>
        <w:rPr>
          <w:rFonts w:ascii="Arial" w:hAnsi="Arial" w:cs="Arial"/>
        </w:rPr>
        <w:t xml:space="preserve"> of the CTX-I assay</w:t>
      </w:r>
      <w:r w:rsidR="0040473E" w:rsidRPr="00BC71DE">
        <w:rPr>
          <w:rFonts w:ascii="Arial" w:hAnsi="Arial" w:cs="Arial"/>
        </w:rPr>
        <w:t xml:space="preserve"> in accordance with the CLSI </w:t>
      </w:r>
      <w:r w:rsidR="005010B9">
        <w:rPr>
          <w:rFonts w:ascii="Arial" w:hAnsi="Arial" w:cs="Arial"/>
        </w:rPr>
        <w:t>guidelines:</w:t>
      </w:r>
      <w:r w:rsidR="0040473E" w:rsidRPr="00BC71DE">
        <w:rPr>
          <w:rFonts w:ascii="Arial" w:hAnsi="Arial" w:cs="Arial"/>
        </w:rPr>
        <w:t xml:space="preserve"> Evaluation of precision performance of quantita</w:t>
      </w:r>
      <w:r w:rsidR="00E95A99" w:rsidRPr="00BC71DE">
        <w:rPr>
          <w:rFonts w:ascii="Arial" w:hAnsi="Arial" w:cs="Arial"/>
        </w:rPr>
        <w:t>tive measurement methods</w:t>
      </w:r>
      <w:r w:rsidR="005231E9">
        <w:rPr>
          <w:rFonts w:ascii="Arial" w:hAnsi="Arial" w:cs="Arial"/>
        </w:rPr>
        <w:t xml:space="preserve">, </w:t>
      </w:r>
      <w:r w:rsidR="005231E9">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5231E9">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5231E9">
        <w:rPr>
          <w:rFonts w:ascii="Arial" w:hAnsi="Arial" w:cs="Arial"/>
        </w:rPr>
        <w:fldChar w:fldCharType="end"/>
      </w:r>
      <w:r w:rsidR="00E95A99" w:rsidRPr="00BC71DE">
        <w:rPr>
          <w:rFonts w:ascii="Arial" w:hAnsi="Arial" w:cs="Arial"/>
        </w:rPr>
        <w:t xml:space="preserve">. </w:t>
      </w:r>
      <w:r>
        <w:rPr>
          <w:rFonts w:ascii="Arial" w:hAnsi="Arial" w:cs="Arial"/>
        </w:rPr>
        <w:t>I used f</w:t>
      </w:r>
      <w:r w:rsidR="00E95A99" w:rsidRPr="00BC71DE">
        <w:rPr>
          <w:rFonts w:ascii="Arial" w:hAnsi="Arial" w:cs="Arial"/>
        </w:rPr>
        <w:t xml:space="preserve">our </w:t>
      </w:r>
      <w:r w:rsidR="0040473E" w:rsidRPr="00BC71DE">
        <w:rPr>
          <w:rFonts w:ascii="Arial" w:hAnsi="Arial" w:cs="Arial"/>
        </w:rPr>
        <w:t xml:space="preserve">quality control materials of different concentrations were measured once per day over a period of </w:t>
      </w:r>
      <w:r w:rsidR="00E95A99" w:rsidRPr="00BC71DE">
        <w:rPr>
          <w:rFonts w:ascii="Arial" w:hAnsi="Arial" w:cs="Arial"/>
        </w:rPr>
        <w:t>20 days</w:t>
      </w:r>
      <w:r w:rsidR="0040473E" w:rsidRPr="00BC71DE">
        <w:rPr>
          <w:rFonts w:ascii="Arial" w:hAnsi="Arial" w:cs="Arial"/>
        </w:rPr>
        <w:t>. T</w:t>
      </w:r>
      <w:r w:rsidR="00E95A99" w:rsidRPr="00BC71DE">
        <w:rPr>
          <w:rFonts w:ascii="Arial" w:hAnsi="Arial" w:cs="Arial"/>
        </w:rPr>
        <w:t>he CV</w:t>
      </w:r>
      <w:r w:rsidR="0040473E" w:rsidRPr="00BC71DE">
        <w:rPr>
          <w:rFonts w:ascii="Arial" w:hAnsi="Arial" w:cs="Arial"/>
        </w:rPr>
        <w:t xml:space="preserve"> was calculated and expressed as a percentage, </w:t>
      </w:r>
      <w:r w:rsidR="00481A37">
        <w:rPr>
          <w:rFonts w:ascii="Arial" w:hAnsi="Arial" w:cs="Arial"/>
        </w:rPr>
        <w:t>(</w:t>
      </w:r>
      <w:r w:rsidR="0040473E" w:rsidRPr="00BC71DE">
        <w:rPr>
          <w:rFonts w:ascii="Arial" w:hAnsi="Arial" w:cs="Arial"/>
        </w:rPr>
        <w:t>Table</w:t>
      </w:r>
      <w:r w:rsidR="00CA6772">
        <w:rPr>
          <w:rFonts w:ascii="Arial" w:hAnsi="Arial" w:cs="Arial"/>
        </w:rPr>
        <w:t xml:space="preserve"> 3</w:t>
      </w:r>
      <w:r w:rsidR="00481A37">
        <w:rPr>
          <w:rFonts w:ascii="Arial" w:hAnsi="Arial" w:cs="Arial"/>
        </w:rPr>
        <w:t>)</w:t>
      </w:r>
      <w:r w:rsidR="0040473E" w:rsidRPr="00BC71DE">
        <w:rPr>
          <w:rFonts w:ascii="Arial" w:hAnsi="Arial" w:cs="Arial"/>
        </w:rPr>
        <w:t>. A CV of less than 10% was termed acceptable.</w:t>
      </w:r>
    </w:p>
    <w:p w:rsidR="00D72288" w:rsidRPr="00D72288" w:rsidRDefault="00D72288" w:rsidP="003E6719">
      <w:pPr>
        <w:pStyle w:val="Caption"/>
        <w:keepNext/>
        <w:jc w:val="both"/>
        <w:rPr>
          <w:rFonts w:ascii="Arial" w:hAnsi="Arial" w:cs="Arial"/>
          <w:b w:val="0"/>
          <w:color w:val="auto"/>
        </w:rPr>
      </w:pPr>
      <w:bookmarkStart w:id="79" w:name="_Toc424043677"/>
      <w:r w:rsidRPr="00D72288">
        <w:rPr>
          <w:rFonts w:ascii="Arial" w:hAnsi="Arial" w:cs="Arial"/>
          <w:b w:val="0"/>
          <w:color w:val="auto"/>
        </w:rPr>
        <w:t xml:space="preserve">Table </w:t>
      </w:r>
      <w:r w:rsidRPr="00D72288">
        <w:rPr>
          <w:rFonts w:ascii="Arial" w:hAnsi="Arial" w:cs="Arial"/>
          <w:b w:val="0"/>
          <w:color w:val="auto"/>
        </w:rPr>
        <w:fldChar w:fldCharType="begin"/>
      </w:r>
      <w:r w:rsidRPr="00D72288">
        <w:rPr>
          <w:rFonts w:ascii="Arial" w:hAnsi="Arial" w:cs="Arial"/>
          <w:b w:val="0"/>
          <w:color w:val="auto"/>
        </w:rPr>
        <w:instrText xml:space="preserve"> SEQ Table \* ARABIC </w:instrText>
      </w:r>
      <w:r w:rsidRPr="00D72288">
        <w:rPr>
          <w:rFonts w:ascii="Arial" w:hAnsi="Arial" w:cs="Arial"/>
          <w:b w:val="0"/>
          <w:color w:val="auto"/>
        </w:rPr>
        <w:fldChar w:fldCharType="separate"/>
      </w:r>
      <w:r w:rsidR="00DD116A">
        <w:rPr>
          <w:rFonts w:ascii="Arial" w:hAnsi="Arial" w:cs="Arial"/>
          <w:b w:val="0"/>
          <w:noProof/>
          <w:color w:val="auto"/>
        </w:rPr>
        <w:t>3</w:t>
      </w:r>
      <w:r w:rsidRPr="00D72288">
        <w:rPr>
          <w:rFonts w:ascii="Arial" w:hAnsi="Arial" w:cs="Arial"/>
          <w:b w:val="0"/>
          <w:color w:val="auto"/>
        </w:rPr>
        <w:fldChar w:fldCharType="end"/>
      </w:r>
      <w:r w:rsidR="00BD690E">
        <w:rPr>
          <w:rFonts w:ascii="Arial" w:hAnsi="Arial" w:cs="Arial"/>
          <w:b w:val="0"/>
          <w:color w:val="auto"/>
        </w:rPr>
        <w:t xml:space="preserve">: The </w:t>
      </w:r>
      <w:r w:rsidRPr="00D72288">
        <w:rPr>
          <w:rFonts w:ascii="Arial" w:hAnsi="Arial" w:cs="Arial"/>
          <w:b w:val="0"/>
          <w:color w:val="auto"/>
        </w:rPr>
        <w:t xml:space="preserve">inter assay precision of the IDS-iSYS CTX-1 </w:t>
      </w:r>
      <w:r w:rsidR="004C11D6">
        <w:rPr>
          <w:rFonts w:ascii="Arial" w:hAnsi="Arial" w:cs="Arial"/>
          <w:b w:val="0"/>
          <w:color w:val="auto"/>
        </w:rPr>
        <w:t xml:space="preserve">(ng/ml) </w:t>
      </w:r>
      <w:r w:rsidRPr="00D72288">
        <w:rPr>
          <w:rFonts w:ascii="Arial" w:hAnsi="Arial" w:cs="Arial"/>
          <w:b w:val="0"/>
          <w:color w:val="auto"/>
        </w:rPr>
        <w:t xml:space="preserve">using four different levels of QC material measured </w:t>
      </w:r>
      <w:r>
        <w:rPr>
          <w:rFonts w:ascii="Arial" w:hAnsi="Arial" w:cs="Arial"/>
          <w:b w:val="0"/>
          <w:color w:val="auto"/>
        </w:rPr>
        <w:t>(N = 20 each)</w:t>
      </w:r>
      <w:bookmarkEnd w:id="79"/>
    </w:p>
    <w:tbl>
      <w:tblPr>
        <w:tblStyle w:val="TableGrid"/>
        <w:tblW w:w="0" w:type="auto"/>
        <w:jc w:val="center"/>
        <w:tblLook w:val="04A0" w:firstRow="1" w:lastRow="0" w:firstColumn="1" w:lastColumn="0" w:noHBand="0" w:noVBand="1"/>
      </w:tblPr>
      <w:tblGrid>
        <w:gridCol w:w="2500"/>
        <w:gridCol w:w="2500"/>
        <w:gridCol w:w="2500"/>
      </w:tblGrid>
      <w:tr w:rsidR="00E95A99" w:rsidRPr="009F0A80" w:rsidTr="005533C3">
        <w:trPr>
          <w:trHeight w:val="283"/>
          <w:jc w:val="center"/>
        </w:trPr>
        <w:tc>
          <w:tcPr>
            <w:tcW w:w="2500" w:type="dxa"/>
          </w:tcPr>
          <w:p w:rsidR="00E95A99" w:rsidRPr="009F0A80" w:rsidRDefault="00E95A99"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E95A99" w:rsidRPr="009F0A80" w:rsidRDefault="00E95A99"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ation, ng/ml</w:t>
            </w:r>
            <w:r w:rsidRPr="009F0A80">
              <w:rPr>
                <w:rFonts w:ascii="Arial" w:hAnsi="Arial" w:cs="Arial"/>
                <w:sz w:val="16"/>
                <w:szCs w:val="16"/>
              </w:rPr>
              <w:t>/ (standard deviation)</w:t>
            </w:r>
          </w:p>
        </w:tc>
        <w:tc>
          <w:tcPr>
            <w:tcW w:w="2500" w:type="dxa"/>
          </w:tcPr>
          <w:p w:rsidR="00E95A99" w:rsidRPr="009F0A80" w:rsidRDefault="00E95A99" w:rsidP="00900F2C">
            <w:pPr>
              <w:rPr>
                <w:rFonts w:ascii="Arial" w:hAnsi="Arial" w:cs="Arial"/>
                <w:sz w:val="16"/>
                <w:szCs w:val="16"/>
              </w:rPr>
            </w:pPr>
            <w:r w:rsidRPr="009F0A80">
              <w:rPr>
                <w:rFonts w:ascii="Arial" w:hAnsi="Arial" w:cs="Arial"/>
                <w:sz w:val="16"/>
                <w:szCs w:val="16"/>
              </w:rPr>
              <w:t>Inter-assay CV (%)</w:t>
            </w:r>
          </w:p>
        </w:tc>
      </w:tr>
      <w:tr w:rsidR="00E95A99" w:rsidRPr="009F0A80" w:rsidTr="005533C3">
        <w:trPr>
          <w:trHeight w:val="283"/>
          <w:jc w:val="center"/>
        </w:trPr>
        <w:tc>
          <w:tcPr>
            <w:tcW w:w="2500" w:type="dxa"/>
            <w:vAlign w:val="center"/>
          </w:tcPr>
          <w:p w:rsidR="00E95A99" w:rsidRPr="009F0A80" w:rsidRDefault="00E95A99"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0.215 (0.009)</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4.2</w:t>
            </w:r>
          </w:p>
        </w:tc>
      </w:tr>
      <w:tr w:rsidR="00E95A99" w:rsidRPr="009F0A80" w:rsidTr="005533C3">
        <w:trPr>
          <w:trHeight w:val="283"/>
          <w:jc w:val="center"/>
        </w:trPr>
        <w:tc>
          <w:tcPr>
            <w:tcW w:w="2500" w:type="dxa"/>
            <w:vAlign w:val="center"/>
          </w:tcPr>
          <w:p w:rsidR="00E95A99" w:rsidRPr="009F0A80" w:rsidRDefault="00E95A99" w:rsidP="00900F2C">
            <w:pPr>
              <w:rPr>
                <w:rFonts w:ascii="Arial" w:hAnsi="Arial" w:cs="Arial"/>
                <w:sz w:val="16"/>
                <w:szCs w:val="16"/>
              </w:rPr>
            </w:pPr>
            <w:r w:rsidRPr="009F0A80">
              <w:rPr>
                <w:rFonts w:ascii="Arial" w:hAnsi="Arial" w:cs="Arial"/>
                <w:sz w:val="16"/>
                <w:szCs w:val="16"/>
              </w:rPr>
              <w:t>QC 2 (medium)</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0.844 (0.038)</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4.5</w:t>
            </w:r>
          </w:p>
        </w:tc>
      </w:tr>
      <w:tr w:rsidR="00E95A99" w:rsidRPr="009F0A80" w:rsidTr="005533C3">
        <w:trPr>
          <w:trHeight w:val="283"/>
          <w:jc w:val="center"/>
        </w:trPr>
        <w:tc>
          <w:tcPr>
            <w:tcW w:w="2500" w:type="dxa"/>
            <w:vAlign w:val="center"/>
          </w:tcPr>
          <w:p w:rsidR="00E95A99" w:rsidRPr="009F0A80" w:rsidRDefault="00E95A99" w:rsidP="00900F2C">
            <w:pPr>
              <w:rPr>
                <w:rFonts w:ascii="Arial" w:hAnsi="Arial" w:cs="Arial"/>
                <w:sz w:val="16"/>
                <w:szCs w:val="16"/>
              </w:rPr>
            </w:pPr>
            <w:r w:rsidRPr="009F0A80">
              <w:rPr>
                <w:rFonts w:ascii="Arial" w:hAnsi="Arial" w:cs="Arial"/>
                <w:sz w:val="16"/>
                <w:szCs w:val="16"/>
              </w:rPr>
              <w:t>QC 3 (high)</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2.132 (0.125)</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5.9</w:t>
            </w:r>
          </w:p>
        </w:tc>
      </w:tr>
      <w:tr w:rsidR="00E95A99" w:rsidRPr="009F0A80" w:rsidTr="005533C3">
        <w:trPr>
          <w:trHeight w:val="283"/>
          <w:jc w:val="center"/>
        </w:trPr>
        <w:tc>
          <w:tcPr>
            <w:tcW w:w="2500" w:type="dxa"/>
            <w:vAlign w:val="center"/>
          </w:tcPr>
          <w:p w:rsidR="00E95A99" w:rsidRPr="009F0A80" w:rsidRDefault="00174540" w:rsidP="00900F2C">
            <w:pPr>
              <w:rPr>
                <w:rFonts w:ascii="Arial" w:hAnsi="Arial" w:cs="Arial"/>
                <w:sz w:val="16"/>
                <w:szCs w:val="16"/>
              </w:rPr>
            </w:pPr>
            <w:r>
              <w:rPr>
                <w:rFonts w:ascii="Arial" w:hAnsi="Arial" w:cs="Arial"/>
                <w:sz w:val="16"/>
                <w:szCs w:val="16"/>
              </w:rPr>
              <w:t>QC 4 (In-</w:t>
            </w:r>
            <w:r w:rsidR="00E95A99" w:rsidRPr="009F0A80">
              <w:rPr>
                <w:rFonts w:ascii="Arial" w:hAnsi="Arial" w:cs="Arial"/>
                <w:sz w:val="16"/>
                <w:szCs w:val="16"/>
              </w:rPr>
              <w:t>house plasma)</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0.265 (0.163)</w:t>
            </w:r>
          </w:p>
        </w:tc>
        <w:tc>
          <w:tcPr>
            <w:tcW w:w="2500" w:type="dxa"/>
            <w:vAlign w:val="center"/>
          </w:tcPr>
          <w:p w:rsidR="00E95A99" w:rsidRPr="009F0A80" w:rsidRDefault="007318F8" w:rsidP="00900F2C">
            <w:pPr>
              <w:rPr>
                <w:rFonts w:ascii="Arial" w:hAnsi="Arial" w:cs="Arial"/>
                <w:sz w:val="16"/>
                <w:szCs w:val="16"/>
              </w:rPr>
            </w:pPr>
            <w:r>
              <w:rPr>
                <w:rFonts w:ascii="Arial" w:hAnsi="Arial" w:cs="Arial"/>
                <w:sz w:val="16"/>
                <w:szCs w:val="16"/>
              </w:rPr>
              <w:t>6.2</w:t>
            </w:r>
          </w:p>
        </w:tc>
      </w:tr>
    </w:tbl>
    <w:p w:rsidR="00E95A99" w:rsidRDefault="00E95A99" w:rsidP="00900F2C"/>
    <w:p w:rsidR="00034691" w:rsidRDefault="00034691" w:rsidP="00900F2C">
      <w:pPr>
        <w:pStyle w:val="Heading5"/>
      </w:pPr>
    </w:p>
    <w:p w:rsidR="0040473E" w:rsidRDefault="00E97B62" w:rsidP="003E6719">
      <w:pPr>
        <w:pStyle w:val="Heading4"/>
        <w:jc w:val="both"/>
      </w:pPr>
      <w:r>
        <w:t>CTX m</w:t>
      </w:r>
      <w:r w:rsidR="0040473E">
        <w:t>ethod comparison</w:t>
      </w:r>
    </w:p>
    <w:p w:rsidR="00027295" w:rsidRPr="00957976" w:rsidRDefault="00027295" w:rsidP="003B725E">
      <w:pPr>
        <w:spacing w:line="360" w:lineRule="auto"/>
        <w:jc w:val="both"/>
        <w:rPr>
          <w:rFonts w:ascii="Arial" w:hAnsi="Arial" w:cs="Arial"/>
        </w:rPr>
      </w:pPr>
      <w:r w:rsidRPr="00957976">
        <w:rPr>
          <w:rFonts w:ascii="Arial" w:hAnsi="Arial" w:cs="Arial"/>
        </w:rPr>
        <w:t>The IDS-iSYS CTX-1 assay was directly compared to the CTX assay, Elecsys 2010,</w:t>
      </w:r>
      <w:r w:rsidR="00CE4EFD" w:rsidRPr="00957976">
        <w:rPr>
          <w:rFonts w:ascii="Arial" w:hAnsi="Arial" w:cs="Arial"/>
        </w:rPr>
        <w:t xml:space="preserve"> </w:t>
      </w:r>
      <w:r w:rsidRPr="00957976">
        <w:rPr>
          <w:rFonts w:ascii="Arial" w:hAnsi="Arial" w:cs="Arial"/>
        </w:rPr>
        <w:t>Roche Diagnostics (Pensberg, Germany</w:t>
      </w:r>
      <w:r w:rsidR="005231E9">
        <w:rPr>
          <w:rFonts w:ascii="Arial" w:hAnsi="Arial" w:cs="Arial"/>
        </w:rPr>
        <w:t>)</w:t>
      </w:r>
      <w:r w:rsidR="005010B9">
        <w:rPr>
          <w:rFonts w:ascii="Arial" w:hAnsi="Arial" w:cs="Arial"/>
        </w:rPr>
        <w:t xml:space="preserve"> in accordance with ‘CLSI guidelines</w:t>
      </w:r>
      <w:r w:rsidRPr="00957976">
        <w:rPr>
          <w:rFonts w:ascii="Arial" w:hAnsi="Arial" w:cs="Arial"/>
        </w:rPr>
        <w:t>: Method comparison and bias estimat</w:t>
      </w:r>
      <w:r w:rsidR="007342D4" w:rsidRPr="00957976">
        <w:rPr>
          <w:rFonts w:ascii="Arial" w:hAnsi="Arial" w:cs="Arial"/>
        </w:rPr>
        <w:t>ion using patient samples’</w:t>
      </w:r>
      <w:r w:rsidR="005231E9">
        <w:rPr>
          <w:rFonts w:ascii="Arial" w:hAnsi="Arial" w:cs="Arial"/>
        </w:rPr>
        <w:t xml:space="preserve">, </w:t>
      </w:r>
      <w:r w:rsidR="005231E9">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5231E9">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5231E9">
        <w:rPr>
          <w:rFonts w:ascii="Arial" w:hAnsi="Arial" w:cs="Arial"/>
        </w:rPr>
        <w:fldChar w:fldCharType="end"/>
      </w:r>
      <w:r w:rsidR="007342D4" w:rsidRPr="00957976">
        <w:rPr>
          <w:rFonts w:ascii="Arial" w:hAnsi="Arial" w:cs="Arial"/>
        </w:rPr>
        <w:t xml:space="preserve">. 511 </w:t>
      </w:r>
      <w:r w:rsidRPr="00957976">
        <w:rPr>
          <w:rFonts w:ascii="Arial" w:hAnsi="Arial" w:cs="Arial"/>
        </w:rPr>
        <w:t>serum samples from premenopausal and postmenopausal women were used to represent a range of</w:t>
      </w:r>
      <w:r w:rsidR="007342D4" w:rsidRPr="00957976">
        <w:rPr>
          <w:rFonts w:ascii="Arial" w:hAnsi="Arial" w:cs="Arial"/>
        </w:rPr>
        <w:t xml:space="preserve"> CTX</w:t>
      </w:r>
      <w:r w:rsidRPr="00957976">
        <w:rPr>
          <w:rFonts w:ascii="Arial" w:hAnsi="Arial" w:cs="Arial"/>
        </w:rPr>
        <w:t xml:space="preserve"> conce</w:t>
      </w:r>
      <w:r w:rsidR="007342D4" w:rsidRPr="00957976">
        <w:rPr>
          <w:rFonts w:ascii="Arial" w:hAnsi="Arial" w:cs="Arial"/>
        </w:rPr>
        <w:t>ntrations. CTX</w:t>
      </w:r>
      <w:r w:rsidRPr="00957976">
        <w:rPr>
          <w:rFonts w:ascii="Arial" w:hAnsi="Arial" w:cs="Arial"/>
        </w:rPr>
        <w:t xml:space="preserve"> </w:t>
      </w:r>
      <w:r w:rsidR="00A077E3">
        <w:rPr>
          <w:rFonts w:ascii="Arial" w:hAnsi="Arial" w:cs="Arial"/>
        </w:rPr>
        <w:t xml:space="preserve">was </w:t>
      </w:r>
      <w:r w:rsidRPr="00957976">
        <w:rPr>
          <w:rFonts w:ascii="Arial" w:hAnsi="Arial" w:cs="Arial"/>
        </w:rPr>
        <w:t>measured using the IDS-iSYS and Elecsys 2010 analysers. There has been no previous data di</w:t>
      </w:r>
      <w:r w:rsidR="00035813">
        <w:rPr>
          <w:rFonts w:ascii="Arial" w:hAnsi="Arial" w:cs="Arial"/>
        </w:rPr>
        <w:t>rectly comparing these two methods</w:t>
      </w:r>
      <w:r w:rsidRPr="00957976">
        <w:rPr>
          <w:rFonts w:ascii="Arial" w:hAnsi="Arial" w:cs="Arial"/>
        </w:rPr>
        <w:t xml:space="preserve">. </w:t>
      </w:r>
    </w:p>
    <w:p w:rsidR="00027295" w:rsidRPr="00957976" w:rsidRDefault="00027295" w:rsidP="003E6719">
      <w:pPr>
        <w:spacing w:line="360" w:lineRule="auto"/>
        <w:jc w:val="both"/>
        <w:rPr>
          <w:rFonts w:ascii="Arial" w:hAnsi="Arial" w:cs="Arial"/>
        </w:rPr>
      </w:pPr>
      <w:r w:rsidRPr="00957976">
        <w:rPr>
          <w:rFonts w:ascii="Arial" w:hAnsi="Arial" w:cs="Arial"/>
        </w:rPr>
        <w:t>Bland-Altman plot and Passing and Bablok regression analyses were used</w:t>
      </w:r>
      <w:r w:rsidR="00C13464">
        <w:rPr>
          <w:rFonts w:ascii="Arial" w:hAnsi="Arial" w:cs="Arial"/>
        </w:rPr>
        <w:t xml:space="preserve"> to compare the data, (Figure 23</w:t>
      </w:r>
      <w:r w:rsidRPr="00957976">
        <w:rPr>
          <w:rFonts w:ascii="Arial" w:hAnsi="Arial" w:cs="Arial"/>
        </w:rPr>
        <w:t>). The mean difference between the IDS-iS</w:t>
      </w:r>
      <w:r w:rsidR="007342D4" w:rsidRPr="00957976">
        <w:rPr>
          <w:rFonts w:ascii="Arial" w:hAnsi="Arial" w:cs="Arial"/>
        </w:rPr>
        <w:t>YS and the Elecsys 2010 was 0.130</w:t>
      </w:r>
      <w:r w:rsidRPr="00957976">
        <w:rPr>
          <w:rFonts w:ascii="Arial" w:hAnsi="Arial" w:cs="Arial"/>
        </w:rPr>
        <w:t xml:space="preserve"> ng/ml. The median (and standard deviation) were </w:t>
      </w:r>
      <w:r w:rsidR="007342D4" w:rsidRPr="00957976">
        <w:rPr>
          <w:rFonts w:ascii="Arial" w:hAnsi="Arial" w:cs="Arial"/>
        </w:rPr>
        <w:t>0.320 (0.305) and 0.210 (0.212</w:t>
      </w:r>
      <w:r w:rsidRPr="00957976">
        <w:rPr>
          <w:rFonts w:ascii="Arial" w:hAnsi="Arial" w:cs="Arial"/>
        </w:rPr>
        <w:t>) ng/ml, respectively</w:t>
      </w:r>
      <w:r w:rsidR="00E97B62" w:rsidRPr="00957976">
        <w:rPr>
          <w:rFonts w:ascii="Arial" w:hAnsi="Arial" w:cs="Arial"/>
        </w:rPr>
        <w:t xml:space="preserve"> (p&lt;0.001)</w:t>
      </w:r>
      <w:r w:rsidRPr="00957976">
        <w:rPr>
          <w:rFonts w:ascii="Arial" w:hAnsi="Arial" w:cs="Arial"/>
        </w:rPr>
        <w:t>. The regression equation was</w:t>
      </w:r>
      <w:r w:rsidR="007342D4" w:rsidRPr="00957976">
        <w:rPr>
          <w:rFonts w:ascii="Arial" w:hAnsi="Arial" w:cs="Arial"/>
        </w:rPr>
        <w:t xml:space="preserve"> y = 0.040 + 1.307</w:t>
      </w:r>
      <w:r w:rsidR="00E97B62" w:rsidRPr="00957976">
        <w:rPr>
          <w:rFonts w:ascii="Arial" w:hAnsi="Arial" w:cs="Arial"/>
        </w:rPr>
        <w:t>x</w:t>
      </w:r>
      <w:r w:rsidR="00F307FB">
        <w:rPr>
          <w:rFonts w:ascii="Arial" w:hAnsi="Arial" w:cs="Arial"/>
        </w:rPr>
        <w:t>.</w:t>
      </w:r>
    </w:p>
    <w:p w:rsidR="00E9052D" w:rsidRDefault="00E9052D" w:rsidP="00900F2C">
      <w:r>
        <w:rPr>
          <w:noProof/>
          <w:lang w:eastAsia="zh-CN"/>
        </w:rPr>
        <w:lastRenderedPageBreak/>
        <mc:AlternateContent>
          <mc:Choice Requires="wps">
            <w:drawing>
              <wp:anchor distT="0" distB="0" distL="114300" distR="114300" simplePos="0" relativeHeight="252881408" behindDoc="0" locked="0" layoutInCell="1" allowOverlap="1" wp14:anchorId="43C5FCEE" wp14:editId="1D850BA8">
                <wp:simplePos x="0" y="0"/>
                <wp:positionH relativeFrom="column">
                  <wp:posOffset>-57150</wp:posOffset>
                </wp:positionH>
                <wp:positionV relativeFrom="paragraph">
                  <wp:posOffset>2066290</wp:posOffset>
                </wp:positionV>
                <wp:extent cx="5953125" cy="635"/>
                <wp:effectExtent l="0" t="0" r="9525" b="0"/>
                <wp:wrapNone/>
                <wp:docPr id="18622" name="Text Box 18622"/>
                <wp:cNvGraphicFramePr/>
                <a:graphic xmlns:a="http://schemas.openxmlformats.org/drawingml/2006/main">
                  <a:graphicData uri="http://schemas.microsoft.com/office/word/2010/wordprocessingShape">
                    <wps:wsp>
                      <wps:cNvSpPr txBox="1"/>
                      <wps:spPr>
                        <a:xfrm>
                          <a:off x="0" y="0"/>
                          <a:ext cx="5953125" cy="635"/>
                        </a:xfrm>
                        <a:prstGeom prst="rect">
                          <a:avLst/>
                        </a:prstGeom>
                        <a:solidFill>
                          <a:prstClr val="white"/>
                        </a:solidFill>
                        <a:ln>
                          <a:noFill/>
                        </a:ln>
                        <a:effectLst/>
                      </wps:spPr>
                      <wps:txbx>
                        <w:txbxContent>
                          <w:p w:rsidR="004166BC" w:rsidRPr="00E9052D" w:rsidRDefault="004166BC" w:rsidP="003E6719">
                            <w:pPr>
                              <w:pStyle w:val="Caption"/>
                              <w:jc w:val="both"/>
                              <w:rPr>
                                <w:rFonts w:ascii="Arial" w:hAnsi="Arial" w:cs="Arial"/>
                                <w:b w:val="0"/>
                                <w:noProof/>
                                <w:color w:val="auto"/>
                              </w:rPr>
                            </w:pPr>
                            <w:bookmarkStart w:id="80" w:name="_Toc422736065"/>
                            <w:bookmarkStart w:id="81" w:name="_Toc422736173"/>
                            <w:bookmarkStart w:id="82" w:name="_Toc425419508"/>
                            <w:r w:rsidRPr="00E9052D">
                              <w:rPr>
                                <w:rFonts w:ascii="Arial" w:hAnsi="Arial" w:cs="Arial"/>
                                <w:b w:val="0"/>
                                <w:color w:val="auto"/>
                              </w:rPr>
                              <w:t xml:space="preserve">Figure </w:t>
                            </w:r>
                            <w:r w:rsidRPr="00E9052D">
                              <w:rPr>
                                <w:rFonts w:ascii="Arial" w:hAnsi="Arial" w:cs="Arial"/>
                                <w:b w:val="0"/>
                                <w:color w:val="auto"/>
                              </w:rPr>
                              <w:fldChar w:fldCharType="begin"/>
                            </w:r>
                            <w:r w:rsidRPr="00E9052D">
                              <w:rPr>
                                <w:rFonts w:ascii="Arial" w:hAnsi="Arial" w:cs="Arial"/>
                                <w:b w:val="0"/>
                                <w:color w:val="auto"/>
                              </w:rPr>
                              <w:instrText xml:space="preserve"> SEQ Figure \* ARABIC </w:instrText>
                            </w:r>
                            <w:r w:rsidRPr="00E9052D">
                              <w:rPr>
                                <w:rFonts w:ascii="Arial" w:hAnsi="Arial" w:cs="Arial"/>
                                <w:b w:val="0"/>
                                <w:color w:val="auto"/>
                              </w:rPr>
                              <w:fldChar w:fldCharType="separate"/>
                            </w:r>
                            <w:r>
                              <w:rPr>
                                <w:rFonts w:ascii="Arial" w:hAnsi="Arial" w:cs="Arial"/>
                                <w:b w:val="0"/>
                                <w:noProof/>
                                <w:color w:val="auto"/>
                              </w:rPr>
                              <w:t>23</w:t>
                            </w:r>
                            <w:r w:rsidRPr="00E9052D">
                              <w:rPr>
                                <w:rFonts w:ascii="Arial" w:hAnsi="Arial" w:cs="Arial"/>
                                <w:b w:val="0"/>
                                <w:color w:val="auto"/>
                              </w:rPr>
                              <w:fldChar w:fldCharType="end"/>
                            </w:r>
                            <w:r w:rsidRPr="00E9052D">
                              <w:rPr>
                                <w:rFonts w:ascii="Arial" w:hAnsi="Arial" w:cs="Arial"/>
                                <w:b w:val="0"/>
                                <w:color w:val="auto"/>
                              </w:rPr>
                              <w:t>: CTX method comparison analyses using Bland-Altman (left) and Passing and Bablok regression (right)</w:t>
                            </w:r>
                            <w:bookmarkEnd w:id="80"/>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C5FCEE" id="Text Box 18622" o:spid="_x0000_s1131" type="#_x0000_t202" style="position:absolute;margin-left:-4.5pt;margin-top:162.7pt;width:468.75pt;height:.05pt;z-index:25288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" stroked="f">
                <v:textbox style="mso-fit-shape-to-text:t" inset="0,0,0,0">
                  <w:txbxContent>
                    <w:p w:rsidR="004166BC" w:rsidRPr="00E9052D" w:rsidRDefault="004166BC" w:rsidP="003E6719">
                      <w:pPr>
                        <w:pStyle w:val="Caption"/>
                        <w:jc w:val="both"/>
                        <w:rPr>
                          <w:rFonts w:ascii="Arial" w:hAnsi="Arial" w:cs="Arial"/>
                          <w:b w:val="0"/>
                          <w:noProof/>
                          <w:color w:val="auto"/>
                        </w:rPr>
                      </w:pPr>
                      <w:bookmarkStart w:id="113" w:name="_Toc422736065"/>
                      <w:bookmarkStart w:id="114" w:name="_Toc422736173"/>
                      <w:bookmarkStart w:id="115" w:name="_Toc425419508"/>
                      <w:r w:rsidRPr="00E9052D">
                        <w:rPr>
                          <w:rFonts w:ascii="Arial" w:hAnsi="Arial" w:cs="Arial"/>
                          <w:b w:val="0"/>
                          <w:color w:val="auto"/>
                        </w:rPr>
                        <w:t xml:space="preserve">Figure </w:t>
                      </w:r>
                      <w:r w:rsidRPr="00E9052D">
                        <w:rPr>
                          <w:rFonts w:ascii="Arial" w:hAnsi="Arial" w:cs="Arial"/>
                          <w:b w:val="0"/>
                          <w:color w:val="auto"/>
                        </w:rPr>
                        <w:fldChar w:fldCharType="begin"/>
                      </w:r>
                      <w:r w:rsidRPr="00E9052D">
                        <w:rPr>
                          <w:rFonts w:ascii="Arial" w:hAnsi="Arial" w:cs="Arial"/>
                          <w:b w:val="0"/>
                          <w:color w:val="auto"/>
                        </w:rPr>
                        <w:instrText xml:space="preserve"> SEQ Figure \* ARABIC </w:instrText>
                      </w:r>
                      <w:r w:rsidRPr="00E9052D">
                        <w:rPr>
                          <w:rFonts w:ascii="Arial" w:hAnsi="Arial" w:cs="Arial"/>
                          <w:b w:val="0"/>
                          <w:color w:val="auto"/>
                        </w:rPr>
                        <w:fldChar w:fldCharType="separate"/>
                      </w:r>
                      <w:r>
                        <w:rPr>
                          <w:rFonts w:ascii="Arial" w:hAnsi="Arial" w:cs="Arial"/>
                          <w:b w:val="0"/>
                          <w:noProof/>
                          <w:color w:val="auto"/>
                        </w:rPr>
                        <w:t>23</w:t>
                      </w:r>
                      <w:r w:rsidRPr="00E9052D">
                        <w:rPr>
                          <w:rFonts w:ascii="Arial" w:hAnsi="Arial" w:cs="Arial"/>
                          <w:b w:val="0"/>
                          <w:color w:val="auto"/>
                        </w:rPr>
                        <w:fldChar w:fldCharType="end"/>
                      </w:r>
                      <w:r w:rsidRPr="00E9052D">
                        <w:rPr>
                          <w:rFonts w:ascii="Arial" w:hAnsi="Arial" w:cs="Arial"/>
                          <w:b w:val="0"/>
                          <w:color w:val="auto"/>
                        </w:rPr>
                        <w:t>: CTX method comparison analyses using Bland-Altman (left) and Passing and Bablok regression (right)</w:t>
                      </w:r>
                      <w:bookmarkEnd w:id="113"/>
                      <w:bookmarkEnd w:id="114"/>
                      <w:bookmarkEnd w:id="115"/>
                    </w:p>
                  </w:txbxContent>
                </v:textbox>
              </v:shape>
            </w:pict>
          </mc:Fallback>
        </mc:AlternateContent>
      </w:r>
      <w:r w:rsidR="002E40F1">
        <w:rPr>
          <w:noProof/>
          <w:lang w:eastAsia="zh-CN"/>
        </w:rPr>
        <w:drawing>
          <wp:inline distT="0" distB="0" distL="0" distR="0" wp14:anchorId="141CF3AA" wp14:editId="35BC8D1C">
            <wp:extent cx="2714625" cy="1925983"/>
            <wp:effectExtent l="0" t="0" r="0" b="0"/>
            <wp:docPr id="18616" name="Picture 1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9276" cy="1943472"/>
                    </a:xfrm>
                    <a:prstGeom prst="rect">
                      <a:avLst/>
                    </a:prstGeom>
                    <a:noFill/>
                  </pic:spPr>
                </pic:pic>
              </a:graphicData>
            </a:graphic>
          </wp:inline>
        </w:drawing>
      </w:r>
      <w:r>
        <w:rPr>
          <w:noProof/>
          <w:lang w:eastAsia="zh-CN"/>
        </w:rPr>
        <w:drawing>
          <wp:inline distT="0" distB="0" distL="0" distR="0" wp14:anchorId="1D7E4889" wp14:editId="10B16FB0">
            <wp:extent cx="2657475" cy="1912038"/>
            <wp:effectExtent l="0" t="0" r="0" b="0"/>
            <wp:docPr id="18617" name="Picture 1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2287" cy="1944280"/>
                    </a:xfrm>
                    <a:prstGeom prst="rect">
                      <a:avLst/>
                    </a:prstGeom>
                    <a:noFill/>
                  </pic:spPr>
                </pic:pic>
              </a:graphicData>
            </a:graphic>
          </wp:inline>
        </w:drawing>
      </w:r>
    </w:p>
    <w:p w:rsidR="00E9052D" w:rsidRDefault="00E9052D" w:rsidP="00900F2C"/>
    <w:p w:rsidR="00413F53" w:rsidRPr="00957976" w:rsidRDefault="00E9052D" w:rsidP="003B725E">
      <w:pPr>
        <w:spacing w:line="360" w:lineRule="auto"/>
        <w:jc w:val="both"/>
        <w:rPr>
          <w:rFonts w:ascii="Arial" w:hAnsi="Arial" w:cs="Arial"/>
        </w:rPr>
      </w:pPr>
      <w:r w:rsidRPr="00957976">
        <w:rPr>
          <w:rFonts w:ascii="Arial" w:hAnsi="Arial" w:cs="Arial"/>
        </w:rPr>
        <w:t>CTX measured by the IDS-iSYS gave a significantly higher results compared to the Elecsys 2010 Roche method</w:t>
      </w:r>
      <w:r w:rsidR="00027295" w:rsidRPr="00957976">
        <w:rPr>
          <w:rFonts w:ascii="Arial" w:hAnsi="Arial" w:cs="Arial"/>
        </w:rPr>
        <w:t>.</w:t>
      </w:r>
      <w:r w:rsidRPr="00957976">
        <w:rPr>
          <w:rFonts w:ascii="Arial" w:hAnsi="Arial" w:cs="Arial"/>
        </w:rPr>
        <w:t xml:space="preserve"> Similar findings were </w:t>
      </w:r>
      <w:r w:rsidR="00825ED1" w:rsidRPr="00957976">
        <w:rPr>
          <w:rFonts w:ascii="Arial" w:hAnsi="Arial" w:cs="Arial"/>
        </w:rPr>
        <w:t xml:space="preserve">demonstrated by Eastell </w:t>
      </w:r>
      <w:r w:rsidR="004173B4" w:rsidRPr="00957976">
        <w:rPr>
          <w:rFonts w:ascii="Arial" w:hAnsi="Arial" w:cs="Arial"/>
        </w:rPr>
        <w:t xml:space="preserve">R </w:t>
      </w:r>
      <w:r w:rsidR="00825ED1" w:rsidRPr="00957976">
        <w:rPr>
          <w:rFonts w:ascii="Arial" w:hAnsi="Arial" w:cs="Arial"/>
        </w:rPr>
        <w:t xml:space="preserve">et al </w:t>
      </w:r>
      <w:r w:rsidR="003E6719">
        <w:rPr>
          <w:rFonts w:ascii="Arial" w:hAnsi="Arial" w:cs="Arial"/>
        </w:rPr>
        <w:t xml:space="preserve">2012, </w:t>
      </w:r>
      <w:r w:rsidR="00825ED1" w:rsidRPr="00957976">
        <w:rPr>
          <w:rFonts w:ascii="Arial" w:hAnsi="Arial" w:cs="Arial"/>
        </w:rPr>
        <w:t xml:space="preserve">when CTX measured by a manual assay was compared to the Elecsys 2010 Roche method </w:t>
      </w:r>
      <w:r w:rsidR="00A732CB" w:rsidRPr="00957976">
        <w:rPr>
          <w:rFonts w:ascii="Arial" w:hAnsi="Arial" w:cs="Arial"/>
        </w:rPr>
        <w:fldChar w:fldCharType="begin"/>
      </w:r>
      <w:r w:rsidR="00B64C0F">
        <w:rPr>
          <w:rFonts w:ascii="Arial" w:hAnsi="Arial" w:cs="Arial"/>
        </w:rPr>
        <w:instrText xml:space="preserve"> ADDIN EN.CITE &lt;EndNote&gt;&lt;Cite&gt;&lt;Author&gt;Eastell&lt;/Author&gt;&lt;Year&gt;2012&lt;/Year&gt;&lt;RecNum&gt;169&lt;/RecNum&gt;&lt;DisplayText&gt;(346)&lt;/DisplayText&gt;&lt;record&gt;&lt;rec-number&gt;169&lt;/rec-number&gt;&lt;foreign-keys&gt;&lt;key app="EN" db-id="p9a5ttsvyvde9me5aw2x05fp5p55axf0wr90" timestamp="1417715015"&gt;169&lt;/key&gt;&lt;/foreign-keys&gt;&lt;ref-type name="Journal Article"&gt;17&lt;/ref-type&gt;&lt;contributors&gt;&lt;authors&gt;&lt;author&gt;Eastell, R.&lt;/author&gt;&lt;author&gt;Garnero, P.&lt;/author&gt;&lt;author&gt;Audebert, C.&lt;/author&gt;&lt;author&gt;Cahall, D. L.&lt;/author&gt;&lt;/authors&gt;&lt;/contributors&gt;&lt;auth-address&gt;Academic Unit of Bone Metabolism, University of Sheffield, Sheffield, UK. r.eastell@sheffield.ac.uk&lt;/auth-address&gt;&lt;titles&gt;&lt;title&gt;Reference intervals of bone turnover markers in healthy premenopausal women: results from a cross-sectional European study&lt;/title&gt;&lt;secondary-title&gt;Bone&lt;/secondary-title&gt;&lt;alt-title&gt;Bone&lt;/alt-title&gt;&lt;/titles&gt;&lt;periodical&gt;&lt;full-title&gt;Bone&lt;/full-title&gt;&lt;abbr-1&gt;Bone&lt;/abbr-1&gt;&lt;/periodical&gt;&lt;alt-periodical&gt;&lt;full-title&gt;Bone&lt;/full-title&gt;&lt;abbr-1&gt;Bone&lt;/abbr-1&gt;&lt;/alt-periodical&gt;&lt;pages&gt;1141-7&lt;/pages&gt;&lt;volume&gt;50&lt;/volume&gt;&lt;number&gt;5&lt;/number&gt;&lt;edition&gt;2012/02/22&lt;/edition&gt;&lt;keywords&gt;&lt;keyword&gt;Adult&lt;/keyword&gt;&lt;keyword&gt;Biological Assay&lt;/keyword&gt;&lt;keyword&gt;Biological Markers/ blood/ urine&lt;/keyword&gt;&lt;keyword&gt;Bone Remodeling/ physiology&lt;/keyword&gt;&lt;keyword&gt;Cross-Sectional Studies&lt;/keyword&gt;&lt;keyword&gt;Demography&lt;/keyword&gt;&lt;keyword&gt;Europe&lt;/keyword&gt;&lt;keyword&gt;Female&lt;/keyword&gt;&lt;keyword&gt;Health&lt;/keyword&gt;&lt;keyword&gt;Humans&lt;/keyword&gt;&lt;keyword&gt;Parathyroid Hormone/blood&lt;/keyword&gt;&lt;keyword&gt;Premenopause/ blood/ urine&lt;/keyword&gt;&lt;keyword&gt;Reference Values&lt;/keyword&gt;&lt;keyword&gt;Vitamin D/analogs &amp;amp; derivatives/blood&lt;/keyword&gt;&lt;/keywords&gt;&lt;dates&gt;&lt;year&gt;2012&lt;/year&gt;&lt;pub-dates&gt;&lt;date&gt;May&lt;/date&gt;&lt;/pub-dates&gt;&lt;/dates&gt;&lt;isbn&gt;1873-2763 (Electronic)&amp;#xD;1873-2763 (Linking)&lt;/isbn&gt;&lt;accession-num&gt;22348982&lt;/accession-num&gt;&lt;urls&gt;&lt;/urls&gt;&lt;electronic-resource-num&gt;10.1016/j.bone.2012.02.003&lt;/electronic-resource-num&gt;&lt;remote-database-provider&gt;NLM&lt;/remote-database-provider&gt;&lt;language&gt;eng&lt;/language&gt;&lt;/record&gt;&lt;/Cite&gt;&lt;/EndNote&gt;</w:instrText>
      </w:r>
      <w:r w:rsidR="00A732CB" w:rsidRPr="00957976">
        <w:rPr>
          <w:rFonts w:ascii="Arial" w:hAnsi="Arial" w:cs="Arial"/>
        </w:rPr>
        <w:fldChar w:fldCharType="separate"/>
      </w:r>
      <w:r w:rsidR="00B64C0F">
        <w:rPr>
          <w:rFonts w:ascii="Arial" w:hAnsi="Arial" w:cs="Arial"/>
          <w:noProof/>
        </w:rPr>
        <w:t>(</w:t>
      </w:r>
      <w:hyperlink w:anchor="_ENREF_346" w:tooltip="Eastell, 2012 #169" w:history="1">
        <w:r w:rsidR="003B725E">
          <w:rPr>
            <w:rFonts w:ascii="Arial" w:hAnsi="Arial" w:cs="Arial"/>
            <w:noProof/>
          </w:rPr>
          <w:t>346</w:t>
        </w:r>
      </w:hyperlink>
      <w:r w:rsidR="00B64C0F">
        <w:rPr>
          <w:rFonts w:ascii="Arial" w:hAnsi="Arial" w:cs="Arial"/>
          <w:noProof/>
        </w:rPr>
        <w:t>)</w:t>
      </w:r>
      <w:r w:rsidR="00A732CB" w:rsidRPr="00957976">
        <w:rPr>
          <w:rFonts w:ascii="Arial" w:hAnsi="Arial" w:cs="Arial"/>
        </w:rPr>
        <w:fldChar w:fldCharType="end"/>
      </w:r>
      <w:r w:rsidR="00825ED1" w:rsidRPr="00957976">
        <w:rPr>
          <w:rFonts w:ascii="Arial" w:hAnsi="Arial" w:cs="Arial"/>
        </w:rPr>
        <w:t>.</w:t>
      </w:r>
      <w:r w:rsidR="00413F53" w:rsidRPr="00957976">
        <w:rPr>
          <w:rFonts w:ascii="Arial" w:hAnsi="Arial" w:cs="Arial"/>
        </w:rPr>
        <w:t xml:space="preserve"> These findings will contribute to the harmonisation of these methods.</w:t>
      </w:r>
      <w:r w:rsidR="00825ED1" w:rsidRPr="00957976">
        <w:rPr>
          <w:rFonts w:ascii="Arial" w:hAnsi="Arial" w:cs="Arial"/>
        </w:rPr>
        <w:t xml:space="preserve"> </w:t>
      </w:r>
    </w:p>
    <w:p w:rsidR="00465CE1" w:rsidRPr="00957976" w:rsidRDefault="00027295" w:rsidP="003E6719">
      <w:pPr>
        <w:spacing w:line="360" w:lineRule="auto"/>
        <w:jc w:val="both"/>
        <w:rPr>
          <w:rFonts w:ascii="Arial" w:hAnsi="Arial" w:cs="Arial"/>
        </w:rPr>
      </w:pPr>
      <w:r w:rsidRPr="00957976">
        <w:rPr>
          <w:rFonts w:ascii="Arial" w:hAnsi="Arial" w:cs="Arial"/>
        </w:rPr>
        <w:t xml:space="preserve">For the remainder of my thesis I have measured the </w:t>
      </w:r>
      <w:r w:rsidR="00E9052D" w:rsidRPr="00957976">
        <w:rPr>
          <w:rFonts w:ascii="Arial" w:hAnsi="Arial" w:cs="Arial"/>
        </w:rPr>
        <w:t>CTX-I</w:t>
      </w:r>
      <w:r w:rsidRPr="00957976">
        <w:rPr>
          <w:rFonts w:ascii="Arial" w:hAnsi="Arial" w:cs="Arial"/>
        </w:rPr>
        <w:t xml:space="preserve"> using the IDS-iSYS autoimmunoassay analyser.</w:t>
      </w:r>
    </w:p>
    <w:p w:rsidR="003022A6" w:rsidRDefault="003022A6" w:rsidP="003E6719">
      <w:pPr>
        <w:pStyle w:val="Heading4"/>
        <w:jc w:val="both"/>
      </w:pPr>
      <w:r>
        <w:t>Osteocalcin</w:t>
      </w:r>
      <w:r w:rsidR="001A3F16">
        <w:t xml:space="preserve"> assay procedure</w:t>
      </w:r>
    </w:p>
    <w:p w:rsidR="006C582C" w:rsidRDefault="001A3F16" w:rsidP="003E6719">
      <w:pPr>
        <w:spacing w:line="360" w:lineRule="auto"/>
        <w:jc w:val="both"/>
        <w:rPr>
          <w:rFonts w:ascii="Arial" w:hAnsi="Arial" w:cs="Arial"/>
        </w:rPr>
      </w:pPr>
      <w:r>
        <w:rPr>
          <w:rFonts w:ascii="Arial" w:hAnsi="Arial" w:cs="Arial"/>
        </w:rPr>
        <w:t>N-Mid osteocalcin</w:t>
      </w:r>
      <w:r w:rsidRPr="00452AEA">
        <w:rPr>
          <w:rFonts w:ascii="Arial" w:hAnsi="Arial" w:cs="Arial"/>
        </w:rPr>
        <w:t xml:space="preserve"> was measured in serum using the IDS-iSYS </w:t>
      </w:r>
      <w:r>
        <w:rPr>
          <w:rFonts w:ascii="Arial" w:hAnsi="Arial" w:cs="Arial"/>
        </w:rPr>
        <w:t>CLIA technology, (appendices 1.2</w:t>
      </w:r>
      <w:r w:rsidRPr="00452AEA">
        <w:rPr>
          <w:rFonts w:ascii="Arial" w:hAnsi="Arial" w:cs="Arial"/>
        </w:rPr>
        <w:t>: kit insert). All reagents, calibrators and quality control material are supplied by the manufact</w:t>
      </w:r>
      <w:r>
        <w:rPr>
          <w:rFonts w:ascii="Arial" w:hAnsi="Arial" w:cs="Arial"/>
        </w:rPr>
        <w:t>urer and ready to use. The osteocalcin</w:t>
      </w:r>
      <w:r w:rsidRPr="00452AEA">
        <w:rPr>
          <w:rFonts w:ascii="Arial" w:hAnsi="Arial" w:cs="Arial"/>
        </w:rPr>
        <w:t xml:space="preserve"> reagent cartridge is mixed in order to homogenise the streptavidin labelled magnetic particles, before loading on to the analyser where mi</w:t>
      </w:r>
      <w:r>
        <w:rPr>
          <w:rFonts w:ascii="Arial" w:hAnsi="Arial" w:cs="Arial"/>
        </w:rPr>
        <w:t xml:space="preserve">xing will continue. </w:t>
      </w:r>
    </w:p>
    <w:p w:rsidR="006C582C" w:rsidRDefault="001A3F16" w:rsidP="003E6719">
      <w:pPr>
        <w:pStyle w:val="ListParagraph"/>
        <w:numPr>
          <w:ilvl w:val="0"/>
          <w:numId w:val="30"/>
        </w:numPr>
        <w:spacing w:line="360" w:lineRule="auto"/>
        <w:jc w:val="both"/>
        <w:rPr>
          <w:rFonts w:ascii="Arial" w:hAnsi="Arial" w:cs="Arial"/>
        </w:rPr>
      </w:pPr>
      <w:r w:rsidRPr="006C582C">
        <w:rPr>
          <w:rFonts w:ascii="Arial" w:hAnsi="Arial" w:cs="Arial"/>
        </w:rPr>
        <w:t xml:space="preserve">300µl of each calibrators, quality control samples and serum were loaded on to the analyser. </w:t>
      </w:r>
    </w:p>
    <w:p w:rsidR="006C582C" w:rsidRDefault="001A3F16" w:rsidP="003E6719">
      <w:pPr>
        <w:pStyle w:val="ListParagraph"/>
        <w:numPr>
          <w:ilvl w:val="0"/>
          <w:numId w:val="30"/>
        </w:numPr>
        <w:spacing w:line="360" w:lineRule="auto"/>
        <w:jc w:val="both"/>
        <w:rPr>
          <w:rFonts w:ascii="Arial" w:hAnsi="Arial" w:cs="Arial"/>
        </w:rPr>
      </w:pPr>
      <w:r w:rsidRPr="006C582C">
        <w:rPr>
          <w:rFonts w:ascii="Arial" w:hAnsi="Arial" w:cs="Arial"/>
        </w:rPr>
        <w:t>These samples were incubated with</w:t>
      </w:r>
      <w:r w:rsidR="007B1D19" w:rsidRPr="006C582C">
        <w:rPr>
          <w:rFonts w:ascii="Arial" w:hAnsi="Arial" w:cs="Arial"/>
        </w:rPr>
        <w:t xml:space="preserve">: </w:t>
      </w:r>
    </w:p>
    <w:p w:rsidR="00EC718C" w:rsidRDefault="00EC718C" w:rsidP="003E6719">
      <w:pPr>
        <w:pStyle w:val="ListParagraph"/>
        <w:numPr>
          <w:ilvl w:val="1"/>
          <w:numId w:val="30"/>
        </w:numPr>
        <w:spacing w:line="360" w:lineRule="auto"/>
        <w:jc w:val="both"/>
        <w:rPr>
          <w:rFonts w:ascii="Arial" w:hAnsi="Arial" w:cs="Arial"/>
        </w:rPr>
      </w:pPr>
      <w:r>
        <w:rPr>
          <w:rFonts w:ascii="Arial" w:hAnsi="Arial" w:cs="Arial"/>
        </w:rPr>
        <w:t>A</w:t>
      </w:r>
      <w:r w:rsidRPr="006C582C">
        <w:rPr>
          <w:rFonts w:ascii="Arial" w:hAnsi="Arial" w:cs="Arial"/>
        </w:rPr>
        <w:t>n anti-osteocalcin monoclonal capture antibody in buffer containing bovine and mouse serum, this recognises and binds to the mid-region (amino acids 20 to 29)</w:t>
      </w:r>
    </w:p>
    <w:p w:rsidR="00EC718C" w:rsidRDefault="00EC718C" w:rsidP="003E6719">
      <w:pPr>
        <w:pStyle w:val="ListParagraph"/>
        <w:numPr>
          <w:ilvl w:val="1"/>
          <w:numId w:val="30"/>
        </w:numPr>
        <w:spacing w:line="360" w:lineRule="auto"/>
        <w:jc w:val="both"/>
        <w:rPr>
          <w:rFonts w:ascii="Arial" w:hAnsi="Arial" w:cs="Arial"/>
        </w:rPr>
      </w:pPr>
      <w:r>
        <w:rPr>
          <w:rFonts w:ascii="Arial" w:hAnsi="Arial" w:cs="Arial"/>
        </w:rPr>
        <w:t>A</w:t>
      </w:r>
      <w:r w:rsidRPr="006C582C">
        <w:rPr>
          <w:rFonts w:ascii="Arial" w:hAnsi="Arial" w:cs="Arial"/>
        </w:rPr>
        <w:t>n anti-osteocalcin labelled with an acridium ester derivative detection antibody, this recognises the N-terminal region (amino acids 10 to 16)</w:t>
      </w:r>
      <w:r w:rsidR="006C78B6">
        <w:rPr>
          <w:rFonts w:ascii="Arial" w:hAnsi="Arial" w:cs="Arial"/>
        </w:rPr>
        <w:t>.</w:t>
      </w:r>
    </w:p>
    <w:p w:rsidR="00EC718C" w:rsidRDefault="006C582C" w:rsidP="003E6719">
      <w:pPr>
        <w:pStyle w:val="ListParagraph"/>
        <w:numPr>
          <w:ilvl w:val="0"/>
          <w:numId w:val="30"/>
        </w:numPr>
        <w:spacing w:line="360" w:lineRule="auto"/>
        <w:jc w:val="both"/>
        <w:rPr>
          <w:rFonts w:ascii="Arial" w:hAnsi="Arial" w:cs="Arial"/>
        </w:rPr>
      </w:pPr>
      <w:r w:rsidRPr="006C582C">
        <w:rPr>
          <w:rFonts w:ascii="Arial" w:hAnsi="Arial" w:cs="Arial"/>
        </w:rPr>
        <w:t xml:space="preserve">A magnet captures the bound </w:t>
      </w:r>
      <w:r w:rsidR="000D041E">
        <w:rPr>
          <w:rFonts w:ascii="Arial" w:hAnsi="Arial" w:cs="Arial"/>
        </w:rPr>
        <w:t xml:space="preserve">streptavidin coated </w:t>
      </w:r>
      <w:r w:rsidRPr="006C582C">
        <w:rPr>
          <w:rFonts w:ascii="Arial" w:hAnsi="Arial" w:cs="Arial"/>
        </w:rPr>
        <w:t>magnetic particles and following a wash step Trigger reagents are added</w:t>
      </w:r>
    </w:p>
    <w:p w:rsidR="00EC718C" w:rsidRDefault="001A3F16" w:rsidP="003E6719">
      <w:pPr>
        <w:pStyle w:val="ListParagraph"/>
        <w:numPr>
          <w:ilvl w:val="1"/>
          <w:numId w:val="30"/>
        </w:numPr>
        <w:spacing w:line="360" w:lineRule="auto"/>
        <w:jc w:val="both"/>
        <w:rPr>
          <w:rFonts w:ascii="Arial" w:hAnsi="Arial" w:cs="Arial"/>
        </w:rPr>
      </w:pPr>
      <w:r w:rsidRPr="00EC718C">
        <w:rPr>
          <w:rFonts w:ascii="Arial" w:hAnsi="Arial" w:cs="Arial"/>
        </w:rPr>
        <w:t xml:space="preserve">Trigger </w:t>
      </w:r>
      <w:proofErr w:type="gramStart"/>
      <w:r w:rsidRPr="00EC718C">
        <w:rPr>
          <w:rFonts w:ascii="Arial" w:hAnsi="Arial" w:cs="Arial"/>
        </w:rPr>
        <w:t>A</w:t>
      </w:r>
      <w:proofErr w:type="gramEnd"/>
      <w:r w:rsidRPr="00EC718C">
        <w:rPr>
          <w:rFonts w:ascii="Arial" w:hAnsi="Arial" w:cs="Arial"/>
        </w:rPr>
        <w:t xml:space="preserve"> (H</w:t>
      </w:r>
      <w:r w:rsidRPr="00EC718C">
        <w:rPr>
          <w:rFonts w:ascii="Arial" w:hAnsi="Arial" w:cs="Arial"/>
          <w:vertAlign w:val="subscript"/>
        </w:rPr>
        <w:t>2</w:t>
      </w:r>
      <w:r w:rsidRPr="00EC718C">
        <w:rPr>
          <w:rFonts w:ascii="Arial" w:hAnsi="Arial" w:cs="Arial"/>
        </w:rPr>
        <w:t>O</w:t>
      </w:r>
      <w:r w:rsidRPr="00EC718C">
        <w:rPr>
          <w:rFonts w:ascii="Arial" w:hAnsi="Arial" w:cs="Arial"/>
          <w:vertAlign w:val="subscript"/>
        </w:rPr>
        <w:t>2</w:t>
      </w:r>
      <w:r w:rsidRPr="00EC718C">
        <w:rPr>
          <w:rFonts w:ascii="Arial" w:hAnsi="Arial" w:cs="Arial"/>
        </w:rPr>
        <w:t xml:space="preserve">) oxides the reaction and Trigger </w:t>
      </w:r>
      <w:r w:rsidR="00EC718C">
        <w:rPr>
          <w:rFonts w:ascii="Arial" w:hAnsi="Arial" w:cs="Arial"/>
        </w:rPr>
        <w:t>B (NaOH) stabilises it, causing</w:t>
      </w:r>
      <w:r w:rsidRPr="00EC718C">
        <w:rPr>
          <w:rFonts w:ascii="Arial" w:hAnsi="Arial" w:cs="Arial"/>
        </w:rPr>
        <w:t xml:space="preserve"> photons to be released by the acridinium label</w:t>
      </w:r>
      <w:r w:rsidR="00EC718C">
        <w:rPr>
          <w:rFonts w:ascii="Arial" w:hAnsi="Arial" w:cs="Arial"/>
        </w:rPr>
        <w:t>.</w:t>
      </w:r>
    </w:p>
    <w:p w:rsidR="001A3F16" w:rsidRPr="00EC718C" w:rsidRDefault="00EC718C" w:rsidP="003E6719">
      <w:pPr>
        <w:pStyle w:val="ListParagraph"/>
        <w:numPr>
          <w:ilvl w:val="1"/>
          <w:numId w:val="30"/>
        </w:numPr>
        <w:spacing w:line="360" w:lineRule="auto"/>
        <w:jc w:val="both"/>
        <w:rPr>
          <w:rFonts w:ascii="Arial" w:hAnsi="Arial" w:cs="Arial"/>
        </w:rPr>
      </w:pPr>
      <w:r>
        <w:rPr>
          <w:rFonts w:ascii="Arial" w:hAnsi="Arial" w:cs="Arial"/>
        </w:rPr>
        <w:t>T</w:t>
      </w:r>
      <w:r w:rsidR="001A3F16" w:rsidRPr="00EC718C">
        <w:rPr>
          <w:rFonts w:ascii="Arial" w:hAnsi="Arial" w:cs="Arial"/>
        </w:rPr>
        <w:t xml:space="preserve">he resulting light emitted </w:t>
      </w:r>
      <w:r>
        <w:rPr>
          <w:rFonts w:ascii="Arial" w:hAnsi="Arial" w:cs="Arial"/>
        </w:rPr>
        <w:t xml:space="preserve">and detected by the luminometer </w:t>
      </w:r>
      <w:r w:rsidR="001A3F16" w:rsidRPr="00EC718C">
        <w:rPr>
          <w:rFonts w:ascii="Arial" w:hAnsi="Arial" w:cs="Arial"/>
        </w:rPr>
        <w:t>is directly proportio</w:t>
      </w:r>
      <w:r w:rsidR="006C582C" w:rsidRPr="00EC718C">
        <w:rPr>
          <w:rFonts w:ascii="Arial" w:hAnsi="Arial" w:cs="Arial"/>
        </w:rPr>
        <w:t>nal to the concentration of osteocalcin</w:t>
      </w:r>
      <w:r w:rsidR="001A3F16" w:rsidRPr="00EC718C">
        <w:rPr>
          <w:rFonts w:ascii="Arial" w:hAnsi="Arial" w:cs="Arial"/>
        </w:rPr>
        <w:t xml:space="preserve"> in the control materials and the participants’ serum. </w:t>
      </w:r>
    </w:p>
    <w:p w:rsidR="001A3F16" w:rsidRDefault="001A3F16" w:rsidP="003E6719">
      <w:pPr>
        <w:spacing w:line="360" w:lineRule="auto"/>
        <w:jc w:val="both"/>
        <w:rPr>
          <w:rFonts w:ascii="Arial" w:hAnsi="Arial" w:cs="Arial"/>
        </w:rPr>
      </w:pPr>
      <w:r w:rsidRPr="00452AEA">
        <w:rPr>
          <w:rFonts w:ascii="Arial" w:hAnsi="Arial" w:cs="Arial"/>
        </w:rPr>
        <w:lastRenderedPageBreak/>
        <w:t>Prior to the analysis of the human serum test samples t</w:t>
      </w:r>
      <w:r w:rsidR="00EC718C">
        <w:rPr>
          <w:rFonts w:ascii="Arial" w:hAnsi="Arial" w:cs="Arial"/>
        </w:rPr>
        <w:t>he two osteocalcin</w:t>
      </w:r>
      <w:r w:rsidRPr="00452AEA">
        <w:rPr>
          <w:rFonts w:ascii="Arial" w:hAnsi="Arial" w:cs="Arial"/>
        </w:rPr>
        <w:t xml:space="preserve"> calibrators were measured in triplicate and used to adjust the master standard curve. This was required to produce a 4-parameter logis</w:t>
      </w:r>
      <w:r w:rsidR="00EC718C">
        <w:rPr>
          <w:rFonts w:ascii="Arial" w:hAnsi="Arial" w:cs="Arial"/>
        </w:rPr>
        <w:t xml:space="preserve">tic curve fit </w:t>
      </w:r>
      <w:r w:rsidR="00426FB4">
        <w:rPr>
          <w:rFonts w:ascii="Arial" w:hAnsi="Arial" w:cs="Arial"/>
        </w:rPr>
        <w:t>(y = (A-D)</w:t>
      </w:r>
      <w:proofErr w:type="gramStart"/>
      <w:r w:rsidR="00426FB4">
        <w:rPr>
          <w:rFonts w:ascii="Arial" w:hAnsi="Arial" w:cs="Arial"/>
        </w:rPr>
        <w:t>/(</w:t>
      </w:r>
      <w:proofErr w:type="gramEnd"/>
      <w:r w:rsidR="00426FB4">
        <w:rPr>
          <w:rFonts w:ascii="Arial" w:hAnsi="Arial" w:cs="Arial"/>
        </w:rPr>
        <w:t>1+(x/C)</w:t>
      </w:r>
      <w:r w:rsidR="00426FB4">
        <w:rPr>
          <w:rFonts w:ascii="Arial" w:hAnsi="Arial" w:cs="Arial"/>
          <w:vertAlign w:val="superscript"/>
        </w:rPr>
        <w:t>B</w:t>
      </w:r>
      <w:r w:rsidR="00426FB4">
        <w:rPr>
          <w:rFonts w:ascii="Arial" w:hAnsi="Arial" w:cs="Arial"/>
        </w:rPr>
        <w:t xml:space="preserve">)+D) </w:t>
      </w:r>
      <w:r w:rsidR="00EC718C">
        <w:rPr>
          <w:rFonts w:ascii="Arial" w:hAnsi="Arial" w:cs="Arial"/>
        </w:rPr>
        <w:t xml:space="preserve">from which the </w:t>
      </w:r>
      <w:r w:rsidR="0000562E">
        <w:rPr>
          <w:rFonts w:ascii="Arial" w:hAnsi="Arial" w:cs="Arial"/>
        </w:rPr>
        <w:t>osteocalcin</w:t>
      </w:r>
      <w:r w:rsidRPr="00452AEA">
        <w:rPr>
          <w:rFonts w:ascii="Arial" w:hAnsi="Arial" w:cs="Arial"/>
        </w:rPr>
        <w:t xml:space="preserve"> concentration was calculated</w:t>
      </w:r>
      <w:r w:rsidR="00481A37">
        <w:rPr>
          <w:rFonts w:ascii="Arial" w:hAnsi="Arial" w:cs="Arial"/>
        </w:rPr>
        <w:t>, (Figure 26</w:t>
      </w:r>
      <w:r w:rsidRPr="00452AEA">
        <w:rPr>
          <w:rFonts w:ascii="Arial" w:hAnsi="Arial" w:cs="Arial"/>
        </w:rPr>
        <w:t>). Three quality c</w:t>
      </w:r>
      <w:r w:rsidR="00EC718C">
        <w:rPr>
          <w:rFonts w:ascii="Arial" w:hAnsi="Arial" w:cs="Arial"/>
        </w:rPr>
        <w:t xml:space="preserve">ontrol samples of different osteocalcin </w:t>
      </w:r>
      <w:r w:rsidRPr="00452AEA">
        <w:rPr>
          <w:rFonts w:ascii="Arial" w:hAnsi="Arial" w:cs="Arial"/>
        </w:rPr>
        <w:t xml:space="preserve">concentrations (low, medium and high) were then each measured in duplicate and plotted on the standard curve to ensure accuracy (Figure </w:t>
      </w:r>
      <w:r w:rsidR="00C13464">
        <w:rPr>
          <w:rFonts w:ascii="Arial" w:hAnsi="Arial" w:cs="Arial"/>
        </w:rPr>
        <w:t>24</w:t>
      </w:r>
      <w:r w:rsidRPr="00452AEA">
        <w:rPr>
          <w:rFonts w:ascii="Arial" w:hAnsi="Arial" w:cs="Arial"/>
        </w:rPr>
        <w:t>).</w:t>
      </w:r>
    </w:p>
    <w:p w:rsidR="003C2E67" w:rsidRPr="00EF31D2" w:rsidRDefault="00743B61" w:rsidP="00900F2C">
      <w:pPr>
        <w:spacing w:line="360" w:lineRule="auto"/>
        <w:rPr>
          <w:rFonts w:ascii="Arial" w:hAnsi="Arial" w:cs="Arial"/>
        </w:rPr>
      </w:pPr>
      <w:r>
        <w:rPr>
          <w:noProof/>
          <w:lang w:eastAsia="zh-CN"/>
        </w:rPr>
        <mc:AlternateContent>
          <mc:Choice Requires="wps">
            <w:drawing>
              <wp:anchor distT="0" distB="0" distL="114300" distR="114300" simplePos="0" relativeHeight="253282816" behindDoc="0" locked="0" layoutInCell="1" allowOverlap="1" wp14:anchorId="02166418" wp14:editId="300AA631">
                <wp:simplePos x="0" y="0"/>
                <wp:positionH relativeFrom="column">
                  <wp:posOffset>-318</wp:posOffset>
                </wp:positionH>
                <wp:positionV relativeFrom="paragraph">
                  <wp:posOffset>2568575</wp:posOffset>
                </wp:positionV>
                <wp:extent cx="5972175" cy="635"/>
                <wp:effectExtent l="0" t="0" r="0" b="0"/>
                <wp:wrapNone/>
                <wp:docPr id="18642" name="Text Box 18642"/>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a:effectLst/>
                      </wps:spPr>
                      <wps:txbx>
                        <w:txbxContent>
                          <w:p w:rsidR="004166BC" w:rsidRPr="003C2E67" w:rsidRDefault="004166BC" w:rsidP="003E6719">
                            <w:pPr>
                              <w:pStyle w:val="Caption"/>
                              <w:jc w:val="both"/>
                              <w:rPr>
                                <w:rFonts w:ascii="Arial" w:hAnsi="Arial" w:cs="Arial"/>
                                <w:b w:val="0"/>
                                <w:noProof/>
                                <w:color w:val="auto"/>
                              </w:rPr>
                            </w:pPr>
                            <w:bookmarkStart w:id="83" w:name="_Toc422736066"/>
                            <w:bookmarkStart w:id="84" w:name="_Toc422736174"/>
                            <w:bookmarkStart w:id="85" w:name="_Toc425419509"/>
                            <w:r w:rsidRPr="003C2E67">
                              <w:rPr>
                                <w:rFonts w:ascii="Arial" w:hAnsi="Arial" w:cs="Arial"/>
                                <w:b w:val="0"/>
                                <w:color w:val="auto"/>
                              </w:rPr>
                              <w:t xml:space="preserve">Figure </w:t>
                            </w:r>
                            <w:r w:rsidRPr="003C2E67">
                              <w:rPr>
                                <w:rFonts w:ascii="Arial" w:hAnsi="Arial" w:cs="Arial"/>
                                <w:b w:val="0"/>
                                <w:color w:val="auto"/>
                              </w:rPr>
                              <w:fldChar w:fldCharType="begin"/>
                            </w:r>
                            <w:r w:rsidRPr="003C2E67">
                              <w:rPr>
                                <w:rFonts w:ascii="Arial" w:hAnsi="Arial" w:cs="Arial"/>
                                <w:b w:val="0"/>
                                <w:color w:val="auto"/>
                              </w:rPr>
                              <w:instrText xml:space="preserve"> SEQ Figure \* ARABIC </w:instrText>
                            </w:r>
                            <w:r w:rsidRPr="003C2E67">
                              <w:rPr>
                                <w:rFonts w:ascii="Arial" w:hAnsi="Arial" w:cs="Arial"/>
                                <w:b w:val="0"/>
                                <w:color w:val="auto"/>
                              </w:rPr>
                              <w:fldChar w:fldCharType="separate"/>
                            </w:r>
                            <w:r>
                              <w:rPr>
                                <w:rFonts w:ascii="Arial" w:hAnsi="Arial" w:cs="Arial"/>
                                <w:b w:val="0"/>
                                <w:noProof/>
                                <w:color w:val="auto"/>
                              </w:rPr>
                              <w:t>24</w:t>
                            </w:r>
                            <w:r w:rsidRPr="003C2E67">
                              <w:rPr>
                                <w:rFonts w:ascii="Arial" w:hAnsi="Arial" w:cs="Arial"/>
                                <w:b w:val="0"/>
                                <w:color w:val="auto"/>
                              </w:rPr>
                              <w:fldChar w:fldCharType="end"/>
                            </w:r>
                            <w:r w:rsidRPr="003C2E67">
                              <w:rPr>
                                <w:rFonts w:ascii="Arial" w:hAnsi="Arial" w:cs="Arial"/>
                                <w:b w:val="0"/>
                                <w:color w:val="auto"/>
                              </w:rPr>
                              <w:t xml:space="preserve">: </w:t>
                            </w:r>
                            <w:r>
                              <w:rPr>
                                <w:rFonts w:ascii="Arial" w:hAnsi="Arial" w:cs="Arial"/>
                                <w:b w:val="0"/>
                                <w:color w:val="auto"/>
                              </w:rPr>
                              <w:t xml:space="preserve">IDS-iSYS N-Mid® osteocalcin </w:t>
                            </w:r>
                            <w:r w:rsidRPr="003C2E67">
                              <w:rPr>
                                <w:rFonts w:ascii="Arial" w:hAnsi="Arial" w:cs="Arial"/>
                                <w:b w:val="0"/>
                                <w:color w:val="auto"/>
                              </w:rPr>
                              <w:t>calibration curve (left) and with the addition of the values of the quality control materials shown in pink shapes and the acceptable RLU range for each (right)</w:t>
                            </w:r>
                            <w:bookmarkEnd w:id="83"/>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166418" id="Text Box 18642" o:spid="_x0000_s1132" type="#_x0000_t202" style="position:absolute;margin-left:-.05pt;margin-top:202.25pt;width:470.25pt;height:.05pt;z-index:2532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" stroked="f">
                <v:textbox style="mso-fit-shape-to-text:t" inset="0,0,0,0">
                  <w:txbxContent>
                    <w:p w:rsidR="004166BC" w:rsidRPr="003C2E67" w:rsidRDefault="004166BC" w:rsidP="003E6719">
                      <w:pPr>
                        <w:pStyle w:val="Caption"/>
                        <w:jc w:val="both"/>
                        <w:rPr>
                          <w:rFonts w:ascii="Arial" w:hAnsi="Arial" w:cs="Arial"/>
                          <w:b w:val="0"/>
                          <w:noProof/>
                          <w:color w:val="auto"/>
                        </w:rPr>
                      </w:pPr>
                      <w:bookmarkStart w:id="119" w:name="_Toc422736066"/>
                      <w:bookmarkStart w:id="120" w:name="_Toc422736174"/>
                      <w:bookmarkStart w:id="121" w:name="_Toc425419509"/>
                      <w:r w:rsidRPr="003C2E67">
                        <w:rPr>
                          <w:rFonts w:ascii="Arial" w:hAnsi="Arial" w:cs="Arial"/>
                          <w:b w:val="0"/>
                          <w:color w:val="auto"/>
                        </w:rPr>
                        <w:t xml:space="preserve">Figure </w:t>
                      </w:r>
                      <w:r w:rsidRPr="003C2E67">
                        <w:rPr>
                          <w:rFonts w:ascii="Arial" w:hAnsi="Arial" w:cs="Arial"/>
                          <w:b w:val="0"/>
                          <w:color w:val="auto"/>
                        </w:rPr>
                        <w:fldChar w:fldCharType="begin"/>
                      </w:r>
                      <w:r w:rsidRPr="003C2E67">
                        <w:rPr>
                          <w:rFonts w:ascii="Arial" w:hAnsi="Arial" w:cs="Arial"/>
                          <w:b w:val="0"/>
                          <w:color w:val="auto"/>
                        </w:rPr>
                        <w:instrText xml:space="preserve"> SEQ Figure \* ARABIC </w:instrText>
                      </w:r>
                      <w:r w:rsidRPr="003C2E67">
                        <w:rPr>
                          <w:rFonts w:ascii="Arial" w:hAnsi="Arial" w:cs="Arial"/>
                          <w:b w:val="0"/>
                          <w:color w:val="auto"/>
                        </w:rPr>
                        <w:fldChar w:fldCharType="separate"/>
                      </w:r>
                      <w:r>
                        <w:rPr>
                          <w:rFonts w:ascii="Arial" w:hAnsi="Arial" w:cs="Arial"/>
                          <w:b w:val="0"/>
                          <w:noProof/>
                          <w:color w:val="auto"/>
                        </w:rPr>
                        <w:t>24</w:t>
                      </w:r>
                      <w:r w:rsidRPr="003C2E67">
                        <w:rPr>
                          <w:rFonts w:ascii="Arial" w:hAnsi="Arial" w:cs="Arial"/>
                          <w:b w:val="0"/>
                          <w:color w:val="auto"/>
                        </w:rPr>
                        <w:fldChar w:fldCharType="end"/>
                      </w:r>
                      <w:r w:rsidRPr="003C2E67">
                        <w:rPr>
                          <w:rFonts w:ascii="Arial" w:hAnsi="Arial" w:cs="Arial"/>
                          <w:b w:val="0"/>
                          <w:color w:val="auto"/>
                        </w:rPr>
                        <w:t xml:space="preserve">: </w:t>
                      </w:r>
                      <w:r>
                        <w:rPr>
                          <w:rFonts w:ascii="Arial" w:hAnsi="Arial" w:cs="Arial"/>
                          <w:b w:val="0"/>
                          <w:color w:val="auto"/>
                        </w:rPr>
                        <w:t xml:space="preserve">IDS-iSYS N-Mid® osteocalcin </w:t>
                      </w:r>
                      <w:r w:rsidRPr="003C2E67">
                        <w:rPr>
                          <w:rFonts w:ascii="Arial" w:hAnsi="Arial" w:cs="Arial"/>
                          <w:b w:val="0"/>
                          <w:color w:val="auto"/>
                        </w:rPr>
                        <w:t>calibration curve (left) and with the addition of the values of the quality control materials shown in pink shapes and the acceptable RLU range for each (right)</w:t>
                      </w:r>
                      <w:bookmarkEnd w:id="119"/>
                      <w:bookmarkEnd w:id="120"/>
                      <w:bookmarkEnd w:id="121"/>
                    </w:p>
                  </w:txbxContent>
                </v:textbox>
              </v:shape>
            </w:pict>
          </mc:Fallback>
        </mc:AlternateContent>
      </w:r>
      <w:r w:rsidR="003C2E67">
        <w:rPr>
          <w:rFonts w:ascii="Arial" w:hAnsi="Arial" w:cs="Arial"/>
          <w:noProof/>
          <w:lang w:eastAsia="zh-CN"/>
        </w:rPr>
        <w:drawing>
          <wp:inline distT="0" distB="0" distL="0" distR="0" wp14:anchorId="2396657F" wp14:editId="5BC06C63">
            <wp:extent cx="2695575" cy="2308721"/>
            <wp:effectExtent l="0" t="0" r="0" b="0"/>
            <wp:docPr id="18638" name="Picture 1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01148" cy="2313494"/>
                    </a:xfrm>
                    <a:prstGeom prst="rect">
                      <a:avLst/>
                    </a:prstGeom>
                    <a:noFill/>
                  </pic:spPr>
                </pic:pic>
              </a:graphicData>
            </a:graphic>
          </wp:inline>
        </w:drawing>
      </w:r>
      <w:r w:rsidR="003C2E67">
        <w:rPr>
          <w:rFonts w:ascii="Arial" w:hAnsi="Arial" w:cs="Arial"/>
          <w:noProof/>
          <w:lang w:eastAsia="zh-CN"/>
        </w:rPr>
        <w:drawing>
          <wp:inline distT="0" distB="0" distL="0" distR="0" wp14:anchorId="000AF519" wp14:editId="3F697F79">
            <wp:extent cx="2676525" cy="2299536"/>
            <wp:effectExtent l="0" t="0" r="0" b="5715"/>
            <wp:docPr id="18640" name="Picture 1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14748" cy="2332375"/>
                    </a:xfrm>
                    <a:prstGeom prst="rect">
                      <a:avLst/>
                    </a:prstGeom>
                    <a:noFill/>
                  </pic:spPr>
                </pic:pic>
              </a:graphicData>
            </a:graphic>
          </wp:inline>
        </w:drawing>
      </w:r>
    </w:p>
    <w:p w:rsidR="003C2E67" w:rsidRDefault="003C2E67" w:rsidP="00900F2C">
      <w:pPr>
        <w:pStyle w:val="Heading4"/>
      </w:pPr>
    </w:p>
    <w:p w:rsidR="009B2B28" w:rsidRDefault="009B2B28" w:rsidP="00900F2C">
      <w:pPr>
        <w:pStyle w:val="Heading4"/>
      </w:pPr>
    </w:p>
    <w:p w:rsidR="006C78B6" w:rsidRDefault="006C78B6" w:rsidP="003E6719">
      <w:pPr>
        <w:pStyle w:val="Heading4"/>
        <w:jc w:val="both"/>
      </w:pPr>
      <w:r>
        <w:t>Osteocalcin assay performance and validation</w:t>
      </w:r>
    </w:p>
    <w:p w:rsidR="006C78B6" w:rsidRDefault="006C78B6" w:rsidP="003E6719">
      <w:pPr>
        <w:spacing w:after="0" w:line="360" w:lineRule="auto"/>
        <w:jc w:val="both"/>
        <w:rPr>
          <w:rFonts w:ascii="Arial" w:hAnsi="Arial" w:cs="Arial"/>
        </w:rPr>
      </w:pPr>
      <w:r w:rsidRPr="00957976">
        <w:rPr>
          <w:rFonts w:ascii="Arial" w:hAnsi="Arial" w:cs="Arial"/>
        </w:rPr>
        <w:t>Th</w:t>
      </w:r>
      <w:r w:rsidR="00D929EE">
        <w:rPr>
          <w:rFonts w:ascii="Arial" w:hAnsi="Arial" w:cs="Arial"/>
        </w:rPr>
        <w:t>e performance of the N-Mid osteocalcin</w:t>
      </w:r>
      <w:r w:rsidRPr="00957976">
        <w:rPr>
          <w:rFonts w:ascii="Arial" w:hAnsi="Arial" w:cs="Arial"/>
        </w:rPr>
        <w:t xml:space="preserve"> assay using the iSYS-IDS analyser has previously been validated by IDS. The detection range was</w:t>
      </w:r>
      <w:r w:rsidR="00D929EE">
        <w:rPr>
          <w:rFonts w:ascii="Arial" w:hAnsi="Arial" w:cs="Arial"/>
        </w:rPr>
        <w:t xml:space="preserve"> between 2.0 to 200</w:t>
      </w:r>
      <w:r w:rsidRPr="00957976">
        <w:rPr>
          <w:rFonts w:ascii="Arial" w:hAnsi="Arial" w:cs="Arial"/>
        </w:rPr>
        <w:t xml:space="preserve"> ng/ml, the</w:t>
      </w:r>
      <w:r w:rsidR="00D929EE">
        <w:rPr>
          <w:rFonts w:ascii="Arial" w:hAnsi="Arial" w:cs="Arial"/>
        </w:rPr>
        <w:t xml:space="preserve"> lower limit of detection was 0.27</w:t>
      </w:r>
      <w:r w:rsidRPr="00957976">
        <w:rPr>
          <w:rFonts w:ascii="Arial" w:hAnsi="Arial" w:cs="Arial"/>
        </w:rPr>
        <w:t xml:space="preserve"> ng/m. </w:t>
      </w:r>
    </w:p>
    <w:p w:rsidR="006C78B6" w:rsidRDefault="006C78B6" w:rsidP="003E6719">
      <w:pPr>
        <w:spacing w:after="0" w:line="360" w:lineRule="auto"/>
        <w:jc w:val="both"/>
        <w:rPr>
          <w:rFonts w:ascii="Arial" w:hAnsi="Arial" w:cs="Arial"/>
        </w:rPr>
      </w:pPr>
      <w:r w:rsidRPr="00957976">
        <w:rPr>
          <w:rFonts w:ascii="Arial" w:hAnsi="Arial" w:cs="Arial"/>
        </w:rPr>
        <w:t>In order to confirm that the performance of the assay is satisfactory in our laboratory environment, additional validations were carried out:</w:t>
      </w:r>
    </w:p>
    <w:p w:rsidR="009B2B28" w:rsidRDefault="000E05FF" w:rsidP="003E6719">
      <w:pPr>
        <w:pStyle w:val="Heading4"/>
        <w:jc w:val="both"/>
      </w:pPr>
      <w:r>
        <w:t>Osteocalcin</w:t>
      </w:r>
      <w:r w:rsidR="009B2B28">
        <w:t xml:space="preserve"> assay precision </w:t>
      </w:r>
    </w:p>
    <w:p w:rsidR="000E05FF" w:rsidRDefault="000E05FF" w:rsidP="003E6719">
      <w:pPr>
        <w:spacing w:line="360" w:lineRule="auto"/>
        <w:jc w:val="both"/>
        <w:rPr>
          <w:rFonts w:ascii="Arial" w:hAnsi="Arial" w:cs="Arial"/>
        </w:rPr>
      </w:pPr>
      <w:r w:rsidRPr="00BC71DE">
        <w:rPr>
          <w:rFonts w:ascii="Arial" w:hAnsi="Arial" w:cs="Arial"/>
        </w:rPr>
        <w:t>The p</w:t>
      </w:r>
      <w:r w:rsidR="008777E1">
        <w:rPr>
          <w:rFonts w:ascii="Arial" w:hAnsi="Arial" w:cs="Arial"/>
        </w:rPr>
        <w:t xml:space="preserve">recision of the N-Mid osteocalcin </w:t>
      </w:r>
      <w:r w:rsidRPr="00BC71DE">
        <w:rPr>
          <w:rFonts w:ascii="Arial" w:hAnsi="Arial" w:cs="Arial"/>
        </w:rPr>
        <w:t>assay was assessed in</w:t>
      </w:r>
      <w:r w:rsidR="005010B9">
        <w:rPr>
          <w:rFonts w:ascii="Arial" w:hAnsi="Arial" w:cs="Arial"/>
        </w:rPr>
        <w:t xml:space="preserve"> accordance with the CLSI</w:t>
      </w:r>
      <w:r w:rsidRPr="00BC71DE">
        <w:rPr>
          <w:rFonts w:ascii="Arial" w:hAnsi="Arial" w:cs="Arial"/>
        </w:rPr>
        <w:t xml:space="preserve">: Evaluation of precision performance of quantitative measurement methods. Four quality control materials of different concentrations were measured once per day over a period of 20 days. The CV was calculated and expressed as a percentage, </w:t>
      </w:r>
      <w:r w:rsidR="00797CED">
        <w:rPr>
          <w:rFonts w:ascii="Arial" w:hAnsi="Arial" w:cs="Arial"/>
        </w:rPr>
        <w:t>(</w:t>
      </w:r>
      <w:r w:rsidRPr="00BC71DE">
        <w:rPr>
          <w:rFonts w:ascii="Arial" w:hAnsi="Arial" w:cs="Arial"/>
        </w:rPr>
        <w:t>Table</w:t>
      </w:r>
      <w:r w:rsidR="00CA6772">
        <w:rPr>
          <w:rFonts w:ascii="Arial" w:hAnsi="Arial" w:cs="Arial"/>
        </w:rPr>
        <w:t xml:space="preserve"> 4</w:t>
      </w:r>
      <w:r w:rsidR="00797CED">
        <w:rPr>
          <w:rFonts w:ascii="Arial" w:hAnsi="Arial" w:cs="Arial"/>
        </w:rPr>
        <w:t>)</w:t>
      </w:r>
      <w:r w:rsidRPr="00BC71DE">
        <w:rPr>
          <w:rFonts w:ascii="Arial" w:hAnsi="Arial" w:cs="Arial"/>
        </w:rPr>
        <w:t xml:space="preserve">. A CV of less </w:t>
      </w:r>
      <w:r>
        <w:rPr>
          <w:rFonts w:ascii="Arial" w:hAnsi="Arial" w:cs="Arial"/>
        </w:rPr>
        <w:t>than 10% was termed acceptable.</w:t>
      </w:r>
    </w:p>
    <w:p w:rsidR="000E05FF" w:rsidRPr="000E05FF" w:rsidRDefault="000E05FF" w:rsidP="003E6719">
      <w:pPr>
        <w:spacing w:line="240" w:lineRule="auto"/>
        <w:jc w:val="both"/>
        <w:rPr>
          <w:rFonts w:ascii="Arial" w:hAnsi="Arial" w:cs="Arial"/>
          <w:sz w:val="18"/>
          <w:szCs w:val="18"/>
        </w:rPr>
      </w:pPr>
      <w:bookmarkStart w:id="86" w:name="_Toc424043678"/>
      <w:r w:rsidRPr="000E05FF">
        <w:rPr>
          <w:rFonts w:ascii="Arial" w:hAnsi="Arial" w:cs="Arial"/>
          <w:sz w:val="18"/>
          <w:szCs w:val="18"/>
        </w:rPr>
        <w:t xml:space="preserve">Table </w:t>
      </w:r>
      <w:r w:rsidRPr="000E05FF">
        <w:rPr>
          <w:rFonts w:ascii="Arial" w:hAnsi="Arial" w:cs="Arial"/>
          <w:sz w:val="18"/>
          <w:szCs w:val="18"/>
        </w:rPr>
        <w:fldChar w:fldCharType="begin"/>
      </w:r>
      <w:r w:rsidRPr="000E05FF">
        <w:rPr>
          <w:rFonts w:ascii="Arial" w:hAnsi="Arial" w:cs="Arial"/>
          <w:sz w:val="18"/>
          <w:szCs w:val="18"/>
        </w:rPr>
        <w:instrText xml:space="preserve"> SEQ Table \* ARABIC </w:instrText>
      </w:r>
      <w:r w:rsidRPr="000E05FF">
        <w:rPr>
          <w:rFonts w:ascii="Arial" w:hAnsi="Arial" w:cs="Arial"/>
          <w:sz w:val="18"/>
          <w:szCs w:val="18"/>
        </w:rPr>
        <w:fldChar w:fldCharType="separate"/>
      </w:r>
      <w:r w:rsidR="00DD116A">
        <w:rPr>
          <w:rFonts w:ascii="Arial" w:hAnsi="Arial" w:cs="Arial"/>
          <w:noProof/>
          <w:sz w:val="18"/>
          <w:szCs w:val="18"/>
        </w:rPr>
        <w:t>4</w:t>
      </w:r>
      <w:r w:rsidRPr="000E05FF">
        <w:rPr>
          <w:rFonts w:ascii="Arial" w:hAnsi="Arial" w:cs="Arial"/>
          <w:sz w:val="18"/>
          <w:szCs w:val="18"/>
        </w:rPr>
        <w:fldChar w:fldCharType="end"/>
      </w:r>
      <w:r w:rsidR="00BD690E">
        <w:rPr>
          <w:rFonts w:ascii="Arial" w:hAnsi="Arial" w:cs="Arial"/>
          <w:sz w:val="18"/>
          <w:szCs w:val="18"/>
        </w:rPr>
        <w:t>: The</w:t>
      </w:r>
      <w:r w:rsidRPr="000E05FF">
        <w:rPr>
          <w:rFonts w:ascii="Arial" w:hAnsi="Arial" w:cs="Arial"/>
          <w:sz w:val="18"/>
          <w:szCs w:val="18"/>
        </w:rPr>
        <w:t xml:space="preserve"> inter assay</w:t>
      </w:r>
      <w:r>
        <w:rPr>
          <w:rFonts w:ascii="Arial" w:hAnsi="Arial" w:cs="Arial"/>
          <w:sz w:val="18"/>
          <w:szCs w:val="18"/>
        </w:rPr>
        <w:t xml:space="preserve"> precision of the IDS-iSYS N-Mid osteocalcin</w:t>
      </w:r>
      <w:r w:rsidRPr="000E05FF">
        <w:rPr>
          <w:rFonts w:ascii="Arial" w:hAnsi="Arial" w:cs="Arial"/>
          <w:sz w:val="18"/>
          <w:szCs w:val="18"/>
        </w:rPr>
        <w:t xml:space="preserve"> (ng/ml) using four different levels of QC material measured (N = 20 each).</w:t>
      </w:r>
      <w:bookmarkEnd w:id="86"/>
    </w:p>
    <w:tbl>
      <w:tblPr>
        <w:tblStyle w:val="TableGrid"/>
        <w:tblW w:w="0" w:type="auto"/>
        <w:jc w:val="center"/>
        <w:tblLook w:val="04A0" w:firstRow="1" w:lastRow="0" w:firstColumn="1" w:lastColumn="0" w:noHBand="0" w:noVBand="1"/>
      </w:tblPr>
      <w:tblGrid>
        <w:gridCol w:w="2500"/>
        <w:gridCol w:w="2500"/>
        <w:gridCol w:w="2500"/>
      </w:tblGrid>
      <w:tr w:rsidR="000E05FF" w:rsidRPr="009F0A80" w:rsidTr="002E7657">
        <w:trPr>
          <w:trHeight w:val="283"/>
          <w:jc w:val="center"/>
        </w:trPr>
        <w:tc>
          <w:tcPr>
            <w:tcW w:w="2500" w:type="dxa"/>
          </w:tcPr>
          <w:p w:rsidR="000E05FF" w:rsidRPr="009F0A80" w:rsidRDefault="000E05FF"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0E05FF" w:rsidRPr="009F0A80" w:rsidRDefault="000E05FF"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ation, ng/ml</w:t>
            </w:r>
            <w:r w:rsidRPr="009F0A80">
              <w:rPr>
                <w:rFonts w:ascii="Arial" w:hAnsi="Arial" w:cs="Arial"/>
                <w:sz w:val="16"/>
                <w:szCs w:val="16"/>
              </w:rPr>
              <w:t>/ (standard deviation)</w:t>
            </w:r>
          </w:p>
        </w:tc>
        <w:tc>
          <w:tcPr>
            <w:tcW w:w="2500" w:type="dxa"/>
          </w:tcPr>
          <w:p w:rsidR="000E05FF" w:rsidRPr="009F0A80" w:rsidRDefault="000E05FF" w:rsidP="00900F2C">
            <w:pPr>
              <w:rPr>
                <w:rFonts w:ascii="Arial" w:hAnsi="Arial" w:cs="Arial"/>
                <w:sz w:val="16"/>
                <w:szCs w:val="16"/>
              </w:rPr>
            </w:pPr>
            <w:r w:rsidRPr="009F0A80">
              <w:rPr>
                <w:rFonts w:ascii="Arial" w:hAnsi="Arial" w:cs="Arial"/>
                <w:sz w:val="16"/>
                <w:szCs w:val="16"/>
              </w:rPr>
              <w:t>Inter-assay CV (%)</w:t>
            </w:r>
          </w:p>
        </w:tc>
      </w:tr>
      <w:tr w:rsidR="000E05FF" w:rsidRPr="009F0A80" w:rsidTr="002E7657">
        <w:trPr>
          <w:trHeight w:val="283"/>
          <w:jc w:val="center"/>
        </w:trPr>
        <w:tc>
          <w:tcPr>
            <w:tcW w:w="2500" w:type="dxa"/>
            <w:vAlign w:val="center"/>
          </w:tcPr>
          <w:p w:rsidR="000E05FF" w:rsidRPr="009F0A80" w:rsidRDefault="000E05FF"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0E05FF" w:rsidRPr="009F0A80" w:rsidRDefault="007B6D04" w:rsidP="00900F2C">
            <w:pPr>
              <w:rPr>
                <w:rFonts w:ascii="Arial" w:hAnsi="Arial" w:cs="Arial"/>
                <w:sz w:val="16"/>
                <w:szCs w:val="16"/>
              </w:rPr>
            </w:pPr>
            <w:r>
              <w:rPr>
                <w:rFonts w:ascii="Arial" w:hAnsi="Arial" w:cs="Arial"/>
                <w:sz w:val="16"/>
                <w:szCs w:val="16"/>
              </w:rPr>
              <w:t>7.60 (0.34)</w:t>
            </w:r>
          </w:p>
        </w:tc>
        <w:tc>
          <w:tcPr>
            <w:tcW w:w="2500" w:type="dxa"/>
            <w:vAlign w:val="center"/>
          </w:tcPr>
          <w:p w:rsidR="000E05FF" w:rsidRPr="009F0A80" w:rsidRDefault="008777E1" w:rsidP="00900F2C">
            <w:pPr>
              <w:rPr>
                <w:rFonts w:ascii="Arial" w:hAnsi="Arial" w:cs="Arial"/>
                <w:sz w:val="16"/>
                <w:szCs w:val="16"/>
              </w:rPr>
            </w:pPr>
            <w:r>
              <w:rPr>
                <w:rFonts w:ascii="Arial" w:hAnsi="Arial" w:cs="Arial"/>
                <w:sz w:val="16"/>
                <w:szCs w:val="16"/>
              </w:rPr>
              <w:t>4.4</w:t>
            </w:r>
          </w:p>
        </w:tc>
      </w:tr>
      <w:tr w:rsidR="000E05FF" w:rsidRPr="009F0A80" w:rsidTr="002E7657">
        <w:trPr>
          <w:trHeight w:val="283"/>
          <w:jc w:val="center"/>
        </w:trPr>
        <w:tc>
          <w:tcPr>
            <w:tcW w:w="2500" w:type="dxa"/>
            <w:vAlign w:val="center"/>
          </w:tcPr>
          <w:p w:rsidR="000E05FF" w:rsidRPr="009F0A80" w:rsidRDefault="000E05FF" w:rsidP="00900F2C">
            <w:pPr>
              <w:rPr>
                <w:rFonts w:ascii="Arial" w:hAnsi="Arial" w:cs="Arial"/>
                <w:sz w:val="16"/>
                <w:szCs w:val="16"/>
              </w:rPr>
            </w:pPr>
            <w:r w:rsidRPr="009F0A80">
              <w:rPr>
                <w:rFonts w:ascii="Arial" w:hAnsi="Arial" w:cs="Arial"/>
                <w:sz w:val="16"/>
                <w:szCs w:val="16"/>
              </w:rPr>
              <w:t>QC 2 (medium)</w:t>
            </w:r>
          </w:p>
        </w:tc>
        <w:tc>
          <w:tcPr>
            <w:tcW w:w="2500" w:type="dxa"/>
            <w:vAlign w:val="center"/>
          </w:tcPr>
          <w:p w:rsidR="000E05FF" w:rsidRPr="009F0A80" w:rsidRDefault="008777E1" w:rsidP="00900F2C">
            <w:pPr>
              <w:rPr>
                <w:rFonts w:ascii="Arial" w:hAnsi="Arial" w:cs="Arial"/>
                <w:sz w:val="16"/>
                <w:szCs w:val="16"/>
              </w:rPr>
            </w:pPr>
            <w:r>
              <w:rPr>
                <w:rFonts w:ascii="Arial" w:hAnsi="Arial" w:cs="Arial"/>
                <w:sz w:val="16"/>
                <w:szCs w:val="16"/>
              </w:rPr>
              <w:t>23.96 (1.05)</w:t>
            </w:r>
          </w:p>
        </w:tc>
        <w:tc>
          <w:tcPr>
            <w:tcW w:w="2500" w:type="dxa"/>
            <w:vAlign w:val="center"/>
          </w:tcPr>
          <w:p w:rsidR="000E05FF" w:rsidRPr="009F0A80" w:rsidRDefault="008777E1" w:rsidP="00900F2C">
            <w:pPr>
              <w:rPr>
                <w:rFonts w:ascii="Arial" w:hAnsi="Arial" w:cs="Arial"/>
                <w:sz w:val="16"/>
                <w:szCs w:val="16"/>
              </w:rPr>
            </w:pPr>
            <w:r>
              <w:rPr>
                <w:rFonts w:ascii="Arial" w:hAnsi="Arial" w:cs="Arial"/>
                <w:sz w:val="16"/>
                <w:szCs w:val="16"/>
              </w:rPr>
              <w:t>4.4</w:t>
            </w:r>
          </w:p>
        </w:tc>
      </w:tr>
      <w:tr w:rsidR="000E05FF" w:rsidRPr="009F0A80" w:rsidTr="002E7657">
        <w:trPr>
          <w:trHeight w:val="283"/>
          <w:jc w:val="center"/>
        </w:trPr>
        <w:tc>
          <w:tcPr>
            <w:tcW w:w="2500" w:type="dxa"/>
            <w:vAlign w:val="center"/>
          </w:tcPr>
          <w:p w:rsidR="000E05FF" w:rsidRPr="009F0A80" w:rsidRDefault="000E05FF" w:rsidP="00900F2C">
            <w:pPr>
              <w:rPr>
                <w:rFonts w:ascii="Arial" w:hAnsi="Arial" w:cs="Arial"/>
                <w:sz w:val="16"/>
                <w:szCs w:val="16"/>
              </w:rPr>
            </w:pPr>
            <w:r w:rsidRPr="009F0A80">
              <w:rPr>
                <w:rFonts w:ascii="Arial" w:hAnsi="Arial" w:cs="Arial"/>
                <w:sz w:val="16"/>
                <w:szCs w:val="16"/>
              </w:rPr>
              <w:t>QC 3 (high)</w:t>
            </w:r>
          </w:p>
        </w:tc>
        <w:tc>
          <w:tcPr>
            <w:tcW w:w="2500" w:type="dxa"/>
            <w:vAlign w:val="center"/>
          </w:tcPr>
          <w:p w:rsidR="000E05FF" w:rsidRPr="009F0A80" w:rsidRDefault="008777E1" w:rsidP="00900F2C">
            <w:pPr>
              <w:rPr>
                <w:rFonts w:ascii="Arial" w:hAnsi="Arial" w:cs="Arial"/>
                <w:sz w:val="16"/>
                <w:szCs w:val="16"/>
              </w:rPr>
            </w:pPr>
            <w:r>
              <w:rPr>
                <w:rFonts w:ascii="Arial" w:hAnsi="Arial" w:cs="Arial"/>
                <w:sz w:val="16"/>
                <w:szCs w:val="16"/>
              </w:rPr>
              <w:t>59.86 (3.11)</w:t>
            </w:r>
          </w:p>
        </w:tc>
        <w:tc>
          <w:tcPr>
            <w:tcW w:w="2500" w:type="dxa"/>
            <w:vAlign w:val="center"/>
          </w:tcPr>
          <w:p w:rsidR="000E05FF" w:rsidRPr="009F0A80" w:rsidRDefault="008777E1" w:rsidP="00900F2C">
            <w:pPr>
              <w:rPr>
                <w:rFonts w:ascii="Arial" w:hAnsi="Arial" w:cs="Arial"/>
                <w:sz w:val="16"/>
                <w:szCs w:val="16"/>
              </w:rPr>
            </w:pPr>
            <w:r>
              <w:rPr>
                <w:rFonts w:ascii="Arial" w:hAnsi="Arial" w:cs="Arial"/>
                <w:sz w:val="16"/>
                <w:szCs w:val="16"/>
              </w:rPr>
              <w:t>5.2</w:t>
            </w:r>
          </w:p>
        </w:tc>
      </w:tr>
      <w:tr w:rsidR="000E05FF" w:rsidRPr="009F0A80" w:rsidTr="002E7657">
        <w:trPr>
          <w:trHeight w:val="283"/>
          <w:jc w:val="center"/>
        </w:trPr>
        <w:tc>
          <w:tcPr>
            <w:tcW w:w="2500" w:type="dxa"/>
            <w:vAlign w:val="center"/>
          </w:tcPr>
          <w:p w:rsidR="000E05FF" w:rsidRPr="009F0A80" w:rsidRDefault="00174540" w:rsidP="00900F2C">
            <w:pPr>
              <w:rPr>
                <w:rFonts w:ascii="Arial" w:hAnsi="Arial" w:cs="Arial"/>
                <w:sz w:val="16"/>
                <w:szCs w:val="16"/>
              </w:rPr>
            </w:pPr>
            <w:r>
              <w:rPr>
                <w:rFonts w:ascii="Arial" w:hAnsi="Arial" w:cs="Arial"/>
                <w:sz w:val="16"/>
                <w:szCs w:val="16"/>
              </w:rPr>
              <w:t>QC 4 (In-</w:t>
            </w:r>
            <w:r w:rsidR="000E05FF" w:rsidRPr="009F0A80">
              <w:rPr>
                <w:rFonts w:ascii="Arial" w:hAnsi="Arial" w:cs="Arial"/>
                <w:sz w:val="16"/>
                <w:szCs w:val="16"/>
              </w:rPr>
              <w:t>house plasma)</w:t>
            </w:r>
          </w:p>
        </w:tc>
        <w:tc>
          <w:tcPr>
            <w:tcW w:w="2500" w:type="dxa"/>
            <w:vAlign w:val="center"/>
          </w:tcPr>
          <w:p w:rsidR="000E05FF" w:rsidRPr="009F0A80" w:rsidRDefault="009238F6" w:rsidP="00900F2C">
            <w:pPr>
              <w:rPr>
                <w:rFonts w:ascii="Arial" w:hAnsi="Arial" w:cs="Arial"/>
                <w:sz w:val="16"/>
                <w:szCs w:val="16"/>
              </w:rPr>
            </w:pPr>
            <w:r>
              <w:rPr>
                <w:rFonts w:ascii="Arial" w:hAnsi="Arial" w:cs="Arial"/>
                <w:sz w:val="16"/>
                <w:szCs w:val="16"/>
              </w:rPr>
              <w:t>18.5 (0.3)</w:t>
            </w:r>
          </w:p>
        </w:tc>
        <w:tc>
          <w:tcPr>
            <w:tcW w:w="2500" w:type="dxa"/>
            <w:vAlign w:val="center"/>
          </w:tcPr>
          <w:p w:rsidR="000E05FF" w:rsidRPr="009F0A80" w:rsidRDefault="009238F6" w:rsidP="00900F2C">
            <w:pPr>
              <w:rPr>
                <w:rFonts w:ascii="Arial" w:hAnsi="Arial" w:cs="Arial"/>
                <w:sz w:val="16"/>
                <w:szCs w:val="16"/>
              </w:rPr>
            </w:pPr>
            <w:r>
              <w:rPr>
                <w:rFonts w:ascii="Arial" w:hAnsi="Arial" w:cs="Arial"/>
                <w:sz w:val="16"/>
                <w:szCs w:val="16"/>
              </w:rPr>
              <w:t>1.6</w:t>
            </w:r>
          </w:p>
        </w:tc>
      </w:tr>
    </w:tbl>
    <w:p w:rsidR="00DA0C8A" w:rsidRDefault="00DA0C8A" w:rsidP="003E6719">
      <w:pPr>
        <w:pStyle w:val="Heading4"/>
        <w:jc w:val="both"/>
      </w:pPr>
      <w:r>
        <w:lastRenderedPageBreak/>
        <w:t>Osteocalcin method comparison</w:t>
      </w:r>
    </w:p>
    <w:p w:rsidR="00DA0C8A" w:rsidRPr="00957976" w:rsidRDefault="00DA0C8A" w:rsidP="003B725E">
      <w:pPr>
        <w:spacing w:line="360" w:lineRule="auto"/>
        <w:jc w:val="both"/>
        <w:rPr>
          <w:rFonts w:ascii="Arial" w:hAnsi="Arial" w:cs="Arial"/>
        </w:rPr>
      </w:pPr>
      <w:r w:rsidRPr="00957976">
        <w:rPr>
          <w:rFonts w:ascii="Arial" w:hAnsi="Arial" w:cs="Arial"/>
        </w:rPr>
        <w:t xml:space="preserve">The IDS-iSYS </w:t>
      </w:r>
      <w:r>
        <w:rPr>
          <w:rFonts w:ascii="Arial" w:hAnsi="Arial" w:cs="Arial"/>
        </w:rPr>
        <w:t>osteocalcin</w:t>
      </w:r>
      <w:r w:rsidRPr="00957976">
        <w:rPr>
          <w:rFonts w:ascii="Arial" w:hAnsi="Arial" w:cs="Arial"/>
        </w:rPr>
        <w:t xml:space="preserve"> assay was directly compared to the </w:t>
      </w:r>
      <w:r>
        <w:rPr>
          <w:rFonts w:ascii="Arial" w:hAnsi="Arial" w:cs="Arial"/>
        </w:rPr>
        <w:t>osteocalcin</w:t>
      </w:r>
      <w:r w:rsidRPr="00957976">
        <w:rPr>
          <w:rFonts w:ascii="Arial" w:hAnsi="Arial" w:cs="Arial"/>
        </w:rPr>
        <w:t xml:space="preserve"> assay, Elecsys 2010, Roche Diagnostics (Pensberg, Germa</w:t>
      </w:r>
      <w:r w:rsidR="005010B9">
        <w:rPr>
          <w:rFonts w:ascii="Arial" w:hAnsi="Arial" w:cs="Arial"/>
        </w:rPr>
        <w:t>ny in accordance with ‘CLSI guideline</w:t>
      </w:r>
      <w:r w:rsidR="005231E9">
        <w:rPr>
          <w:rFonts w:ascii="Arial" w:hAnsi="Arial" w:cs="Arial"/>
        </w:rPr>
        <w:t>s</w:t>
      </w:r>
      <w:r w:rsidRPr="00957976">
        <w:rPr>
          <w:rFonts w:ascii="Arial" w:hAnsi="Arial" w:cs="Arial"/>
        </w:rPr>
        <w:t>: Method comparison and bias estimation usin</w:t>
      </w:r>
      <w:r>
        <w:rPr>
          <w:rFonts w:ascii="Arial" w:hAnsi="Arial" w:cs="Arial"/>
        </w:rPr>
        <w:t>g patient samples’</w:t>
      </w:r>
      <w:r w:rsidR="005231E9">
        <w:rPr>
          <w:rFonts w:ascii="Arial" w:hAnsi="Arial" w:cs="Arial"/>
        </w:rPr>
        <w:t xml:space="preserve">, </w:t>
      </w:r>
      <w:r w:rsidR="005231E9">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5231E9">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5231E9">
        <w:rPr>
          <w:rFonts w:ascii="Arial" w:hAnsi="Arial" w:cs="Arial"/>
        </w:rPr>
        <w:fldChar w:fldCharType="end"/>
      </w:r>
      <w:r>
        <w:rPr>
          <w:rFonts w:ascii="Arial" w:hAnsi="Arial" w:cs="Arial"/>
        </w:rPr>
        <w:t>. 110</w:t>
      </w:r>
      <w:r w:rsidRPr="00957976">
        <w:rPr>
          <w:rFonts w:ascii="Arial" w:hAnsi="Arial" w:cs="Arial"/>
        </w:rPr>
        <w:t xml:space="preserve"> serum samples from premenopausal and postmenopausal women </w:t>
      </w:r>
      <w:r w:rsidR="000A72C8">
        <w:rPr>
          <w:rFonts w:ascii="Arial" w:hAnsi="Arial" w:cs="Arial"/>
        </w:rPr>
        <w:t xml:space="preserve">with osteoporosis </w:t>
      </w:r>
      <w:r w:rsidRPr="00957976">
        <w:rPr>
          <w:rFonts w:ascii="Arial" w:hAnsi="Arial" w:cs="Arial"/>
        </w:rPr>
        <w:t>were used to represent a range of</w:t>
      </w:r>
      <w:r>
        <w:rPr>
          <w:rFonts w:ascii="Arial" w:hAnsi="Arial" w:cs="Arial"/>
        </w:rPr>
        <w:t xml:space="preserve"> osteocalcin </w:t>
      </w:r>
      <w:r w:rsidRPr="00957976">
        <w:rPr>
          <w:rFonts w:ascii="Arial" w:hAnsi="Arial" w:cs="Arial"/>
        </w:rPr>
        <w:t>conce</w:t>
      </w:r>
      <w:r>
        <w:rPr>
          <w:rFonts w:ascii="Arial" w:hAnsi="Arial" w:cs="Arial"/>
        </w:rPr>
        <w:t>ntrations. Osteocalcin was</w:t>
      </w:r>
      <w:r w:rsidRPr="00957976">
        <w:rPr>
          <w:rFonts w:ascii="Arial" w:hAnsi="Arial" w:cs="Arial"/>
        </w:rPr>
        <w:t xml:space="preserve"> measured using the IDS-iSYS and Elecsys 2010 analysers. There has been no previous data di</w:t>
      </w:r>
      <w:r>
        <w:rPr>
          <w:rFonts w:ascii="Arial" w:hAnsi="Arial" w:cs="Arial"/>
        </w:rPr>
        <w:t>rectly comparing these two methods</w:t>
      </w:r>
      <w:r w:rsidRPr="00957976">
        <w:rPr>
          <w:rFonts w:ascii="Arial" w:hAnsi="Arial" w:cs="Arial"/>
        </w:rPr>
        <w:t xml:space="preserve">. </w:t>
      </w:r>
    </w:p>
    <w:p w:rsidR="00DA0C8A" w:rsidRPr="00957976" w:rsidRDefault="00DA0C8A" w:rsidP="003E6719">
      <w:pPr>
        <w:spacing w:line="360" w:lineRule="auto"/>
        <w:jc w:val="both"/>
        <w:rPr>
          <w:rFonts w:ascii="Arial" w:hAnsi="Arial" w:cs="Arial"/>
        </w:rPr>
      </w:pPr>
      <w:r w:rsidRPr="00957976">
        <w:rPr>
          <w:rFonts w:ascii="Arial" w:hAnsi="Arial" w:cs="Arial"/>
        </w:rPr>
        <w:t>Bland-Altman plot and Passing and Bablok regression analyses were used</w:t>
      </w:r>
      <w:r w:rsidR="00C13464">
        <w:rPr>
          <w:rFonts w:ascii="Arial" w:hAnsi="Arial" w:cs="Arial"/>
        </w:rPr>
        <w:t xml:space="preserve"> to compare the data, (Figure 25</w:t>
      </w:r>
      <w:r w:rsidRPr="00957976">
        <w:rPr>
          <w:rFonts w:ascii="Arial" w:hAnsi="Arial" w:cs="Arial"/>
        </w:rPr>
        <w:t>). The mean difference between the IDS-iSY</w:t>
      </w:r>
      <w:r w:rsidR="000A72C8">
        <w:rPr>
          <w:rFonts w:ascii="Arial" w:hAnsi="Arial" w:cs="Arial"/>
        </w:rPr>
        <w:t>S and the Elecsys 2010 was 1.7</w:t>
      </w:r>
      <w:r w:rsidRPr="00957976">
        <w:rPr>
          <w:rFonts w:ascii="Arial" w:hAnsi="Arial" w:cs="Arial"/>
        </w:rPr>
        <w:t xml:space="preserve"> ng/ml. The median (and standard deviation) were </w:t>
      </w:r>
      <w:r w:rsidR="000A72C8">
        <w:rPr>
          <w:rFonts w:ascii="Arial" w:hAnsi="Arial" w:cs="Arial"/>
        </w:rPr>
        <w:t>24.4 (10.2</w:t>
      </w:r>
      <w:r w:rsidRPr="00957976">
        <w:rPr>
          <w:rFonts w:ascii="Arial" w:hAnsi="Arial" w:cs="Arial"/>
        </w:rPr>
        <w:t xml:space="preserve">) and </w:t>
      </w:r>
      <w:r w:rsidR="000A72C8">
        <w:rPr>
          <w:rFonts w:ascii="Arial" w:hAnsi="Arial" w:cs="Arial"/>
        </w:rPr>
        <w:t>23.4 (8.0) ng/ml, respectively</w:t>
      </w:r>
      <w:r w:rsidRPr="00957976">
        <w:rPr>
          <w:rFonts w:ascii="Arial" w:hAnsi="Arial" w:cs="Arial"/>
        </w:rPr>
        <w:t xml:space="preserve">. The regression equation was y = </w:t>
      </w:r>
      <w:r w:rsidR="000A72C8">
        <w:rPr>
          <w:rFonts w:ascii="Arial" w:hAnsi="Arial" w:cs="Arial"/>
        </w:rPr>
        <w:t>-3.8 + 1.2</w:t>
      </w:r>
      <w:r w:rsidR="00F307FB">
        <w:rPr>
          <w:rFonts w:ascii="Arial" w:hAnsi="Arial" w:cs="Arial"/>
        </w:rPr>
        <w:t>x.</w:t>
      </w:r>
    </w:p>
    <w:p w:rsidR="00DA0C8A" w:rsidRDefault="009B03EC" w:rsidP="00900F2C">
      <w:r>
        <w:rPr>
          <w:noProof/>
          <w:lang w:eastAsia="zh-CN"/>
        </w:rPr>
        <mc:AlternateContent>
          <mc:Choice Requires="wps">
            <w:drawing>
              <wp:anchor distT="0" distB="0" distL="114300" distR="114300" simplePos="0" relativeHeight="251518464" behindDoc="0" locked="0" layoutInCell="1" allowOverlap="1" wp14:anchorId="76D22E18" wp14:editId="783F3B49">
                <wp:simplePos x="0" y="0"/>
                <wp:positionH relativeFrom="column">
                  <wp:posOffset>-23495</wp:posOffset>
                </wp:positionH>
                <wp:positionV relativeFrom="paragraph">
                  <wp:posOffset>2093265</wp:posOffset>
                </wp:positionV>
                <wp:extent cx="6005195" cy="299720"/>
                <wp:effectExtent l="0" t="0" r="0" b="5080"/>
                <wp:wrapNone/>
                <wp:docPr id="18655" name="Text Box 18655"/>
                <wp:cNvGraphicFramePr/>
                <a:graphic xmlns:a="http://schemas.openxmlformats.org/drawingml/2006/main">
                  <a:graphicData uri="http://schemas.microsoft.com/office/word/2010/wordprocessingShape">
                    <wps:wsp>
                      <wps:cNvSpPr txBox="1"/>
                      <wps:spPr>
                        <a:xfrm>
                          <a:off x="0" y="0"/>
                          <a:ext cx="6005195" cy="299720"/>
                        </a:xfrm>
                        <a:prstGeom prst="rect">
                          <a:avLst/>
                        </a:prstGeom>
                        <a:solidFill>
                          <a:prstClr val="white"/>
                        </a:solidFill>
                        <a:ln>
                          <a:noFill/>
                        </a:ln>
                        <a:effectLst/>
                      </wps:spPr>
                      <wps:txbx>
                        <w:txbxContent>
                          <w:p w:rsidR="004166BC" w:rsidRPr="007D1BA1" w:rsidRDefault="004166BC" w:rsidP="003E6719">
                            <w:pPr>
                              <w:pStyle w:val="Caption"/>
                              <w:jc w:val="both"/>
                              <w:rPr>
                                <w:noProof/>
                              </w:rPr>
                            </w:pPr>
                            <w:bookmarkStart w:id="87" w:name="_Toc422736068"/>
                            <w:bookmarkStart w:id="88" w:name="_Toc422736176"/>
                            <w:bookmarkStart w:id="89" w:name="_Toc425419511"/>
                            <w:r w:rsidRPr="00C47287">
                              <w:rPr>
                                <w:rFonts w:ascii="Arial" w:hAnsi="Arial" w:cs="Arial"/>
                                <w:b w:val="0"/>
                                <w:color w:val="auto"/>
                              </w:rPr>
                              <w:t xml:space="preserve">Figure </w:t>
                            </w:r>
                            <w:r w:rsidRPr="00C47287">
                              <w:rPr>
                                <w:rFonts w:ascii="Arial" w:hAnsi="Arial" w:cs="Arial"/>
                                <w:b w:val="0"/>
                                <w:color w:val="auto"/>
                              </w:rPr>
                              <w:fldChar w:fldCharType="begin"/>
                            </w:r>
                            <w:r w:rsidRPr="00C47287">
                              <w:rPr>
                                <w:rFonts w:ascii="Arial" w:hAnsi="Arial" w:cs="Arial"/>
                                <w:b w:val="0"/>
                                <w:color w:val="auto"/>
                              </w:rPr>
                              <w:instrText xml:space="preserve"> SEQ Figure \* ARABIC </w:instrText>
                            </w:r>
                            <w:r w:rsidRPr="00C47287">
                              <w:rPr>
                                <w:rFonts w:ascii="Arial" w:hAnsi="Arial" w:cs="Arial"/>
                                <w:b w:val="0"/>
                                <w:color w:val="auto"/>
                              </w:rPr>
                              <w:fldChar w:fldCharType="separate"/>
                            </w:r>
                            <w:r>
                              <w:rPr>
                                <w:rFonts w:ascii="Arial" w:hAnsi="Arial" w:cs="Arial"/>
                                <w:b w:val="0"/>
                                <w:noProof/>
                                <w:color w:val="auto"/>
                              </w:rPr>
                              <w:t>25</w:t>
                            </w:r>
                            <w:r w:rsidRPr="00C47287">
                              <w:rPr>
                                <w:rFonts w:ascii="Arial" w:hAnsi="Arial" w:cs="Arial"/>
                                <w:b w:val="0"/>
                                <w:color w:val="auto"/>
                              </w:rPr>
                              <w:fldChar w:fldCharType="end"/>
                            </w:r>
                            <w:r w:rsidRPr="00C47287">
                              <w:rPr>
                                <w:rFonts w:ascii="Arial" w:hAnsi="Arial" w:cs="Arial"/>
                                <w:b w:val="0"/>
                                <w:color w:val="auto"/>
                              </w:rPr>
                              <w:t>:</w:t>
                            </w:r>
                            <w:r w:rsidRPr="00C47287">
                              <w:rPr>
                                <w:color w:val="auto"/>
                              </w:rPr>
                              <w:t xml:space="preserve"> </w:t>
                            </w:r>
                            <w:r>
                              <w:rPr>
                                <w:rFonts w:ascii="Arial" w:hAnsi="Arial" w:cs="Arial"/>
                                <w:b w:val="0"/>
                                <w:color w:val="auto"/>
                              </w:rPr>
                              <w:t>Osteocalcin</w:t>
                            </w:r>
                            <w:r w:rsidRPr="00E9052D">
                              <w:rPr>
                                <w:rFonts w:ascii="Arial" w:hAnsi="Arial" w:cs="Arial"/>
                                <w:b w:val="0"/>
                                <w:color w:val="auto"/>
                              </w:rPr>
                              <w:t xml:space="preserve"> method comparison analyses using Bland-Altman (left) and Passing and Bablok regression (right)</w:t>
                            </w:r>
                            <w:bookmarkEnd w:id="87"/>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22E18" id="Text Box 18655" o:spid="_x0000_s1133" type="#_x0000_t202" style="position:absolute;margin-left:-1.85pt;margin-top:164.8pt;width:472.85pt;height:23.6pt;z-index:25151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" stroked="f">
                <v:textbox inset="0,0,0,0">
                  <w:txbxContent>
                    <w:p w:rsidR="004166BC" w:rsidRPr="007D1BA1" w:rsidRDefault="004166BC" w:rsidP="003E6719">
                      <w:pPr>
                        <w:pStyle w:val="Caption"/>
                        <w:jc w:val="both"/>
                        <w:rPr>
                          <w:noProof/>
                        </w:rPr>
                      </w:pPr>
                      <w:bookmarkStart w:id="126" w:name="_Toc422736068"/>
                      <w:bookmarkStart w:id="127" w:name="_Toc422736176"/>
                      <w:bookmarkStart w:id="128" w:name="_Toc425419511"/>
                      <w:r w:rsidRPr="00C47287">
                        <w:rPr>
                          <w:rFonts w:ascii="Arial" w:hAnsi="Arial" w:cs="Arial"/>
                          <w:b w:val="0"/>
                          <w:color w:val="auto"/>
                        </w:rPr>
                        <w:t xml:space="preserve">Figure </w:t>
                      </w:r>
                      <w:r w:rsidRPr="00C47287">
                        <w:rPr>
                          <w:rFonts w:ascii="Arial" w:hAnsi="Arial" w:cs="Arial"/>
                          <w:b w:val="0"/>
                          <w:color w:val="auto"/>
                        </w:rPr>
                        <w:fldChar w:fldCharType="begin"/>
                      </w:r>
                      <w:r w:rsidRPr="00C47287">
                        <w:rPr>
                          <w:rFonts w:ascii="Arial" w:hAnsi="Arial" w:cs="Arial"/>
                          <w:b w:val="0"/>
                          <w:color w:val="auto"/>
                        </w:rPr>
                        <w:instrText xml:space="preserve"> SEQ Figure \* ARABIC </w:instrText>
                      </w:r>
                      <w:r w:rsidRPr="00C47287">
                        <w:rPr>
                          <w:rFonts w:ascii="Arial" w:hAnsi="Arial" w:cs="Arial"/>
                          <w:b w:val="0"/>
                          <w:color w:val="auto"/>
                        </w:rPr>
                        <w:fldChar w:fldCharType="separate"/>
                      </w:r>
                      <w:r>
                        <w:rPr>
                          <w:rFonts w:ascii="Arial" w:hAnsi="Arial" w:cs="Arial"/>
                          <w:b w:val="0"/>
                          <w:noProof/>
                          <w:color w:val="auto"/>
                        </w:rPr>
                        <w:t>25</w:t>
                      </w:r>
                      <w:r w:rsidRPr="00C47287">
                        <w:rPr>
                          <w:rFonts w:ascii="Arial" w:hAnsi="Arial" w:cs="Arial"/>
                          <w:b w:val="0"/>
                          <w:color w:val="auto"/>
                        </w:rPr>
                        <w:fldChar w:fldCharType="end"/>
                      </w:r>
                      <w:r w:rsidRPr="00C47287">
                        <w:rPr>
                          <w:rFonts w:ascii="Arial" w:hAnsi="Arial" w:cs="Arial"/>
                          <w:b w:val="0"/>
                          <w:color w:val="auto"/>
                        </w:rPr>
                        <w:t>:</w:t>
                      </w:r>
                      <w:r w:rsidRPr="00C47287">
                        <w:rPr>
                          <w:color w:val="auto"/>
                        </w:rPr>
                        <w:t xml:space="preserve"> </w:t>
                      </w:r>
                      <w:r>
                        <w:rPr>
                          <w:rFonts w:ascii="Arial" w:hAnsi="Arial" w:cs="Arial"/>
                          <w:b w:val="0"/>
                          <w:color w:val="auto"/>
                        </w:rPr>
                        <w:t>Osteocalcin</w:t>
                      </w:r>
                      <w:r w:rsidRPr="00E9052D">
                        <w:rPr>
                          <w:rFonts w:ascii="Arial" w:hAnsi="Arial" w:cs="Arial"/>
                          <w:b w:val="0"/>
                          <w:color w:val="auto"/>
                        </w:rPr>
                        <w:t xml:space="preserve"> method comparison analyses using Bland-Altman (left) and Passing and Bablok regression (right)</w:t>
                      </w:r>
                      <w:bookmarkEnd w:id="126"/>
                      <w:bookmarkEnd w:id="127"/>
                      <w:bookmarkEnd w:id="128"/>
                    </w:p>
                  </w:txbxContent>
                </v:textbox>
              </v:shape>
            </w:pict>
          </mc:Fallback>
        </mc:AlternateContent>
      </w:r>
      <w:r w:rsidR="00C47287">
        <w:rPr>
          <w:noProof/>
          <w:lang w:eastAsia="zh-CN"/>
        </w:rPr>
        <w:drawing>
          <wp:inline distT="0" distB="0" distL="0" distR="0" wp14:anchorId="2CD2675E" wp14:editId="1ED440C4">
            <wp:extent cx="2837112" cy="1931035"/>
            <wp:effectExtent l="0" t="0" r="1905" b="0"/>
            <wp:docPr id="18649" name="Picture 1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05991" cy="2045980"/>
                    </a:xfrm>
                    <a:prstGeom prst="rect">
                      <a:avLst/>
                    </a:prstGeom>
                    <a:noFill/>
                  </pic:spPr>
                </pic:pic>
              </a:graphicData>
            </a:graphic>
          </wp:inline>
        </w:drawing>
      </w:r>
      <w:r w:rsidR="00D55DB5">
        <w:rPr>
          <w:noProof/>
          <w:lang w:eastAsia="zh-CN"/>
        </w:rPr>
        <w:drawing>
          <wp:inline distT="0" distB="0" distL="0" distR="0" wp14:anchorId="4FC55AD8" wp14:editId="613B00C9">
            <wp:extent cx="2533228" cy="1899920"/>
            <wp:effectExtent l="0" t="0" r="635" b="5080"/>
            <wp:docPr id="18660" name="Picture 1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6553" cy="1909914"/>
                    </a:xfrm>
                    <a:prstGeom prst="rect">
                      <a:avLst/>
                    </a:prstGeom>
                    <a:noFill/>
                  </pic:spPr>
                </pic:pic>
              </a:graphicData>
            </a:graphic>
          </wp:inline>
        </w:drawing>
      </w:r>
    </w:p>
    <w:p w:rsidR="009B03EC" w:rsidRPr="009B03EC" w:rsidRDefault="009B03EC" w:rsidP="00900F2C"/>
    <w:p w:rsidR="0081125F" w:rsidRDefault="0081125F" w:rsidP="005354D9">
      <w:pPr>
        <w:spacing w:line="360" w:lineRule="auto"/>
        <w:jc w:val="both"/>
        <w:rPr>
          <w:rFonts w:ascii="Arial" w:hAnsi="Arial" w:cs="Arial"/>
        </w:rPr>
      </w:pPr>
    </w:p>
    <w:p w:rsidR="009D07DD" w:rsidRDefault="009D07DD" w:rsidP="005354D9">
      <w:pPr>
        <w:spacing w:line="360" w:lineRule="auto"/>
        <w:jc w:val="both"/>
        <w:rPr>
          <w:rFonts w:ascii="Arial" w:hAnsi="Arial" w:cs="Arial"/>
        </w:rPr>
      </w:pPr>
      <w:r>
        <w:rPr>
          <w:rFonts w:ascii="Arial" w:hAnsi="Arial" w:cs="Arial"/>
        </w:rPr>
        <w:t xml:space="preserve">There was no </w:t>
      </w:r>
      <w:r w:rsidR="00797CED">
        <w:rPr>
          <w:rFonts w:ascii="Arial" w:hAnsi="Arial" w:cs="Arial"/>
        </w:rPr>
        <w:t xml:space="preserve">significant </w:t>
      </w:r>
      <w:r>
        <w:rPr>
          <w:rFonts w:ascii="Arial" w:hAnsi="Arial" w:cs="Arial"/>
        </w:rPr>
        <w:t>difference between the values of o</w:t>
      </w:r>
      <w:r w:rsidRPr="009D07DD">
        <w:rPr>
          <w:rFonts w:ascii="Arial" w:hAnsi="Arial" w:cs="Arial"/>
        </w:rPr>
        <w:t>steocalcin measured by the IDS-iSYS gave compared to the Elecsys 2010 Roche</w:t>
      </w:r>
      <w:r w:rsidR="00743B61">
        <w:rPr>
          <w:rFonts w:ascii="Arial" w:hAnsi="Arial" w:cs="Arial"/>
        </w:rPr>
        <w:t xml:space="preserve"> Diagnostics</w:t>
      </w:r>
      <w:r w:rsidRPr="009D07DD">
        <w:rPr>
          <w:rFonts w:ascii="Arial" w:hAnsi="Arial" w:cs="Arial"/>
        </w:rPr>
        <w:t xml:space="preserve"> method</w:t>
      </w:r>
      <w:r>
        <w:rPr>
          <w:rFonts w:ascii="Arial" w:hAnsi="Arial" w:cs="Arial"/>
        </w:rPr>
        <w:t>.</w:t>
      </w:r>
    </w:p>
    <w:p w:rsidR="009D07DD" w:rsidRDefault="009D07DD" w:rsidP="005354D9">
      <w:pPr>
        <w:spacing w:line="360" w:lineRule="auto"/>
        <w:jc w:val="both"/>
        <w:rPr>
          <w:rFonts w:ascii="Arial" w:hAnsi="Arial" w:cs="Arial"/>
        </w:rPr>
      </w:pPr>
      <w:r>
        <w:rPr>
          <w:rFonts w:ascii="Arial" w:hAnsi="Arial" w:cs="Arial"/>
        </w:rPr>
        <w:t xml:space="preserve">With the exception of the </w:t>
      </w:r>
      <w:r w:rsidR="001F555E">
        <w:rPr>
          <w:rFonts w:ascii="Arial" w:hAnsi="Arial" w:cs="Arial"/>
        </w:rPr>
        <w:t xml:space="preserve">samples from the </w:t>
      </w:r>
      <w:r>
        <w:rPr>
          <w:rFonts w:ascii="Arial" w:hAnsi="Arial" w:cs="Arial"/>
        </w:rPr>
        <w:t>OPUS study (measured using ECLIA technology), f</w:t>
      </w:r>
      <w:r w:rsidRPr="00957976">
        <w:rPr>
          <w:rFonts w:ascii="Arial" w:hAnsi="Arial" w:cs="Arial"/>
        </w:rPr>
        <w:t xml:space="preserve">or the remainder of my thesis I have measured the </w:t>
      </w:r>
      <w:r>
        <w:rPr>
          <w:rFonts w:ascii="Arial" w:hAnsi="Arial" w:cs="Arial"/>
        </w:rPr>
        <w:t>osteocalcin</w:t>
      </w:r>
      <w:r w:rsidRPr="00957976">
        <w:rPr>
          <w:rFonts w:ascii="Arial" w:hAnsi="Arial" w:cs="Arial"/>
        </w:rPr>
        <w:t xml:space="preserve"> using the IDS-iSYS autoimmunoassay analyser</w:t>
      </w:r>
      <w:r>
        <w:rPr>
          <w:rFonts w:ascii="Arial" w:hAnsi="Arial" w:cs="Arial"/>
        </w:rPr>
        <w:t>.</w:t>
      </w:r>
    </w:p>
    <w:p w:rsidR="004666F7" w:rsidRDefault="00FF4A77" w:rsidP="005354D9">
      <w:pPr>
        <w:pStyle w:val="Heading4"/>
        <w:jc w:val="both"/>
      </w:pPr>
      <w:r>
        <w:t xml:space="preserve">Bone ALP </w:t>
      </w:r>
      <w:r w:rsidR="004666F7">
        <w:t>assay procedure</w:t>
      </w:r>
    </w:p>
    <w:p w:rsidR="00F83FA9" w:rsidRDefault="0032744E" w:rsidP="005354D9">
      <w:pPr>
        <w:spacing w:line="360" w:lineRule="auto"/>
        <w:jc w:val="both"/>
        <w:rPr>
          <w:rFonts w:ascii="Arial" w:hAnsi="Arial" w:cs="Arial"/>
        </w:rPr>
      </w:pPr>
      <w:r w:rsidRPr="00452AEA">
        <w:rPr>
          <w:rFonts w:ascii="Arial" w:hAnsi="Arial" w:cs="Arial"/>
        </w:rPr>
        <w:t>Bone alp (Ostase®</w:t>
      </w:r>
      <w:r w:rsidR="003022A6" w:rsidRPr="00452AEA">
        <w:rPr>
          <w:rFonts w:ascii="Arial" w:hAnsi="Arial" w:cs="Arial"/>
        </w:rPr>
        <w:t xml:space="preserve"> BAP)</w:t>
      </w:r>
      <w:r w:rsidR="00C95A84">
        <w:rPr>
          <w:rFonts w:ascii="Arial" w:hAnsi="Arial" w:cs="Arial"/>
        </w:rPr>
        <w:t xml:space="preserve"> activity</w:t>
      </w:r>
      <w:r w:rsidRPr="00452AEA">
        <w:rPr>
          <w:rFonts w:ascii="Arial" w:hAnsi="Arial" w:cs="Arial"/>
        </w:rPr>
        <w:t xml:space="preserve"> </w:t>
      </w:r>
      <w:r w:rsidR="003022A6" w:rsidRPr="00452AEA">
        <w:rPr>
          <w:rFonts w:ascii="Arial" w:hAnsi="Arial" w:cs="Arial"/>
        </w:rPr>
        <w:t>was measured in serum using the IDS-iSYS spectrophotome</w:t>
      </w:r>
      <w:r w:rsidR="003C2E67">
        <w:rPr>
          <w:rFonts w:ascii="Arial" w:hAnsi="Arial" w:cs="Arial"/>
        </w:rPr>
        <w:t>tric technology, (appendices 1.3</w:t>
      </w:r>
      <w:r w:rsidR="003022A6" w:rsidRPr="00452AEA">
        <w:rPr>
          <w:rFonts w:ascii="Arial" w:hAnsi="Arial" w:cs="Arial"/>
        </w:rPr>
        <w:t>: kit insert). All reagents, calibrators and quality control material are supplied by the manufacturer and ready to use. The Ostase® BAP</w:t>
      </w:r>
      <w:r w:rsidR="004D4E12" w:rsidRPr="00452AEA">
        <w:rPr>
          <w:rFonts w:ascii="Arial" w:hAnsi="Arial" w:cs="Arial"/>
        </w:rPr>
        <w:t xml:space="preserve"> reagent cartridge was</w:t>
      </w:r>
      <w:r w:rsidR="003022A6" w:rsidRPr="00452AEA">
        <w:rPr>
          <w:rFonts w:ascii="Arial" w:hAnsi="Arial" w:cs="Arial"/>
        </w:rPr>
        <w:t xml:space="preserve"> mixed in order to homogenise the streptavidin labelled magnetic particles, before loading on to the analys</w:t>
      </w:r>
      <w:r w:rsidR="00EB3820" w:rsidRPr="00452AEA">
        <w:rPr>
          <w:rFonts w:ascii="Arial" w:hAnsi="Arial" w:cs="Arial"/>
        </w:rPr>
        <w:t xml:space="preserve">er where mixing will continue. </w:t>
      </w:r>
    </w:p>
    <w:p w:rsidR="00F83FA9" w:rsidRDefault="00EB3820" w:rsidP="005354D9">
      <w:pPr>
        <w:pStyle w:val="ListParagraph"/>
        <w:numPr>
          <w:ilvl w:val="0"/>
          <w:numId w:val="33"/>
        </w:numPr>
        <w:spacing w:line="360" w:lineRule="auto"/>
        <w:jc w:val="both"/>
        <w:rPr>
          <w:rFonts w:ascii="Arial" w:hAnsi="Arial" w:cs="Arial"/>
        </w:rPr>
      </w:pPr>
      <w:r w:rsidRPr="00F83FA9">
        <w:rPr>
          <w:rFonts w:ascii="Arial" w:hAnsi="Arial" w:cs="Arial"/>
        </w:rPr>
        <w:t xml:space="preserve">325 </w:t>
      </w:r>
      <w:r w:rsidR="003022A6" w:rsidRPr="00F83FA9">
        <w:rPr>
          <w:rFonts w:ascii="Arial" w:hAnsi="Arial" w:cs="Arial"/>
        </w:rPr>
        <w:t xml:space="preserve">µl of each calibrators, quality control samples and serum were loaded on to the analyser. </w:t>
      </w:r>
    </w:p>
    <w:p w:rsidR="00F83FA9" w:rsidRDefault="003022A6" w:rsidP="005354D9">
      <w:pPr>
        <w:pStyle w:val="ListParagraph"/>
        <w:numPr>
          <w:ilvl w:val="0"/>
          <w:numId w:val="33"/>
        </w:numPr>
        <w:spacing w:line="360" w:lineRule="auto"/>
        <w:jc w:val="both"/>
        <w:rPr>
          <w:rFonts w:ascii="Arial" w:hAnsi="Arial" w:cs="Arial"/>
        </w:rPr>
      </w:pPr>
      <w:r w:rsidRPr="00F83FA9">
        <w:rPr>
          <w:rFonts w:ascii="Arial" w:hAnsi="Arial" w:cs="Arial"/>
        </w:rPr>
        <w:lastRenderedPageBreak/>
        <w:t xml:space="preserve">These samples were </w:t>
      </w:r>
      <w:r w:rsidR="00EB3820" w:rsidRPr="00F83FA9">
        <w:rPr>
          <w:rFonts w:ascii="Arial" w:hAnsi="Arial" w:cs="Arial"/>
        </w:rPr>
        <w:t xml:space="preserve">firstly </w:t>
      </w:r>
      <w:r w:rsidRPr="00F83FA9">
        <w:rPr>
          <w:rFonts w:ascii="Arial" w:hAnsi="Arial" w:cs="Arial"/>
        </w:rPr>
        <w:t>incubated with</w:t>
      </w:r>
      <w:r w:rsidR="00EB3820" w:rsidRPr="00F83FA9">
        <w:rPr>
          <w:rFonts w:ascii="Arial" w:hAnsi="Arial" w:cs="Arial"/>
        </w:rPr>
        <w:t xml:space="preserve"> a biotin labelled bone alp-specific monoclonal antibody in buffer containing horse serum and bovine and mouse proteins. </w:t>
      </w:r>
    </w:p>
    <w:p w:rsidR="00F83FA9" w:rsidRDefault="00EB3820" w:rsidP="005354D9">
      <w:pPr>
        <w:pStyle w:val="ListParagraph"/>
        <w:numPr>
          <w:ilvl w:val="0"/>
          <w:numId w:val="33"/>
        </w:numPr>
        <w:spacing w:line="360" w:lineRule="auto"/>
        <w:jc w:val="both"/>
        <w:rPr>
          <w:rFonts w:ascii="Arial" w:hAnsi="Arial" w:cs="Arial"/>
        </w:rPr>
      </w:pPr>
      <w:r w:rsidRPr="00F83FA9">
        <w:rPr>
          <w:rFonts w:ascii="Arial" w:hAnsi="Arial" w:cs="Arial"/>
        </w:rPr>
        <w:t>Then secondly incubated with</w:t>
      </w:r>
      <w:r w:rsidR="003022A6" w:rsidRPr="00F83FA9">
        <w:rPr>
          <w:rFonts w:ascii="Arial" w:hAnsi="Arial" w:cs="Arial"/>
        </w:rPr>
        <w:t xml:space="preserve"> the streptavidin label</w:t>
      </w:r>
      <w:r w:rsidRPr="00F83FA9">
        <w:rPr>
          <w:rFonts w:ascii="Arial" w:hAnsi="Arial" w:cs="Arial"/>
        </w:rPr>
        <w:t xml:space="preserve">led magnetic particles and washed to </w:t>
      </w:r>
      <w:r w:rsidR="004D4E12" w:rsidRPr="00F83FA9">
        <w:rPr>
          <w:rFonts w:ascii="Arial" w:hAnsi="Arial" w:cs="Arial"/>
        </w:rPr>
        <w:t xml:space="preserve">remove the unbound bone alp. </w:t>
      </w:r>
    </w:p>
    <w:p w:rsidR="00F83FA9" w:rsidRDefault="004D4E12" w:rsidP="005354D9">
      <w:pPr>
        <w:pStyle w:val="ListParagraph"/>
        <w:numPr>
          <w:ilvl w:val="0"/>
          <w:numId w:val="33"/>
        </w:numPr>
        <w:spacing w:line="360" w:lineRule="auto"/>
        <w:jc w:val="both"/>
        <w:rPr>
          <w:rFonts w:ascii="Arial" w:hAnsi="Arial" w:cs="Arial"/>
        </w:rPr>
      </w:pPr>
      <w:r w:rsidRPr="00F83FA9">
        <w:rPr>
          <w:rFonts w:ascii="Arial" w:hAnsi="Arial" w:cs="Arial"/>
        </w:rPr>
        <w:t xml:space="preserve">A </w:t>
      </w:r>
      <w:r w:rsidR="00EB3820" w:rsidRPr="00F83FA9">
        <w:rPr>
          <w:rFonts w:ascii="Arial" w:hAnsi="Arial" w:cs="Arial"/>
        </w:rPr>
        <w:t xml:space="preserve">p-nitrophenyl </w:t>
      </w:r>
      <w:r w:rsidR="006239A4" w:rsidRPr="00F83FA9">
        <w:rPr>
          <w:rFonts w:ascii="Arial" w:hAnsi="Arial" w:cs="Arial"/>
        </w:rPr>
        <w:t xml:space="preserve">enzyme labelled substrate </w:t>
      </w:r>
      <w:r w:rsidR="00EB3820" w:rsidRPr="00F83FA9">
        <w:rPr>
          <w:rFonts w:ascii="Arial" w:hAnsi="Arial" w:cs="Arial"/>
        </w:rPr>
        <w:t>was</w:t>
      </w:r>
      <w:r w:rsidR="00F83FA9">
        <w:rPr>
          <w:rFonts w:ascii="Arial" w:hAnsi="Arial" w:cs="Arial"/>
        </w:rPr>
        <w:t xml:space="preserve"> then added.</w:t>
      </w:r>
    </w:p>
    <w:p w:rsidR="003022A6" w:rsidRPr="00F83FA9" w:rsidRDefault="00F83FA9" w:rsidP="005354D9">
      <w:pPr>
        <w:pStyle w:val="ListParagraph"/>
        <w:numPr>
          <w:ilvl w:val="0"/>
          <w:numId w:val="33"/>
        </w:numPr>
        <w:spacing w:line="360" w:lineRule="auto"/>
        <w:jc w:val="both"/>
        <w:rPr>
          <w:rFonts w:ascii="Arial" w:hAnsi="Arial" w:cs="Arial"/>
        </w:rPr>
      </w:pPr>
      <w:r>
        <w:rPr>
          <w:rFonts w:ascii="Arial" w:hAnsi="Arial" w:cs="Arial"/>
        </w:rPr>
        <w:t>T</w:t>
      </w:r>
      <w:r w:rsidR="006239A4" w:rsidRPr="00F83FA9">
        <w:rPr>
          <w:rFonts w:ascii="Arial" w:hAnsi="Arial" w:cs="Arial"/>
        </w:rPr>
        <w:t>he absorbance of sub</w:t>
      </w:r>
      <w:r>
        <w:rPr>
          <w:rFonts w:ascii="Arial" w:hAnsi="Arial" w:cs="Arial"/>
        </w:rPr>
        <w:t xml:space="preserve">strate bound was measured by the </w:t>
      </w:r>
      <w:r w:rsidR="009D07DD">
        <w:rPr>
          <w:rFonts w:ascii="Arial" w:hAnsi="Arial" w:cs="Arial"/>
        </w:rPr>
        <w:t>spectrophotometer</w:t>
      </w:r>
      <w:r w:rsidR="006239A4" w:rsidRPr="00F83FA9">
        <w:rPr>
          <w:rFonts w:ascii="Arial" w:hAnsi="Arial" w:cs="Arial"/>
        </w:rPr>
        <w:t>. The absorbance signal is pro</w:t>
      </w:r>
      <w:r w:rsidR="00F65835" w:rsidRPr="00F83FA9">
        <w:rPr>
          <w:rFonts w:ascii="Arial" w:hAnsi="Arial" w:cs="Arial"/>
        </w:rPr>
        <w:t xml:space="preserve">portional to the concentration of </w:t>
      </w:r>
      <w:r w:rsidR="006239A4" w:rsidRPr="00F83FA9">
        <w:rPr>
          <w:rFonts w:ascii="Arial" w:hAnsi="Arial" w:cs="Arial"/>
        </w:rPr>
        <w:t>bone alp present in the serum.</w:t>
      </w:r>
    </w:p>
    <w:p w:rsidR="00F65835" w:rsidRDefault="00F65835" w:rsidP="005354D9">
      <w:pPr>
        <w:spacing w:line="360" w:lineRule="auto"/>
        <w:jc w:val="both"/>
        <w:rPr>
          <w:rFonts w:ascii="Arial" w:hAnsi="Arial" w:cs="Arial"/>
        </w:rPr>
      </w:pPr>
      <w:r w:rsidRPr="00452AEA">
        <w:rPr>
          <w:rFonts w:ascii="Arial" w:hAnsi="Arial" w:cs="Arial"/>
        </w:rPr>
        <w:t>Prior to the analysis of the human serum test samples the two bone alp calibrators were measured in triplicate and used to adjust the master standard curve. This was required to produce a 4-parameter logis</w:t>
      </w:r>
      <w:r w:rsidR="00B34AE1" w:rsidRPr="00452AEA">
        <w:rPr>
          <w:rFonts w:ascii="Arial" w:hAnsi="Arial" w:cs="Arial"/>
        </w:rPr>
        <w:t xml:space="preserve">tic curve fit </w:t>
      </w:r>
      <w:r w:rsidR="00426FB4">
        <w:rPr>
          <w:rFonts w:ascii="Arial" w:hAnsi="Arial" w:cs="Arial"/>
        </w:rPr>
        <w:t>(y = (A-D)</w:t>
      </w:r>
      <w:proofErr w:type="gramStart"/>
      <w:r w:rsidR="00426FB4">
        <w:rPr>
          <w:rFonts w:ascii="Arial" w:hAnsi="Arial" w:cs="Arial"/>
        </w:rPr>
        <w:t>/(</w:t>
      </w:r>
      <w:proofErr w:type="gramEnd"/>
      <w:r w:rsidR="00426FB4">
        <w:rPr>
          <w:rFonts w:ascii="Arial" w:hAnsi="Arial" w:cs="Arial"/>
        </w:rPr>
        <w:t>1+(x/C)</w:t>
      </w:r>
      <w:r w:rsidR="00426FB4">
        <w:rPr>
          <w:rFonts w:ascii="Arial" w:hAnsi="Arial" w:cs="Arial"/>
          <w:vertAlign w:val="superscript"/>
        </w:rPr>
        <w:t>B</w:t>
      </w:r>
      <w:r w:rsidR="00426FB4">
        <w:rPr>
          <w:rFonts w:ascii="Arial" w:hAnsi="Arial" w:cs="Arial"/>
        </w:rPr>
        <w:t xml:space="preserve">)+D) </w:t>
      </w:r>
      <w:r w:rsidR="00B34AE1" w:rsidRPr="00452AEA">
        <w:rPr>
          <w:rFonts w:ascii="Arial" w:hAnsi="Arial" w:cs="Arial"/>
        </w:rPr>
        <w:t>from which the bone alp</w:t>
      </w:r>
      <w:r w:rsidRPr="00452AEA">
        <w:rPr>
          <w:rFonts w:ascii="Arial" w:hAnsi="Arial" w:cs="Arial"/>
        </w:rPr>
        <w:t xml:space="preserve"> concentration was calculated, (Figure</w:t>
      </w:r>
      <w:r w:rsidR="00C13464">
        <w:rPr>
          <w:rFonts w:ascii="Arial" w:hAnsi="Arial" w:cs="Arial"/>
        </w:rPr>
        <w:t xml:space="preserve"> 26</w:t>
      </w:r>
      <w:r w:rsidRPr="00452AEA">
        <w:rPr>
          <w:rFonts w:ascii="Arial" w:hAnsi="Arial" w:cs="Arial"/>
        </w:rPr>
        <w:t xml:space="preserve">). Three quality </w:t>
      </w:r>
      <w:r w:rsidR="00B34AE1" w:rsidRPr="00452AEA">
        <w:rPr>
          <w:rFonts w:ascii="Arial" w:hAnsi="Arial" w:cs="Arial"/>
        </w:rPr>
        <w:t>control samples of different bone alp</w:t>
      </w:r>
      <w:r w:rsidRPr="00452AEA">
        <w:rPr>
          <w:rFonts w:ascii="Arial" w:hAnsi="Arial" w:cs="Arial"/>
        </w:rPr>
        <w:t xml:space="preserve"> concentrations (low, medium and high) were then each measured in duplicate and plotted on the standard cur</w:t>
      </w:r>
      <w:r w:rsidR="00D72288" w:rsidRPr="00452AEA">
        <w:rPr>
          <w:rFonts w:ascii="Arial" w:hAnsi="Arial" w:cs="Arial"/>
        </w:rPr>
        <w:t>ve to ensure accuracy</w:t>
      </w:r>
      <w:r w:rsidR="0046394B">
        <w:rPr>
          <w:rFonts w:ascii="Arial" w:hAnsi="Arial" w:cs="Arial"/>
        </w:rPr>
        <w:t>,</w:t>
      </w:r>
      <w:r w:rsidR="00D72288" w:rsidRPr="00452AEA">
        <w:rPr>
          <w:rFonts w:ascii="Arial" w:hAnsi="Arial" w:cs="Arial"/>
        </w:rPr>
        <w:t xml:space="preserve"> (Figure</w:t>
      </w:r>
      <w:r w:rsidR="00797CED">
        <w:rPr>
          <w:rFonts w:ascii="Arial" w:hAnsi="Arial" w:cs="Arial"/>
        </w:rPr>
        <w:t xml:space="preserve"> 29</w:t>
      </w:r>
      <w:r w:rsidR="00D72288" w:rsidRPr="00452AEA">
        <w:rPr>
          <w:rFonts w:ascii="Arial" w:hAnsi="Arial" w:cs="Arial"/>
        </w:rPr>
        <w:t>).</w:t>
      </w:r>
    </w:p>
    <w:p w:rsidR="00EE536B" w:rsidRPr="00452AEA" w:rsidRDefault="0046394B" w:rsidP="00900F2C">
      <w:pPr>
        <w:spacing w:line="360" w:lineRule="auto"/>
        <w:rPr>
          <w:rFonts w:ascii="Arial" w:hAnsi="Arial" w:cs="Arial"/>
        </w:rPr>
      </w:pPr>
      <w:r>
        <w:rPr>
          <w:noProof/>
          <w:lang w:eastAsia="zh-CN"/>
        </w:rPr>
        <mc:AlternateContent>
          <mc:Choice Requires="wps">
            <w:drawing>
              <wp:anchor distT="0" distB="0" distL="114300" distR="114300" simplePos="0" relativeHeight="252811776" behindDoc="0" locked="0" layoutInCell="1" allowOverlap="1" wp14:anchorId="2F9A0393" wp14:editId="4287EF1A">
                <wp:simplePos x="0" y="0"/>
                <wp:positionH relativeFrom="column">
                  <wp:posOffset>-21590</wp:posOffset>
                </wp:positionH>
                <wp:positionV relativeFrom="paragraph">
                  <wp:posOffset>2276370</wp:posOffset>
                </wp:positionV>
                <wp:extent cx="5815330" cy="635"/>
                <wp:effectExtent l="0" t="0" r="0" b="1905"/>
                <wp:wrapNone/>
                <wp:docPr id="18637" name="Text Box 18637"/>
                <wp:cNvGraphicFramePr/>
                <a:graphic xmlns:a="http://schemas.openxmlformats.org/drawingml/2006/main">
                  <a:graphicData uri="http://schemas.microsoft.com/office/word/2010/wordprocessingShape">
                    <wps:wsp>
                      <wps:cNvSpPr txBox="1"/>
                      <wps:spPr>
                        <a:xfrm>
                          <a:off x="0" y="0"/>
                          <a:ext cx="5815330" cy="635"/>
                        </a:xfrm>
                        <a:prstGeom prst="rect">
                          <a:avLst/>
                        </a:prstGeom>
                        <a:solidFill>
                          <a:prstClr val="white"/>
                        </a:solidFill>
                        <a:ln>
                          <a:noFill/>
                        </a:ln>
                        <a:effectLst/>
                      </wps:spPr>
                      <wps:txbx>
                        <w:txbxContent>
                          <w:p w:rsidR="004166BC" w:rsidRPr="0016285E" w:rsidRDefault="004166BC" w:rsidP="005354D9">
                            <w:pPr>
                              <w:pStyle w:val="Caption"/>
                              <w:jc w:val="both"/>
                              <w:rPr>
                                <w:rFonts w:ascii="Arial" w:hAnsi="Arial" w:cs="Arial"/>
                                <w:noProof/>
                              </w:rPr>
                            </w:pPr>
                            <w:bookmarkStart w:id="90" w:name="_Toc422736069"/>
                            <w:bookmarkStart w:id="91" w:name="_Toc422736177"/>
                            <w:bookmarkStart w:id="92" w:name="_Toc425419512"/>
                            <w:r w:rsidRPr="00B54FEF">
                              <w:rPr>
                                <w:rFonts w:ascii="Arial" w:hAnsi="Arial" w:cs="Arial"/>
                                <w:b w:val="0"/>
                                <w:color w:val="auto"/>
                              </w:rPr>
                              <w:t xml:space="preserve">Figure </w:t>
                            </w:r>
                            <w:r w:rsidRPr="00B54FEF">
                              <w:rPr>
                                <w:rFonts w:ascii="Arial" w:hAnsi="Arial" w:cs="Arial"/>
                                <w:b w:val="0"/>
                                <w:color w:val="auto"/>
                              </w:rPr>
                              <w:fldChar w:fldCharType="begin"/>
                            </w:r>
                            <w:r w:rsidRPr="00B54FEF">
                              <w:rPr>
                                <w:rFonts w:ascii="Arial" w:hAnsi="Arial" w:cs="Arial"/>
                                <w:b w:val="0"/>
                                <w:color w:val="auto"/>
                              </w:rPr>
                              <w:instrText xml:space="preserve"> SEQ Figure \* ARABIC </w:instrText>
                            </w:r>
                            <w:r w:rsidRPr="00B54FEF">
                              <w:rPr>
                                <w:rFonts w:ascii="Arial" w:hAnsi="Arial" w:cs="Arial"/>
                                <w:b w:val="0"/>
                                <w:color w:val="auto"/>
                              </w:rPr>
                              <w:fldChar w:fldCharType="separate"/>
                            </w:r>
                            <w:r>
                              <w:rPr>
                                <w:rFonts w:ascii="Arial" w:hAnsi="Arial" w:cs="Arial"/>
                                <w:b w:val="0"/>
                                <w:noProof/>
                                <w:color w:val="auto"/>
                              </w:rPr>
                              <w:t>26</w:t>
                            </w:r>
                            <w:r w:rsidRPr="00B54FEF">
                              <w:rPr>
                                <w:rFonts w:ascii="Arial" w:hAnsi="Arial" w:cs="Arial"/>
                                <w:b w:val="0"/>
                                <w:color w:val="auto"/>
                              </w:rPr>
                              <w:fldChar w:fldCharType="end"/>
                            </w:r>
                            <w:r w:rsidRPr="00B54FEF">
                              <w:rPr>
                                <w:rFonts w:ascii="Arial" w:hAnsi="Arial" w:cs="Arial"/>
                                <w:b w:val="0"/>
                                <w:color w:val="auto"/>
                              </w:rPr>
                              <w:t>: IDS</w:t>
                            </w:r>
                            <w:r>
                              <w:rPr>
                                <w:rFonts w:ascii="Arial" w:hAnsi="Arial" w:cs="Arial"/>
                                <w:b w:val="0"/>
                                <w:color w:val="auto"/>
                              </w:rPr>
                              <w:t>-Isys</w:t>
                            </w:r>
                            <w:r w:rsidRPr="0046394B">
                              <w:rPr>
                                <w:rFonts w:ascii="Arial" w:hAnsi="Arial" w:cs="Arial"/>
                                <w:b w:val="0"/>
                                <w:color w:val="auto"/>
                              </w:rPr>
                              <w:t xml:space="preserve"> Ostase® BAP </w:t>
                            </w:r>
                            <w:r w:rsidRPr="00ED0D0F">
                              <w:rPr>
                                <w:rFonts w:ascii="Arial" w:hAnsi="Arial" w:cs="Arial"/>
                                <w:b w:val="0"/>
                                <w:color w:val="auto"/>
                              </w:rPr>
                              <w:t xml:space="preserve">calibration curve (left) and with the addition of the </w:t>
                            </w:r>
                            <w:r>
                              <w:rPr>
                                <w:rFonts w:ascii="Arial" w:hAnsi="Arial" w:cs="Arial"/>
                                <w:b w:val="0"/>
                                <w:color w:val="auto"/>
                              </w:rPr>
                              <w:t xml:space="preserve">values of the </w:t>
                            </w:r>
                            <w:r w:rsidRPr="00ED0D0F">
                              <w:rPr>
                                <w:rFonts w:ascii="Arial" w:hAnsi="Arial" w:cs="Arial"/>
                                <w:b w:val="0"/>
                                <w:color w:val="auto"/>
                              </w:rPr>
                              <w:t>quality control materials</w:t>
                            </w:r>
                            <w:r>
                              <w:rPr>
                                <w:rFonts w:ascii="Arial" w:hAnsi="Arial" w:cs="Arial"/>
                                <w:b w:val="0"/>
                                <w:color w:val="auto"/>
                              </w:rPr>
                              <w:t xml:space="preserve"> shown in pink shapes and the acceptable absorbance range for each</w:t>
                            </w:r>
                            <w:r w:rsidRPr="00ED0D0F">
                              <w:rPr>
                                <w:rFonts w:ascii="Arial" w:hAnsi="Arial" w:cs="Arial"/>
                                <w:b w:val="0"/>
                                <w:color w:val="auto"/>
                              </w:rPr>
                              <w:t xml:space="preserve"> (right)</w:t>
                            </w:r>
                            <w:bookmarkEnd w:id="90"/>
                            <w:bookmarkEnd w:id="91"/>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9A0393" id="Text Box 18637" o:spid="_x0000_s1134" type="#_x0000_t202" style="position:absolute;margin-left:-1.7pt;margin-top:179.25pt;width:457.9pt;height:.05pt;z-index:25281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" stroked="f">
                <v:textbox style="mso-fit-shape-to-text:t" inset="0,0,0,0">
                  <w:txbxContent>
                    <w:p w:rsidR="004166BC" w:rsidRPr="0016285E" w:rsidRDefault="004166BC" w:rsidP="005354D9">
                      <w:pPr>
                        <w:pStyle w:val="Caption"/>
                        <w:jc w:val="both"/>
                        <w:rPr>
                          <w:rFonts w:ascii="Arial" w:hAnsi="Arial" w:cs="Arial"/>
                          <w:noProof/>
                        </w:rPr>
                      </w:pPr>
                      <w:bookmarkStart w:id="132" w:name="_Toc422736069"/>
                      <w:bookmarkStart w:id="133" w:name="_Toc422736177"/>
                      <w:bookmarkStart w:id="134" w:name="_Toc425419512"/>
                      <w:r w:rsidRPr="00B54FEF">
                        <w:rPr>
                          <w:rFonts w:ascii="Arial" w:hAnsi="Arial" w:cs="Arial"/>
                          <w:b w:val="0"/>
                          <w:color w:val="auto"/>
                        </w:rPr>
                        <w:t xml:space="preserve">Figure </w:t>
                      </w:r>
                      <w:r w:rsidRPr="00B54FEF">
                        <w:rPr>
                          <w:rFonts w:ascii="Arial" w:hAnsi="Arial" w:cs="Arial"/>
                          <w:b w:val="0"/>
                          <w:color w:val="auto"/>
                        </w:rPr>
                        <w:fldChar w:fldCharType="begin"/>
                      </w:r>
                      <w:r w:rsidRPr="00B54FEF">
                        <w:rPr>
                          <w:rFonts w:ascii="Arial" w:hAnsi="Arial" w:cs="Arial"/>
                          <w:b w:val="0"/>
                          <w:color w:val="auto"/>
                        </w:rPr>
                        <w:instrText xml:space="preserve"> SEQ Figure \* ARABIC </w:instrText>
                      </w:r>
                      <w:r w:rsidRPr="00B54FEF">
                        <w:rPr>
                          <w:rFonts w:ascii="Arial" w:hAnsi="Arial" w:cs="Arial"/>
                          <w:b w:val="0"/>
                          <w:color w:val="auto"/>
                        </w:rPr>
                        <w:fldChar w:fldCharType="separate"/>
                      </w:r>
                      <w:r>
                        <w:rPr>
                          <w:rFonts w:ascii="Arial" w:hAnsi="Arial" w:cs="Arial"/>
                          <w:b w:val="0"/>
                          <w:noProof/>
                          <w:color w:val="auto"/>
                        </w:rPr>
                        <w:t>26</w:t>
                      </w:r>
                      <w:r w:rsidRPr="00B54FEF">
                        <w:rPr>
                          <w:rFonts w:ascii="Arial" w:hAnsi="Arial" w:cs="Arial"/>
                          <w:b w:val="0"/>
                          <w:color w:val="auto"/>
                        </w:rPr>
                        <w:fldChar w:fldCharType="end"/>
                      </w:r>
                      <w:r w:rsidRPr="00B54FEF">
                        <w:rPr>
                          <w:rFonts w:ascii="Arial" w:hAnsi="Arial" w:cs="Arial"/>
                          <w:b w:val="0"/>
                          <w:color w:val="auto"/>
                        </w:rPr>
                        <w:t>: IDS</w:t>
                      </w:r>
                      <w:r>
                        <w:rPr>
                          <w:rFonts w:ascii="Arial" w:hAnsi="Arial" w:cs="Arial"/>
                          <w:b w:val="0"/>
                          <w:color w:val="auto"/>
                        </w:rPr>
                        <w:t>-Isys</w:t>
                      </w:r>
                      <w:r w:rsidRPr="0046394B">
                        <w:rPr>
                          <w:rFonts w:ascii="Arial" w:hAnsi="Arial" w:cs="Arial"/>
                          <w:b w:val="0"/>
                          <w:color w:val="auto"/>
                        </w:rPr>
                        <w:t xml:space="preserve"> Ostase® BAP </w:t>
                      </w:r>
                      <w:r w:rsidRPr="00ED0D0F">
                        <w:rPr>
                          <w:rFonts w:ascii="Arial" w:hAnsi="Arial" w:cs="Arial"/>
                          <w:b w:val="0"/>
                          <w:color w:val="auto"/>
                        </w:rPr>
                        <w:t xml:space="preserve">calibration curve (left) and with the addition of the </w:t>
                      </w:r>
                      <w:r>
                        <w:rPr>
                          <w:rFonts w:ascii="Arial" w:hAnsi="Arial" w:cs="Arial"/>
                          <w:b w:val="0"/>
                          <w:color w:val="auto"/>
                        </w:rPr>
                        <w:t xml:space="preserve">values of the </w:t>
                      </w:r>
                      <w:r w:rsidRPr="00ED0D0F">
                        <w:rPr>
                          <w:rFonts w:ascii="Arial" w:hAnsi="Arial" w:cs="Arial"/>
                          <w:b w:val="0"/>
                          <w:color w:val="auto"/>
                        </w:rPr>
                        <w:t>quality control materials</w:t>
                      </w:r>
                      <w:r>
                        <w:rPr>
                          <w:rFonts w:ascii="Arial" w:hAnsi="Arial" w:cs="Arial"/>
                          <w:b w:val="0"/>
                          <w:color w:val="auto"/>
                        </w:rPr>
                        <w:t xml:space="preserve"> shown in pink shapes and the acceptable absorbance range for each</w:t>
                      </w:r>
                      <w:r w:rsidRPr="00ED0D0F">
                        <w:rPr>
                          <w:rFonts w:ascii="Arial" w:hAnsi="Arial" w:cs="Arial"/>
                          <w:b w:val="0"/>
                          <w:color w:val="auto"/>
                        </w:rPr>
                        <w:t xml:space="preserve"> (right)</w:t>
                      </w:r>
                      <w:bookmarkEnd w:id="132"/>
                      <w:bookmarkEnd w:id="133"/>
                      <w:bookmarkEnd w:id="134"/>
                    </w:p>
                  </w:txbxContent>
                </v:textbox>
              </v:shape>
            </w:pict>
          </mc:Fallback>
        </mc:AlternateContent>
      </w:r>
      <w:r w:rsidRPr="0046394B">
        <w:rPr>
          <w:noProof/>
          <w:lang w:eastAsia="zh-CN"/>
        </w:rPr>
        <w:drawing>
          <wp:inline distT="0" distB="0" distL="0" distR="0" wp14:anchorId="73EC83F8" wp14:editId="538FC4E4">
            <wp:extent cx="2609850" cy="2067110"/>
            <wp:effectExtent l="0" t="0" r="0" b="9525"/>
            <wp:docPr id="18600" name="Picture 1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82975" cy="2125028"/>
                    </a:xfrm>
                    <a:prstGeom prst="rect">
                      <a:avLst/>
                    </a:prstGeom>
                    <a:noFill/>
                    <a:ln>
                      <a:noFill/>
                    </a:ln>
                  </pic:spPr>
                </pic:pic>
              </a:graphicData>
            </a:graphic>
          </wp:inline>
        </w:drawing>
      </w:r>
      <w:r w:rsidRPr="0046394B">
        <w:rPr>
          <w:noProof/>
          <w:lang w:eastAsia="zh-CN"/>
        </w:rPr>
        <w:drawing>
          <wp:inline distT="0" distB="0" distL="0" distR="0" wp14:anchorId="4D814C26" wp14:editId="7453282A">
            <wp:extent cx="2695575" cy="2067575"/>
            <wp:effectExtent l="0" t="0" r="0" b="8890"/>
            <wp:docPr id="18634" name="Picture 1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7236" cy="2099530"/>
                    </a:xfrm>
                    <a:prstGeom prst="rect">
                      <a:avLst/>
                    </a:prstGeom>
                    <a:noFill/>
                    <a:ln>
                      <a:noFill/>
                    </a:ln>
                  </pic:spPr>
                </pic:pic>
              </a:graphicData>
            </a:graphic>
          </wp:inline>
        </w:drawing>
      </w:r>
    </w:p>
    <w:p w:rsidR="00441D5B" w:rsidRDefault="00441D5B" w:rsidP="00900F2C">
      <w:pPr>
        <w:pStyle w:val="Heading4"/>
      </w:pPr>
    </w:p>
    <w:p w:rsidR="00703F96" w:rsidRDefault="00703F96" w:rsidP="00900F2C">
      <w:pPr>
        <w:pStyle w:val="Heading4"/>
      </w:pPr>
    </w:p>
    <w:p w:rsidR="006C78B6" w:rsidRDefault="006C78B6" w:rsidP="005354D9">
      <w:pPr>
        <w:pStyle w:val="Heading4"/>
        <w:jc w:val="both"/>
      </w:pPr>
      <w:r>
        <w:t>Bone ALP assay performance and validation</w:t>
      </w:r>
    </w:p>
    <w:p w:rsidR="00DA0C8A" w:rsidRPr="00957976" w:rsidRDefault="00022F90" w:rsidP="003B725E">
      <w:pPr>
        <w:spacing w:after="0" w:line="360" w:lineRule="auto"/>
        <w:jc w:val="both"/>
        <w:rPr>
          <w:rFonts w:ascii="Arial" w:hAnsi="Arial" w:cs="Arial"/>
        </w:rPr>
      </w:pPr>
      <w:r w:rsidRPr="00957976">
        <w:rPr>
          <w:rFonts w:ascii="Arial" w:hAnsi="Arial" w:cs="Arial"/>
        </w:rPr>
        <w:t xml:space="preserve">The performance of the Ostase® BAP assay using the iSYS-IDS analyser has previously been validated by IDS. The detection range was 1.0 to 75.0 ng/ml, the detection limit was 0.4 ng/m. </w:t>
      </w:r>
      <w:r w:rsidR="005425AB" w:rsidRPr="00957976">
        <w:rPr>
          <w:rFonts w:ascii="Arial" w:hAnsi="Arial" w:cs="Arial"/>
        </w:rPr>
        <w:t>The assay i</w:t>
      </w:r>
      <w:r w:rsidR="00C95A84">
        <w:rPr>
          <w:rFonts w:ascii="Arial" w:hAnsi="Arial" w:cs="Arial"/>
        </w:rPr>
        <w:t>s specific for bone but there is approximately</w:t>
      </w:r>
      <w:r w:rsidR="005425AB" w:rsidRPr="00957976">
        <w:rPr>
          <w:rFonts w:ascii="Arial" w:hAnsi="Arial" w:cs="Arial"/>
        </w:rPr>
        <w:t xml:space="preserve"> 20% cross-reactivity with the liver isoform</w:t>
      </w:r>
      <w:r w:rsidR="005231E9">
        <w:rPr>
          <w:rFonts w:ascii="Arial" w:hAnsi="Arial" w:cs="Arial"/>
        </w:rPr>
        <w:t>,</w:t>
      </w:r>
      <w:r w:rsidR="00411606">
        <w:rPr>
          <w:rFonts w:ascii="Arial" w:hAnsi="Arial" w:cs="Arial"/>
        </w:rPr>
        <w:t xml:space="preserve"> </w:t>
      </w:r>
      <w:r w:rsidR="00411606">
        <w:rPr>
          <w:rFonts w:ascii="Arial" w:hAnsi="Arial" w:cs="Arial"/>
        </w:rPr>
        <w:fldChar w:fldCharType="begin"/>
      </w:r>
      <w:r w:rsidR="00B64C0F">
        <w:rPr>
          <w:rFonts w:ascii="Arial" w:hAnsi="Arial" w:cs="Arial"/>
        </w:rPr>
        <w:instrText xml:space="preserve"> ADDIN EN.CITE &lt;EndNote&gt;&lt;Cite&gt;&lt;Author&gt;Seibel&lt;/Author&gt;&lt;Year&gt;2005&lt;/Year&gt;&lt;RecNum&gt;524&lt;/RecNum&gt;&lt;DisplayText&gt;(347)&lt;/DisplayText&gt;&lt;record&gt;&lt;rec-number&gt;524&lt;/rec-number&gt;&lt;foreign-keys&gt;&lt;key app="EN" db-id="p9a5ttsvyvde9me5aw2x05fp5p55axf0wr90" timestamp="1437648967"&gt;524&lt;/key&gt;&lt;/foreign-keys&gt;&lt;ref-type name="Journal Article"&gt;17&lt;/ref-type&gt;&lt;contributors&gt;&lt;authors&gt;&lt;author&gt;Seibel, M. J.&lt;/author&gt;&lt;/authors&gt;&lt;/contributors&gt;&lt;auth-address&gt;ANZAC Research Institute, The University of Sydney, NSW. mjs@anzac.edu.au&lt;/auth-address&gt;&lt;titles&gt;&lt;title&gt;Biochemical markers of bone turnover: part I: biochemistry and variability&lt;/title&gt;&lt;secondary-title&gt;Clin Biochem Rev&lt;/secondary-title&gt;&lt;/titles&gt;&lt;periodical&gt;&lt;full-title&gt;Clin Biochem Rev&lt;/full-title&gt;&lt;/periodical&gt;&lt;pages&gt;97-122&lt;/pages&gt;&lt;volume&gt;26&lt;/volume&gt;&lt;number&gt;4&lt;/number&gt;&lt;edition&gt;2006/05/02&lt;/edition&gt;&lt;dates&gt;&lt;year&gt;2005&lt;/year&gt;&lt;pub-dates&gt;&lt;date&gt;Nov&lt;/date&gt;&lt;/pub-dates&gt;&lt;/dates&gt;&lt;isbn&gt;0159-8090 (Print)&amp;#xD;0159-8090 (Linking)&lt;/isbn&gt;&lt;accession-num&gt;16648882&lt;/accession-num&gt;&lt;urls&gt;&lt;/urls&gt;&lt;custom2&gt;PMC1320175&lt;/custom2&gt;&lt;remote-database-provider&gt;NLM&lt;/remote-database-provider&gt;&lt;language&gt;eng&lt;/language&gt;&lt;/record&gt;&lt;/Cite&gt;&lt;/EndNote&gt;</w:instrText>
      </w:r>
      <w:r w:rsidR="00411606">
        <w:rPr>
          <w:rFonts w:ascii="Arial" w:hAnsi="Arial" w:cs="Arial"/>
        </w:rPr>
        <w:fldChar w:fldCharType="separate"/>
      </w:r>
      <w:r w:rsidR="00B64C0F">
        <w:rPr>
          <w:rFonts w:ascii="Arial" w:hAnsi="Arial" w:cs="Arial"/>
          <w:noProof/>
        </w:rPr>
        <w:t>(</w:t>
      </w:r>
      <w:hyperlink w:anchor="_ENREF_347" w:tooltip="Seibel, 2005 #524" w:history="1">
        <w:r w:rsidR="003B725E">
          <w:rPr>
            <w:rFonts w:ascii="Arial" w:hAnsi="Arial" w:cs="Arial"/>
            <w:noProof/>
          </w:rPr>
          <w:t>347</w:t>
        </w:r>
      </w:hyperlink>
      <w:r w:rsidR="00B64C0F">
        <w:rPr>
          <w:rFonts w:ascii="Arial" w:hAnsi="Arial" w:cs="Arial"/>
          <w:noProof/>
        </w:rPr>
        <w:t>)</w:t>
      </w:r>
      <w:r w:rsidR="00411606">
        <w:rPr>
          <w:rFonts w:ascii="Arial" w:hAnsi="Arial" w:cs="Arial"/>
        </w:rPr>
        <w:fldChar w:fldCharType="end"/>
      </w:r>
      <w:r w:rsidR="005425AB" w:rsidRPr="00957976">
        <w:rPr>
          <w:rFonts w:ascii="Arial" w:hAnsi="Arial" w:cs="Arial"/>
        </w:rPr>
        <w:t>.</w:t>
      </w:r>
      <w:r w:rsidR="00E342BF">
        <w:rPr>
          <w:rFonts w:ascii="Arial" w:hAnsi="Arial" w:cs="Arial"/>
        </w:rPr>
        <w:t xml:space="preserve"> </w:t>
      </w:r>
    </w:p>
    <w:p w:rsidR="00022F90" w:rsidRPr="00957976" w:rsidRDefault="00022F90" w:rsidP="005354D9">
      <w:pPr>
        <w:spacing w:line="360" w:lineRule="auto"/>
        <w:jc w:val="both"/>
        <w:rPr>
          <w:rFonts w:ascii="Arial" w:hAnsi="Arial" w:cs="Arial"/>
        </w:rPr>
      </w:pPr>
      <w:r w:rsidRPr="00957976">
        <w:rPr>
          <w:rFonts w:ascii="Arial" w:hAnsi="Arial" w:cs="Arial"/>
        </w:rPr>
        <w:t>In order to confirm that the performance of the assay is satisfactor</w:t>
      </w:r>
      <w:r w:rsidR="00043411" w:rsidRPr="00957976">
        <w:rPr>
          <w:rFonts w:ascii="Arial" w:hAnsi="Arial" w:cs="Arial"/>
        </w:rPr>
        <w:t xml:space="preserve">y in our laboratory environment, </w:t>
      </w:r>
      <w:r w:rsidRPr="00957976">
        <w:rPr>
          <w:rFonts w:ascii="Arial" w:hAnsi="Arial" w:cs="Arial"/>
        </w:rPr>
        <w:t>additional validations were carried ou</w:t>
      </w:r>
      <w:r w:rsidR="00D72288" w:rsidRPr="00957976">
        <w:rPr>
          <w:rFonts w:ascii="Arial" w:hAnsi="Arial" w:cs="Arial"/>
        </w:rPr>
        <w:t>t:</w:t>
      </w:r>
    </w:p>
    <w:p w:rsidR="00022F90" w:rsidRDefault="00FF4A77" w:rsidP="005354D9">
      <w:pPr>
        <w:pStyle w:val="Heading4"/>
        <w:jc w:val="both"/>
      </w:pPr>
      <w:r>
        <w:t>Bone ALP</w:t>
      </w:r>
      <w:r w:rsidR="00022F90">
        <w:t xml:space="preserve"> assay precision</w:t>
      </w:r>
    </w:p>
    <w:p w:rsidR="00D72288" w:rsidRPr="00957976" w:rsidRDefault="00D72288" w:rsidP="003B725E">
      <w:pPr>
        <w:spacing w:line="360" w:lineRule="auto"/>
        <w:jc w:val="both"/>
        <w:rPr>
          <w:rFonts w:ascii="Arial" w:hAnsi="Arial" w:cs="Arial"/>
        </w:rPr>
      </w:pPr>
      <w:r w:rsidRPr="00957976">
        <w:rPr>
          <w:rFonts w:ascii="Arial" w:hAnsi="Arial" w:cs="Arial"/>
        </w:rPr>
        <w:t>The precision of the Ostase® BAP assay was assessed in</w:t>
      </w:r>
      <w:r w:rsidR="005010B9">
        <w:rPr>
          <w:rFonts w:ascii="Arial" w:hAnsi="Arial" w:cs="Arial"/>
        </w:rPr>
        <w:t xml:space="preserve"> accordance with the CLSI guidelines</w:t>
      </w:r>
      <w:r w:rsidRPr="00957976">
        <w:rPr>
          <w:rFonts w:ascii="Arial" w:hAnsi="Arial" w:cs="Arial"/>
        </w:rPr>
        <w:t>: Evaluation of precision performance of q</w:t>
      </w:r>
      <w:r w:rsidR="00411606">
        <w:rPr>
          <w:rFonts w:ascii="Arial" w:hAnsi="Arial" w:cs="Arial"/>
        </w:rPr>
        <w:t xml:space="preserve">uantitative measurement methods, </w:t>
      </w:r>
      <w:r w:rsidR="00411606">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411606">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411606">
        <w:rPr>
          <w:rFonts w:ascii="Arial" w:hAnsi="Arial" w:cs="Arial"/>
        </w:rPr>
        <w:fldChar w:fldCharType="end"/>
      </w:r>
      <w:r w:rsidR="00411606">
        <w:rPr>
          <w:rFonts w:ascii="Arial" w:hAnsi="Arial" w:cs="Arial"/>
        </w:rPr>
        <w:t>.</w:t>
      </w:r>
      <w:r w:rsidRPr="00957976">
        <w:rPr>
          <w:rFonts w:ascii="Arial" w:hAnsi="Arial" w:cs="Arial"/>
        </w:rPr>
        <w:t xml:space="preserve"> Four quality control materials of different concentrations were measured once per </w:t>
      </w:r>
      <w:r w:rsidRPr="00957976">
        <w:rPr>
          <w:rFonts w:ascii="Arial" w:hAnsi="Arial" w:cs="Arial"/>
        </w:rPr>
        <w:lastRenderedPageBreak/>
        <w:t xml:space="preserve">day over a period of 20 days. The CV was calculated and expressed as a percentage, </w:t>
      </w:r>
      <w:r w:rsidR="00797CED">
        <w:rPr>
          <w:rFonts w:ascii="Arial" w:hAnsi="Arial" w:cs="Arial"/>
        </w:rPr>
        <w:t>(</w:t>
      </w:r>
      <w:r w:rsidRPr="00957976">
        <w:rPr>
          <w:rFonts w:ascii="Arial" w:hAnsi="Arial" w:cs="Arial"/>
        </w:rPr>
        <w:t>Table</w:t>
      </w:r>
      <w:r w:rsidR="00513F64">
        <w:rPr>
          <w:rFonts w:ascii="Arial" w:hAnsi="Arial" w:cs="Arial"/>
        </w:rPr>
        <w:t xml:space="preserve"> 5</w:t>
      </w:r>
      <w:r w:rsidR="00797CED">
        <w:rPr>
          <w:rFonts w:ascii="Arial" w:hAnsi="Arial" w:cs="Arial"/>
        </w:rPr>
        <w:t>)</w:t>
      </w:r>
      <w:r w:rsidRPr="00957976">
        <w:rPr>
          <w:rFonts w:ascii="Arial" w:hAnsi="Arial" w:cs="Arial"/>
        </w:rPr>
        <w:t>. A CV of less than 10% was termed acceptable.</w:t>
      </w:r>
    </w:p>
    <w:p w:rsidR="00D72288" w:rsidRPr="00D72288" w:rsidRDefault="00D72288" w:rsidP="005354D9">
      <w:pPr>
        <w:pStyle w:val="Caption"/>
        <w:keepNext/>
        <w:jc w:val="both"/>
        <w:rPr>
          <w:rFonts w:ascii="Arial" w:hAnsi="Arial" w:cs="Arial"/>
          <w:b w:val="0"/>
          <w:color w:val="auto"/>
        </w:rPr>
      </w:pPr>
      <w:bookmarkStart w:id="93" w:name="_Toc424043679"/>
      <w:r w:rsidRPr="00D72288">
        <w:rPr>
          <w:rFonts w:ascii="Arial" w:hAnsi="Arial" w:cs="Arial"/>
          <w:b w:val="0"/>
          <w:color w:val="auto"/>
        </w:rPr>
        <w:t xml:space="preserve">Table </w:t>
      </w:r>
      <w:r w:rsidRPr="00D72288">
        <w:rPr>
          <w:rFonts w:ascii="Arial" w:hAnsi="Arial" w:cs="Arial"/>
          <w:b w:val="0"/>
          <w:color w:val="auto"/>
        </w:rPr>
        <w:fldChar w:fldCharType="begin"/>
      </w:r>
      <w:r w:rsidRPr="00D72288">
        <w:rPr>
          <w:rFonts w:ascii="Arial" w:hAnsi="Arial" w:cs="Arial"/>
          <w:b w:val="0"/>
          <w:color w:val="auto"/>
        </w:rPr>
        <w:instrText xml:space="preserve"> SEQ Table \* ARABIC </w:instrText>
      </w:r>
      <w:r w:rsidRPr="00D72288">
        <w:rPr>
          <w:rFonts w:ascii="Arial" w:hAnsi="Arial" w:cs="Arial"/>
          <w:b w:val="0"/>
          <w:color w:val="auto"/>
        </w:rPr>
        <w:fldChar w:fldCharType="separate"/>
      </w:r>
      <w:r w:rsidR="00DD116A">
        <w:rPr>
          <w:rFonts w:ascii="Arial" w:hAnsi="Arial" w:cs="Arial"/>
          <w:b w:val="0"/>
          <w:noProof/>
          <w:color w:val="auto"/>
        </w:rPr>
        <w:t>5</w:t>
      </w:r>
      <w:r w:rsidRPr="00D72288">
        <w:rPr>
          <w:rFonts w:ascii="Arial" w:hAnsi="Arial" w:cs="Arial"/>
          <w:b w:val="0"/>
          <w:color w:val="auto"/>
        </w:rPr>
        <w:fldChar w:fldCharType="end"/>
      </w:r>
      <w:r w:rsidR="00DF32E6">
        <w:rPr>
          <w:rFonts w:ascii="Arial" w:hAnsi="Arial" w:cs="Arial"/>
          <w:b w:val="0"/>
          <w:color w:val="auto"/>
        </w:rPr>
        <w:t>: The</w:t>
      </w:r>
      <w:r w:rsidRPr="00D72288">
        <w:rPr>
          <w:rFonts w:ascii="Arial" w:hAnsi="Arial" w:cs="Arial"/>
          <w:b w:val="0"/>
          <w:color w:val="auto"/>
        </w:rPr>
        <w:t xml:space="preserve"> inter assay precision of the IDS-iSYS Ostase® BAP using four different levels of QC </w:t>
      </w:r>
      <w:r>
        <w:rPr>
          <w:rFonts w:ascii="Arial" w:hAnsi="Arial" w:cs="Arial"/>
          <w:b w:val="0"/>
          <w:color w:val="auto"/>
        </w:rPr>
        <w:t>material measured (N = 20 each)</w:t>
      </w:r>
      <w:bookmarkEnd w:id="93"/>
    </w:p>
    <w:tbl>
      <w:tblPr>
        <w:tblStyle w:val="TableGrid"/>
        <w:tblW w:w="0" w:type="auto"/>
        <w:jc w:val="center"/>
        <w:tblLook w:val="04A0" w:firstRow="1" w:lastRow="0" w:firstColumn="1" w:lastColumn="0" w:noHBand="0" w:noVBand="1"/>
      </w:tblPr>
      <w:tblGrid>
        <w:gridCol w:w="2500"/>
        <w:gridCol w:w="2500"/>
        <w:gridCol w:w="2500"/>
      </w:tblGrid>
      <w:tr w:rsidR="00D72288" w:rsidRPr="009F0A80" w:rsidTr="00043411">
        <w:trPr>
          <w:trHeight w:val="283"/>
          <w:jc w:val="center"/>
        </w:trPr>
        <w:tc>
          <w:tcPr>
            <w:tcW w:w="2500" w:type="dxa"/>
          </w:tcPr>
          <w:p w:rsidR="00D72288" w:rsidRPr="009F0A80" w:rsidRDefault="00D72288"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D72288" w:rsidRPr="009F0A80" w:rsidRDefault="00D72288"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ation, ng/ml</w:t>
            </w:r>
            <w:r w:rsidRPr="009F0A80">
              <w:rPr>
                <w:rFonts w:ascii="Arial" w:hAnsi="Arial" w:cs="Arial"/>
                <w:sz w:val="16"/>
                <w:szCs w:val="16"/>
              </w:rPr>
              <w:t>/ (standard deviation)</w:t>
            </w:r>
          </w:p>
        </w:tc>
        <w:tc>
          <w:tcPr>
            <w:tcW w:w="2500" w:type="dxa"/>
          </w:tcPr>
          <w:p w:rsidR="00D72288" w:rsidRPr="009F0A80" w:rsidRDefault="00D72288" w:rsidP="00900F2C">
            <w:pPr>
              <w:rPr>
                <w:rFonts w:ascii="Arial" w:hAnsi="Arial" w:cs="Arial"/>
                <w:sz w:val="16"/>
                <w:szCs w:val="16"/>
              </w:rPr>
            </w:pPr>
            <w:r w:rsidRPr="009F0A80">
              <w:rPr>
                <w:rFonts w:ascii="Arial" w:hAnsi="Arial" w:cs="Arial"/>
                <w:sz w:val="16"/>
                <w:szCs w:val="16"/>
              </w:rPr>
              <w:t>Inter-assay CV (%)</w:t>
            </w:r>
          </w:p>
        </w:tc>
      </w:tr>
      <w:tr w:rsidR="00D72288" w:rsidRPr="009F0A80" w:rsidTr="00043411">
        <w:trPr>
          <w:trHeight w:val="283"/>
          <w:jc w:val="center"/>
        </w:trPr>
        <w:tc>
          <w:tcPr>
            <w:tcW w:w="2500" w:type="dxa"/>
            <w:vAlign w:val="center"/>
          </w:tcPr>
          <w:p w:rsidR="00D72288" w:rsidRPr="009F0A80" w:rsidRDefault="00D72288"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D72288" w:rsidRPr="009F0A80" w:rsidRDefault="004351D6" w:rsidP="00900F2C">
            <w:pPr>
              <w:rPr>
                <w:rFonts w:ascii="Arial" w:hAnsi="Arial" w:cs="Arial"/>
                <w:sz w:val="16"/>
                <w:szCs w:val="16"/>
              </w:rPr>
            </w:pPr>
            <w:r>
              <w:rPr>
                <w:rFonts w:ascii="Arial" w:hAnsi="Arial" w:cs="Arial"/>
                <w:sz w:val="16"/>
                <w:szCs w:val="16"/>
              </w:rPr>
              <w:t>4.14 (</w:t>
            </w:r>
            <w:r w:rsidR="00B54FEF">
              <w:rPr>
                <w:rFonts w:ascii="Arial" w:hAnsi="Arial" w:cs="Arial"/>
                <w:sz w:val="16"/>
                <w:szCs w:val="16"/>
              </w:rPr>
              <w:t>0.15)</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3.6</w:t>
            </w:r>
          </w:p>
        </w:tc>
      </w:tr>
      <w:tr w:rsidR="00D72288" w:rsidRPr="009F0A80" w:rsidTr="00043411">
        <w:trPr>
          <w:trHeight w:val="283"/>
          <w:jc w:val="center"/>
        </w:trPr>
        <w:tc>
          <w:tcPr>
            <w:tcW w:w="2500" w:type="dxa"/>
            <w:vAlign w:val="center"/>
          </w:tcPr>
          <w:p w:rsidR="00D72288" w:rsidRPr="009F0A80" w:rsidRDefault="00D72288" w:rsidP="00900F2C">
            <w:pPr>
              <w:rPr>
                <w:rFonts w:ascii="Arial" w:hAnsi="Arial" w:cs="Arial"/>
                <w:sz w:val="16"/>
                <w:szCs w:val="16"/>
              </w:rPr>
            </w:pPr>
            <w:r w:rsidRPr="009F0A80">
              <w:rPr>
                <w:rFonts w:ascii="Arial" w:hAnsi="Arial" w:cs="Arial"/>
                <w:sz w:val="16"/>
                <w:szCs w:val="16"/>
              </w:rPr>
              <w:t>QC 2 (medium)</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13.03 (0.37)</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2.8</w:t>
            </w:r>
          </w:p>
        </w:tc>
      </w:tr>
      <w:tr w:rsidR="00D72288" w:rsidRPr="009F0A80" w:rsidTr="00043411">
        <w:trPr>
          <w:trHeight w:val="283"/>
          <w:jc w:val="center"/>
        </w:trPr>
        <w:tc>
          <w:tcPr>
            <w:tcW w:w="2500" w:type="dxa"/>
            <w:vAlign w:val="center"/>
          </w:tcPr>
          <w:p w:rsidR="00D72288" w:rsidRPr="009F0A80" w:rsidRDefault="00D72288" w:rsidP="00900F2C">
            <w:pPr>
              <w:rPr>
                <w:rFonts w:ascii="Arial" w:hAnsi="Arial" w:cs="Arial"/>
                <w:sz w:val="16"/>
                <w:szCs w:val="16"/>
              </w:rPr>
            </w:pPr>
            <w:r w:rsidRPr="009F0A80">
              <w:rPr>
                <w:rFonts w:ascii="Arial" w:hAnsi="Arial" w:cs="Arial"/>
                <w:sz w:val="16"/>
                <w:szCs w:val="16"/>
              </w:rPr>
              <w:t>QC 3 (high)</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43.2 (1.31)</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3.1</w:t>
            </w:r>
          </w:p>
        </w:tc>
      </w:tr>
      <w:tr w:rsidR="00D72288" w:rsidRPr="009F0A80" w:rsidTr="00043411">
        <w:trPr>
          <w:trHeight w:val="283"/>
          <w:jc w:val="center"/>
        </w:trPr>
        <w:tc>
          <w:tcPr>
            <w:tcW w:w="2500" w:type="dxa"/>
            <w:vAlign w:val="center"/>
          </w:tcPr>
          <w:p w:rsidR="00D72288" w:rsidRPr="009F0A80" w:rsidRDefault="00174540" w:rsidP="00900F2C">
            <w:pPr>
              <w:rPr>
                <w:rFonts w:ascii="Arial" w:hAnsi="Arial" w:cs="Arial"/>
                <w:sz w:val="16"/>
                <w:szCs w:val="16"/>
              </w:rPr>
            </w:pPr>
            <w:r>
              <w:rPr>
                <w:rFonts w:ascii="Arial" w:hAnsi="Arial" w:cs="Arial"/>
                <w:sz w:val="16"/>
                <w:szCs w:val="16"/>
              </w:rPr>
              <w:t>QC 4 (In-</w:t>
            </w:r>
            <w:r w:rsidR="00D72288" w:rsidRPr="009F0A80">
              <w:rPr>
                <w:rFonts w:ascii="Arial" w:hAnsi="Arial" w:cs="Arial"/>
                <w:sz w:val="16"/>
                <w:szCs w:val="16"/>
              </w:rPr>
              <w:t>house plasma)</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21.2 (1.23)</w:t>
            </w:r>
          </w:p>
        </w:tc>
        <w:tc>
          <w:tcPr>
            <w:tcW w:w="2500" w:type="dxa"/>
            <w:vAlign w:val="center"/>
          </w:tcPr>
          <w:p w:rsidR="00D72288" w:rsidRPr="009F0A80" w:rsidRDefault="00B54FEF" w:rsidP="00900F2C">
            <w:pPr>
              <w:rPr>
                <w:rFonts w:ascii="Arial" w:hAnsi="Arial" w:cs="Arial"/>
                <w:sz w:val="16"/>
                <w:szCs w:val="16"/>
              </w:rPr>
            </w:pPr>
            <w:r>
              <w:rPr>
                <w:rFonts w:ascii="Arial" w:hAnsi="Arial" w:cs="Arial"/>
                <w:sz w:val="16"/>
                <w:szCs w:val="16"/>
              </w:rPr>
              <w:t>5.9</w:t>
            </w:r>
          </w:p>
        </w:tc>
      </w:tr>
    </w:tbl>
    <w:p w:rsidR="00703F96" w:rsidRDefault="00703F96" w:rsidP="00900F2C">
      <w:pPr>
        <w:pStyle w:val="Heading4"/>
      </w:pPr>
    </w:p>
    <w:p w:rsidR="00E54806" w:rsidRDefault="00E54806" w:rsidP="005354D9">
      <w:pPr>
        <w:pStyle w:val="Heading4"/>
        <w:jc w:val="both"/>
      </w:pPr>
      <w:r>
        <w:t>Bone ALP method comparison</w:t>
      </w:r>
    </w:p>
    <w:p w:rsidR="00E54806" w:rsidRPr="00957976" w:rsidRDefault="00E54806" w:rsidP="003B725E">
      <w:pPr>
        <w:spacing w:line="360" w:lineRule="auto"/>
        <w:jc w:val="both"/>
        <w:rPr>
          <w:rFonts w:ascii="Arial" w:hAnsi="Arial" w:cs="Arial"/>
        </w:rPr>
      </w:pPr>
      <w:r w:rsidRPr="00E54806">
        <w:rPr>
          <w:rFonts w:ascii="Arial" w:hAnsi="Arial" w:cs="Arial"/>
        </w:rPr>
        <w:t>The IDS-iSYS Ostase® BAP assay was directly compared to</w:t>
      </w:r>
      <w:r>
        <w:rPr>
          <w:rFonts w:ascii="Arial" w:hAnsi="Arial" w:cs="Arial"/>
        </w:rPr>
        <w:t xml:space="preserve"> the Access Ostase®</w:t>
      </w:r>
      <w:r w:rsidRPr="00E54806">
        <w:rPr>
          <w:rFonts w:ascii="Arial" w:hAnsi="Arial" w:cs="Arial"/>
        </w:rPr>
        <w:t xml:space="preserve"> assay,</w:t>
      </w:r>
      <w:r>
        <w:rPr>
          <w:rFonts w:ascii="Arial" w:hAnsi="Arial" w:cs="Arial"/>
        </w:rPr>
        <w:t xml:space="preserve"> Beckman Coulter (High Wycombe, UK) </w:t>
      </w:r>
      <w:r w:rsidRPr="00957976">
        <w:rPr>
          <w:rFonts w:ascii="Arial" w:hAnsi="Arial" w:cs="Arial"/>
        </w:rPr>
        <w:t>in accordance with ‘CLSI EP-9A2: Method comparison and bias estimation using patient samples’</w:t>
      </w:r>
      <w:r w:rsidR="00411606">
        <w:rPr>
          <w:rFonts w:ascii="Arial" w:hAnsi="Arial" w:cs="Arial"/>
        </w:rPr>
        <w:t xml:space="preserve">, </w:t>
      </w:r>
      <w:r w:rsidR="00411606">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411606">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411606">
        <w:rPr>
          <w:rFonts w:ascii="Arial" w:hAnsi="Arial" w:cs="Arial"/>
        </w:rPr>
        <w:fldChar w:fldCharType="end"/>
      </w:r>
      <w:r w:rsidRPr="00957976">
        <w:rPr>
          <w:rFonts w:ascii="Arial" w:hAnsi="Arial" w:cs="Arial"/>
        </w:rPr>
        <w:t xml:space="preserve">. </w:t>
      </w:r>
      <w:r w:rsidR="00656153">
        <w:rPr>
          <w:rFonts w:ascii="Arial" w:hAnsi="Arial" w:cs="Arial"/>
        </w:rPr>
        <w:t xml:space="preserve">45 </w:t>
      </w:r>
      <w:r w:rsidRPr="00957976">
        <w:rPr>
          <w:rFonts w:ascii="Arial" w:hAnsi="Arial" w:cs="Arial"/>
        </w:rPr>
        <w:t>serum samples from premenopausal and postmenopausal women were used to represent a range of</w:t>
      </w:r>
      <w:r w:rsidR="00656153">
        <w:rPr>
          <w:rFonts w:ascii="Arial" w:hAnsi="Arial" w:cs="Arial"/>
        </w:rPr>
        <w:t xml:space="preserve"> bone ALP</w:t>
      </w:r>
      <w:r w:rsidRPr="00957976">
        <w:rPr>
          <w:rFonts w:ascii="Arial" w:hAnsi="Arial" w:cs="Arial"/>
        </w:rPr>
        <w:t xml:space="preserve"> conce</w:t>
      </w:r>
      <w:r w:rsidR="00656153">
        <w:rPr>
          <w:rFonts w:ascii="Arial" w:hAnsi="Arial" w:cs="Arial"/>
        </w:rPr>
        <w:t>ntrations. Bone ALP was</w:t>
      </w:r>
      <w:r w:rsidRPr="00957976">
        <w:rPr>
          <w:rFonts w:ascii="Arial" w:hAnsi="Arial" w:cs="Arial"/>
        </w:rPr>
        <w:t xml:space="preserve"> measured using the IDS-iSYS and </w:t>
      </w:r>
      <w:r w:rsidR="00656153">
        <w:rPr>
          <w:rFonts w:ascii="Arial" w:hAnsi="Arial" w:cs="Arial"/>
        </w:rPr>
        <w:t>the Access immunoassay</w:t>
      </w:r>
      <w:r w:rsidRPr="00957976">
        <w:rPr>
          <w:rFonts w:ascii="Arial" w:hAnsi="Arial" w:cs="Arial"/>
        </w:rPr>
        <w:t xml:space="preserve"> analysers. </w:t>
      </w:r>
    </w:p>
    <w:p w:rsidR="00E54806" w:rsidRDefault="00E54806" w:rsidP="005354D9">
      <w:pPr>
        <w:spacing w:line="360" w:lineRule="auto"/>
        <w:jc w:val="both"/>
        <w:rPr>
          <w:rFonts w:ascii="Arial" w:hAnsi="Arial" w:cs="Arial"/>
        </w:rPr>
      </w:pPr>
      <w:r w:rsidRPr="00957976">
        <w:rPr>
          <w:rFonts w:ascii="Arial" w:hAnsi="Arial" w:cs="Arial"/>
        </w:rPr>
        <w:t>Bland-Altman plot and Passing and Bablok regression analyses were used</w:t>
      </w:r>
      <w:r w:rsidR="00656153">
        <w:rPr>
          <w:rFonts w:ascii="Arial" w:hAnsi="Arial" w:cs="Arial"/>
        </w:rPr>
        <w:t xml:space="preserve"> to compare the data, (Figure</w:t>
      </w:r>
      <w:r w:rsidR="00C13464">
        <w:rPr>
          <w:rFonts w:ascii="Arial" w:hAnsi="Arial" w:cs="Arial"/>
        </w:rPr>
        <w:t xml:space="preserve"> 27</w:t>
      </w:r>
      <w:r w:rsidRPr="00957976">
        <w:rPr>
          <w:rFonts w:ascii="Arial" w:hAnsi="Arial" w:cs="Arial"/>
        </w:rPr>
        <w:t xml:space="preserve">). The mean difference between the IDS-iSYS and the </w:t>
      </w:r>
      <w:r w:rsidR="00656153">
        <w:rPr>
          <w:rFonts w:ascii="Arial" w:hAnsi="Arial" w:cs="Arial"/>
        </w:rPr>
        <w:t>Access®</w:t>
      </w:r>
      <w:r w:rsidRPr="00957976">
        <w:rPr>
          <w:rFonts w:ascii="Arial" w:hAnsi="Arial" w:cs="Arial"/>
        </w:rPr>
        <w:t xml:space="preserve"> was </w:t>
      </w:r>
      <w:r w:rsidR="00656153">
        <w:rPr>
          <w:rFonts w:ascii="Arial" w:hAnsi="Arial" w:cs="Arial"/>
        </w:rPr>
        <w:t>2.1</w:t>
      </w:r>
      <w:r w:rsidRPr="00957976">
        <w:rPr>
          <w:rFonts w:ascii="Arial" w:hAnsi="Arial" w:cs="Arial"/>
        </w:rPr>
        <w:t xml:space="preserve"> ng/ml. The median (and standard deviation) were </w:t>
      </w:r>
      <w:r w:rsidR="00656153">
        <w:rPr>
          <w:rFonts w:ascii="Arial" w:hAnsi="Arial" w:cs="Arial"/>
        </w:rPr>
        <w:t>14.6 (4.5) and 12.8 (4.3</w:t>
      </w:r>
      <w:r w:rsidRPr="00957976">
        <w:rPr>
          <w:rFonts w:ascii="Arial" w:hAnsi="Arial" w:cs="Arial"/>
        </w:rPr>
        <w:t>) ng/ml, respectively</w:t>
      </w:r>
      <w:r w:rsidR="0012580B">
        <w:rPr>
          <w:rFonts w:ascii="Arial" w:hAnsi="Arial" w:cs="Arial"/>
        </w:rPr>
        <w:t xml:space="preserve"> (p&lt;0.05</w:t>
      </w:r>
      <w:r w:rsidRPr="00957976">
        <w:rPr>
          <w:rFonts w:ascii="Arial" w:hAnsi="Arial" w:cs="Arial"/>
        </w:rPr>
        <w:t>). The regression equation was</w:t>
      </w:r>
      <w:r w:rsidR="00656153">
        <w:rPr>
          <w:rFonts w:ascii="Arial" w:hAnsi="Arial" w:cs="Arial"/>
        </w:rPr>
        <w:t xml:space="preserve"> y = 0.50 + 0.88</w:t>
      </w:r>
      <w:r w:rsidR="00F307FB">
        <w:rPr>
          <w:rFonts w:ascii="Arial" w:hAnsi="Arial" w:cs="Arial"/>
        </w:rPr>
        <w:t>x.</w:t>
      </w:r>
    </w:p>
    <w:p w:rsidR="0072219A" w:rsidRDefault="006B6806" w:rsidP="00900F2C">
      <w:pPr>
        <w:spacing w:line="360" w:lineRule="auto"/>
        <w:rPr>
          <w:rFonts w:ascii="Arial" w:hAnsi="Arial" w:cs="Arial"/>
        </w:rPr>
      </w:pPr>
      <w:r>
        <w:rPr>
          <w:noProof/>
          <w:lang w:eastAsia="zh-CN"/>
        </w:rPr>
        <mc:AlternateContent>
          <mc:Choice Requires="wps">
            <w:drawing>
              <wp:anchor distT="0" distB="0" distL="114300" distR="114300" simplePos="0" relativeHeight="251443712" behindDoc="0" locked="0" layoutInCell="1" allowOverlap="1" wp14:anchorId="23525663" wp14:editId="28C8D3CE">
                <wp:simplePos x="0" y="0"/>
                <wp:positionH relativeFrom="column">
                  <wp:posOffset>0</wp:posOffset>
                </wp:positionH>
                <wp:positionV relativeFrom="paragraph">
                  <wp:posOffset>2077085</wp:posOffset>
                </wp:positionV>
                <wp:extent cx="5715000" cy="299720"/>
                <wp:effectExtent l="0" t="0" r="0" b="5080"/>
                <wp:wrapNone/>
                <wp:docPr id="18652" name="Text Box 18652"/>
                <wp:cNvGraphicFramePr/>
                <a:graphic xmlns:a="http://schemas.openxmlformats.org/drawingml/2006/main">
                  <a:graphicData uri="http://schemas.microsoft.com/office/word/2010/wordprocessingShape">
                    <wps:wsp>
                      <wps:cNvSpPr txBox="1"/>
                      <wps:spPr>
                        <a:xfrm>
                          <a:off x="0" y="0"/>
                          <a:ext cx="5715000" cy="299720"/>
                        </a:xfrm>
                        <a:prstGeom prst="rect">
                          <a:avLst/>
                        </a:prstGeom>
                        <a:solidFill>
                          <a:prstClr val="white"/>
                        </a:solidFill>
                        <a:ln>
                          <a:noFill/>
                        </a:ln>
                        <a:effectLst/>
                      </wps:spPr>
                      <wps:txbx>
                        <w:txbxContent>
                          <w:p w:rsidR="004166BC" w:rsidRDefault="004166BC" w:rsidP="005354D9">
                            <w:pPr>
                              <w:pStyle w:val="Caption"/>
                              <w:jc w:val="both"/>
                              <w:rPr>
                                <w:rFonts w:ascii="Arial" w:hAnsi="Arial" w:cs="Arial"/>
                                <w:b w:val="0"/>
                                <w:color w:val="auto"/>
                              </w:rPr>
                            </w:pPr>
                            <w:bookmarkStart w:id="94" w:name="_Toc422736071"/>
                            <w:bookmarkStart w:id="95" w:name="_Toc422736179"/>
                            <w:bookmarkStart w:id="96" w:name="_Toc425419514"/>
                            <w:r w:rsidRPr="00C47287">
                              <w:rPr>
                                <w:rFonts w:ascii="Arial" w:hAnsi="Arial" w:cs="Arial"/>
                                <w:b w:val="0"/>
                                <w:color w:val="auto"/>
                              </w:rPr>
                              <w:t xml:space="preserve">Figure </w:t>
                            </w:r>
                            <w:r w:rsidRPr="00C47287">
                              <w:rPr>
                                <w:rFonts w:ascii="Arial" w:hAnsi="Arial" w:cs="Arial"/>
                                <w:b w:val="0"/>
                                <w:color w:val="auto"/>
                              </w:rPr>
                              <w:fldChar w:fldCharType="begin"/>
                            </w:r>
                            <w:r w:rsidRPr="00C47287">
                              <w:rPr>
                                <w:rFonts w:ascii="Arial" w:hAnsi="Arial" w:cs="Arial"/>
                                <w:b w:val="0"/>
                                <w:color w:val="auto"/>
                              </w:rPr>
                              <w:instrText xml:space="preserve"> SEQ Figure \* ARABIC </w:instrText>
                            </w:r>
                            <w:r w:rsidRPr="00C47287">
                              <w:rPr>
                                <w:rFonts w:ascii="Arial" w:hAnsi="Arial" w:cs="Arial"/>
                                <w:b w:val="0"/>
                                <w:color w:val="auto"/>
                              </w:rPr>
                              <w:fldChar w:fldCharType="separate"/>
                            </w:r>
                            <w:r>
                              <w:rPr>
                                <w:rFonts w:ascii="Arial" w:hAnsi="Arial" w:cs="Arial"/>
                                <w:b w:val="0"/>
                                <w:noProof/>
                                <w:color w:val="auto"/>
                              </w:rPr>
                              <w:t>27</w:t>
                            </w:r>
                            <w:r w:rsidRPr="00C47287">
                              <w:rPr>
                                <w:rFonts w:ascii="Arial" w:hAnsi="Arial" w:cs="Arial"/>
                                <w:b w:val="0"/>
                                <w:noProof/>
                                <w:color w:val="auto"/>
                              </w:rPr>
                              <w:fldChar w:fldCharType="end"/>
                            </w:r>
                            <w:r w:rsidRPr="00C47287">
                              <w:rPr>
                                <w:rFonts w:ascii="Arial" w:hAnsi="Arial" w:cs="Arial"/>
                                <w:b w:val="0"/>
                                <w:color w:val="auto"/>
                              </w:rPr>
                              <w:t>:</w:t>
                            </w:r>
                            <w:r w:rsidRPr="00C47287">
                              <w:rPr>
                                <w:color w:val="auto"/>
                              </w:rPr>
                              <w:t xml:space="preserve"> </w:t>
                            </w:r>
                            <w:r>
                              <w:rPr>
                                <w:rFonts w:ascii="Arial" w:hAnsi="Arial" w:cs="Arial"/>
                                <w:b w:val="0"/>
                                <w:color w:val="auto"/>
                              </w:rPr>
                              <w:t>Bone ALP</w:t>
                            </w:r>
                            <w:r w:rsidRPr="00E9052D">
                              <w:rPr>
                                <w:rFonts w:ascii="Arial" w:hAnsi="Arial" w:cs="Arial"/>
                                <w:b w:val="0"/>
                                <w:color w:val="auto"/>
                              </w:rPr>
                              <w:t xml:space="preserve"> method comparison analyses using Bland-Altman (left) and Passing and Bablok regression (right)</w:t>
                            </w:r>
                            <w:bookmarkEnd w:id="94"/>
                            <w:bookmarkEnd w:id="95"/>
                            <w:bookmarkEnd w:id="96"/>
                          </w:p>
                          <w:p w:rsidR="004166BC" w:rsidRDefault="004166BC" w:rsidP="005354D9">
                            <w:pPr>
                              <w:jc w:val="both"/>
                            </w:pPr>
                          </w:p>
                          <w:p w:rsidR="004166BC" w:rsidRPr="00E47B2C" w:rsidRDefault="004166BC" w:rsidP="005354D9">
                            <w:pPr>
                              <w:jc w:val="both"/>
                            </w:pPr>
                          </w:p>
                          <w:p w:rsidR="004166BC" w:rsidRPr="000A0AE1" w:rsidRDefault="004166BC" w:rsidP="005354D9">
                            <w:pPr>
                              <w:pStyle w:val="Caption"/>
                              <w:jc w:val="both"/>
                              <w:rPr>
                                <w:rFonts w:ascii="Arial" w:hAnsi="Arial"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525663" id="Text Box 18652" o:spid="_x0000_s1135" type="#_x0000_t202" style="position:absolute;margin-left:0;margin-top:163.55pt;width:450pt;height:23.6pt;z-index:25144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" stroked="f">
                <v:textbox inset="0,0,0,0">
                  <w:txbxContent>
                    <w:p w:rsidR="004166BC" w:rsidRDefault="004166BC" w:rsidP="005354D9">
                      <w:pPr>
                        <w:pStyle w:val="Caption"/>
                        <w:jc w:val="both"/>
                        <w:rPr>
                          <w:rFonts w:ascii="Arial" w:hAnsi="Arial" w:cs="Arial"/>
                          <w:b w:val="0"/>
                          <w:color w:val="auto"/>
                        </w:rPr>
                      </w:pPr>
                      <w:bookmarkStart w:id="139" w:name="_Toc422736071"/>
                      <w:bookmarkStart w:id="140" w:name="_Toc422736179"/>
                      <w:bookmarkStart w:id="141" w:name="_Toc425419514"/>
                      <w:r w:rsidRPr="00C47287">
                        <w:rPr>
                          <w:rFonts w:ascii="Arial" w:hAnsi="Arial" w:cs="Arial"/>
                          <w:b w:val="0"/>
                          <w:color w:val="auto"/>
                        </w:rPr>
                        <w:t xml:space="preserve">Figure </w:t>
                      </w:r>
                      <w:r w:rsidRPr="00C47287">
                        <w:rPr>
                          <w:rFonts w:ascii="Arial" w:hAnsi="Arial" w:cs="Arial"/>
                          <w:b w:val="0"/>
                          <w:color w:val="auto"/>
                        </w:rPr>
                        <w:fldChar w:fldCharType="begin"/>
                      </w:r>
                      <w:r w:rsidRPr="00C47287">
                        <w:rPr>
                          <w:rFonts w:ascii="Arial" w:hAnsi="Arial" w:cs="Arial"/>
                          <w:b w:val="0"/>
                          <w:color w:val="auto"/>
                        </w:rPr>
                        <w:instrText xml:space="preserve"> SEQ Figure \* ARABIC </w:instrText>
                      </w:r>
                      <w:r w:rsidRPr="00C47287">
                        <w:rPr>
                          <w:rFonts w:ascii="Arial" w:hAnsi="Arial" w:cs="Arial"/>
                          <w:b w:val="0"/>
                          <w:color w:val="auto"/>
                        </w:rPr>
                        <w:fldChar w:fldCharType="separate"/>
                      </w:r>
                      <w:r>
                        <w:rPr>
                          <w:rFonts w:ascii="Arial" w:hAnsi="Arial" w:cs="Arial"/>
                          <w:b w:val="0"/>
                          <w:noProof/>
                          <w:color w:val="auto"/>
                        </w:rPr>
                        <w:t>27</w:t>
                      </w:r>
                      <w:r w:rsidRPr="00C47287">
                        <w:rPr>
                          <w:rFonts w:ascii="Arial" w:hAnsi="Arial" w:cs="Arial"/>
                          <w:b w:val="0"/>
                          <w:noProof/>
                          <w:color w:val="auto"/>
                        </w:rPr>
                        <w:fldChar w:fldCharType="end"/>
                      </w:r>
                      <w:r w:rsidRPr="00C47287">
                        <w:rPr>
                          <w:rFonts w:ascii="Arial" w:hAnsi="Arial" w:cs="Arial"/>
                          <w:b w:val="0"/>
                          <w:color w:val="auto"/>
                        </w:rPr>
                        <w:t>:</w:t>
                      </w:r>
                      <w:r w:rsidRPr="00C47287">
                        <w:rPr>
                          <w:color w:val="auto"/>
                        </w:rPr>
                        <w:t xml:space="preserve"> </w:t>
                      </w:r>
                      <w:r>
                        <w:rPr>
                          <w:rFonts w:ascii="Arial" w:hAnsi="Arial" w:cs="Arial"/>
                          <w:b w:val="0"/>
                          <w:color w:val="auto"/>
                        </w:rPr>
                        <w:t>Bone ALP</w:t>
                      </w:r>
                      <w:r w:rsidRPr="00E9052D">
                        <w:rPr>
                          <w:rFonts w:ascii="Arial" w:hAnsi="Arial" w:cs="Arial"/>
                          <w:b w:val="0"/>
                          <w:color w:val="auto"/>
                        </w:rPr>
                        <w:t xml:space="preserve"> method comparison analyses using Bland-Altman (left) and Passing and Bablok regression (right)</w:t>
                      </w:r>
                      <w:bookmarkEnd w:id="139"/>
                      <w:bookmarkEnd w:id="140"/>
                      <w:bookmarkEnd w:id="141"/>
                    </w:p>
                    <w:p w:rsidR="004166BC" w:rsidRDefault="004166BC" w:rsidP="005354D9">
                      <w:pPr>
                        <w:jc w:val="both"/>
                      </w:pPr>
                    </w:p>
                    <w:p w:rsidR="004166BC" w:rsidRPr="00E47B2C" w:rsidRDefault="004166BC" w:rsidP="005354D9">
                      <w:pPr>
                        <w:jc w:val="both"/>
                      </w:pPr>
                    </w:p>
                    <w:p w:rsidR="004166BC" w:rsidRPr="000A0AE1" w:rsidRDefault="004166BC" w:rsidP="005354D9">
                      <w:pPr>
                        <w:pStyle w:val="Caption"/>
                        <w:jc w:val="both"/>
                        <w:rPr>
                          <w:rFonts w:ascii="Arial" w:hAnsi="Arial" w:cs="Arial"/>
                          <w:noProof/>
                        </w:rPr>
                      </w:pPr>
                    </w:p>
                  </w:txbxContent>
                </v:textbox>
              </v:shape>
            </w:pict>
          </mc:Fallback>
        </mc:AlternateContent>
      </w:r>
      <w:r w:rsidR="00E47B2C">
        <w:rPr>
          <w:rFonts w:ascii="Arial" w:hAnsi="Arial" w:cs="Arial"/>
          <w:noProof/>
          <w:lang w:eastAsia="zh-CN"/>
        </w:rPr>
        <w:drawing>
          <wp:inline distT="0" distB="0" distL="0" distR="0" wp14:anchorId="3B725662" wp14:editId="2C68D18F">
            <wp:extent cx="2743200" cy="1907434"/>
            <wp:effectExtent l="0" t="0" r="0" b="0"/>
            <wp:docPr id="18641" name="Picture 1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2155" cy="1948427"/>
                    </a:xfrm>
                    <a:prstGeom prst="rect">
                      <a:avLst/>
                    </a:prstGeom>
                    <a:noFill/>
                  </pic:spPr>
                </pic:pic>
              </a:graphicData>
            </a:graphic>
          </wp:inline>
        </w:drawing>
      </w:r>
      <w:r>
        <w:rPr>
          <w:rFonts w:ascii="Arial" w:hAnsi="Arial" w:cs="Arial"/>
          <w:noProof/>
          <w:lang w:eastAsia="zh-CN"/>
        </w:rPr>
        <w:drawing>
          <wp:inline distT="0" distB="0" distL="0" distR="0" wp14:anchorId="4C3C1A43" wp14:editId="38C868D6">
            <wp:extent cx="2647950" cy="1990406"/>
            <wp:effectExtent l="0" t="0" r="0" b="0"/>
            <wp:docPr id="18663" name="Picture 1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85020" cy="2018270"/>
                    </a:xfrm>
                    <a:prstGeom prst="rect">
                      <a:avLst/>
                    </a:prstGeom>
                    <a:noFill/>
                  </pic:spPr>
                </pic:pic>
              </a:graphicData>
            </a:graphic>
          </wp:inline>
        </w:drawing>
      </w:r>
    </w:p>
    <w:p w:rsidR="0012580B" w:rsidRPr="00957976" w:rsidRDefault="0012580B" w:rsidP="00900F2C">
      <w:pPr>
        <w:spacing w:line="360" w:lineRule="auto"/>
        <w:rPr>
          <w:rFonts w:ascii="Arial" w:hAnsi="Arial" w:cs="Arial"/>
        </w:rPr>
      </w:pPr>
    </w:p>
    <w:p w:rsidR="00E47B2C" w:rsidRPr="00DA0C8A" w:rsidRDefault="00D71AD6" w:rsidP="005354D9">
      <w:pPr>
        <w:spacing w:line="360" w:lineRule="auto"/>
        <w:jc w:val="both"/>
      </w:pPr>
      <w:r>
        <w:rPr>
          <w:rFonts w:ascii="Arial" w:hAnsi="Arial" w:cs="Arial"/>
        </w:rPr>
        <w:t>Bone ALP</w:t>
      </w:r>
      <w:r w:rsidR="00E47B2C" w:rsidRPr="00957976">
        <w:rPr>
          <w:rFonts w:ascii="Arial" w:hAnsi="Arial" w:cs="Arial"/>
        </w:rPr>
        <w:t xml:space="preserve"> measured by the IDS-iSYS gave a significantly higher results compared to the </w:t>
      </w:r>
      <w:r>
        <w:rPr>
          <w:rFonts w:ascii="Arial" w:hAnsi="Arial" w:cs="Arial"/>
        </w:rPr>
        <w:t>Access® Beckman Coulter method</w:t>
      </w:r>
      <w:r w:rsidR="00E47B2C" w:rsidRPr="00957976">
        <w:rPr>
          <w:rFonts w:ascii="Arial" w:hAnsi="Arial" w:cs="Arial"/>
        </w:rPr>
        <w:t>.</w:t>
      </w:r>
      <w:r>
        <w:rPr>
          <w:rFonts w:ascii="Arial" w:hAnsi="Arial" w:cs="Arial"/>
        </w:rPr>
        <w:t xml:space="preserve"> </w:t>
      </w:r>
      <w:r w:rsidR="00E47B2C" w:rsidRPr="00957976">
        <w:rPr>
          <w:rFonts w:ascii="Arial" w:hAnsi="Arial" w:cs="Arial"/>
        </w:rPr>
        <w:t xml:space="preserve"> </w:t>
      </w:r>
      <w:r>
        <w:rPr>
          <w:rFonts w:ascii="Arial" w:hAnsi="Arial" w:cs="Arial"/>
        </w:rPr>
        <w:t xml:space="preserve">Although these two assays use the same anti-BAP monoclonal antibody in their </w:t>
      </w:r>
      <w:r w:rsidR="00DA0C8A">
        <w:rPr>
          <w:rFonts w:ascii="Arial" w:hAnsi="Arial" w:cs="Arial"/>
        </w:rPr>
        <w:t xml:space="preserve">respective </w:t>
      </w:r>
      <w:r>
        <w:rPr>
          <w:rFonts w:ascii="Arial" w:hAnsi="Arial" w:cs="Arial"/>
        </w:rPr>
        <w:t>reactions</w:t>
      </w:r>
      <w:r w:rsidR="00DA0C8A">
        <w:rPr>
          <w:rFonts w:ascii="Arial" w:hAnsi="Arial" w:cs="Arial"/>
        </w:rPr>
        <w:t>,</w:t>
      </w:r>
      <w:r>
        <w:rPr>
          <w:rFonts w:ascii="Arial" w:hAnsi="Arial" w:cs="Arial"/>
        </w:rPr>
        <w:t xml:space="preserve"> the</w:t>
      </w:r>
      <w:r w:rsidR="00DA0C8A">
        <w:rPr>
          <w:rFonts w:ascii="Arial" w:hAnsi="Arial" w:cs="Arial"/>
        </w:rPr>
        <w:t>re is a difference in the</w:t>
      </w:r>
      <w:r>
        <w:rPr>
          <w:rFonts w:ascii="Arial" w:hAnsi="Arial" w:cs="Arial"/>
        </w:rPr>
        <w:t xml:space="preserve"> methodology</w:t>
      </w:r>
      <w:r w:rsidR="00DA0C8A">
        <w:rPr>
          <w:rFonts w:ascii="Arial" w:hAnsi="Arial" w:cs="Arial"/>
        </w:rPr>
        <w:t xml:space="preserve"> used</w:t>
      </w:r>
      <w:r>
        <w:rPr>
          <w:rFonts w:ascii="Arial" w:hAnsi="Arial" w:cs="Arial"/>
        </w:rPr>
        <w:t xml:space="preserve">. The Access® uses CLIA technology and the </w:t>
      </w:r>
      <w:r w:rsidR="00226565">
        <w:rPr>
          <w:rFonts w:ascii="Arial" w:hAnsi="Arial" w:cs="Arial"/>
        </w:rPr>
        <w:t>IDS-</w:t>
      </w:r>
      <w:r w:rsidR="00226565" w:rsidRPr="00226565">
        <w:rPr>
          <w:rFonts w:ascii="Arial" w:hAnsi="Arial" w:cs="Arial"/>
        </w:rPr>
        <w:t xml:space="preserve">iSYS uses </w:t>
      </w:r>
      <w:r w:rsidR="00226565">
        <w:rPr>
          <w:rFonts w:ascii="Arial" w:hAnsi="Arial" w:cs="Arial"/>
        </w:rPr>
        <w:t>s</w:t>
      </w:r>
      <w:r w:rsidR="00DA0C8A">
        <w:rPr>
          <w:rFonts w:ascii="Arial" w:hAnsi="Arial" w:cs="Arial"/>
        </w:rPr>
        <w:t>pectrophotometric technology and this may contribute to the difference in the results.</w:t>
      </w:r>
      <w:r w:rsidR="00DA0C8A">
        <w:t xml:space="preserve"> </w:t>
      </w:r>
    </w:p>
    <w:p w:rsidR="00E54806" w:rsidRPr="009D07DD" w:rsidRDefault="00E47B2C" w:rsidP="005354D9">
      <w:pPr>
        <w:spacing w:line="360" w:lineRule="auto"/>
        <w:jc w:val="both"/>
        <w:rPr>
          <w:rFonts w:ascii="Arial" w:hAnsi="Arial" w:cs="Arial"/>
        </w:rPr>
      </w:pPr>
      <w:r w:rsidRPr="00957976">
        <w:rPr>
          <w:rFonts w:ascii="Arial" w:hAnsi="Arial" w:cs="Arial"/>
        </w:rPr>
        <w:lastRenderedPageBreak/>
        <w:t xml:space="preserve">For the remainder of my thesis I have measured </w:t>
      </w:r>
      <w:r w:rsidR="00D71AD6">
        <w:rPr>
          <w:rFonts w:ascii="Arial" w:hAnsi="Arial" w:cs="Arial"/>
        </w:rPr>
        <w:t>bone ALP</w:t>
      </w:r>
      <w:r w:rsidRPr="00957976">
        <w:rPr>
          <w:rFonts w:ascii="Arial" w:hAnsi="Arial" w:cs="Arial"/>
        </w:rPr>
        <w:t xml:space="preserve"> using the IDS</w:t>
      </w:r>
      <w:r w:rsidR="009D07DD">
        <w:rPr>
          <w:rFonts w:ascii="Arial" w:hAnsi="Arial" w:cs="Arial"/>
        </w:rPr>
        <w:t>-iSYS autoimmunoassay analyser.</w:t>
      </w:r>
    </w:p>
    <w:p w:rsidR="00131349" w:rsidRDefault="00D95567" w:rsidP="005354D9">
      <w:pPr>
        <w:pStyle w:val="Heading3"/>
        <w:jc w:val="both"/>
      </w:pPr>
      <w:bookmarkStart w:id="97" w:name="_Toc425418907"/>
      <w:r>
        <w:t>Competitive immunoassay: NTX</w:t>
      </w:r>
      <w:bookmarkEnd w:id="97"/>
    </w:p>
    <w:p w:rsidR="00E5449B" w:rsidRDefault="00E5449B" w:rsidP="005354D9">
      <w:pPr>
        <w:spacing w:line="360" w:lineRule="auto"/>
        <w:jc w:val="both"/>
        <w:rPr>
          <w:rFonts w:ascii="Arial" w:hAnsi="Arial" w:cs="Arial"/>
        </w:rPr>
      </w:pPr>
      <w:r>
        <w:rPr>
          <w:rFonts w:ascii="Arial" w:hAnsi="Arial" w:cs="Arial"/>
        </w:rPr>
        <w:t>NTX was measured in urine</w:t>
      </w:r>
      <w:r w:rsidRPr="00452AEA">
        <w:rPr>
          <w:rFonts w:ascii="Arial" w:hAnsi="Arial" w:cs="Arial"/>
        </w:rPr>
        <w:t xml:space="preserve"> using the </w:t>
      </w:r>
      <w:r>
        <w:rPr>
          <w:rFonts w:ascii="Arial" w:hAnsi="Arial" w:cs="Arial"/>
        </w:rPr>
        <w:t>Vitros ECi automated immunoassay assay analyser (Ortho Clinical Diagnositics</w:t>
      </w:r>
      <w:r w:rsidR="004A54D4">
        <w:rPr>
          <w:rFonts w:ascii="Arial" w:hAnsi="Arial" w:cs="Arial"/>
        </w:rPr>
        <w:t xml:space="preserve"> (OCD)</w:t>
      </w:r>
      <w:r>
        <w:rPr>
          <w:rFonts w:ascii="Arial" w:hAnsi="Arial" w:cs="Arial"/>
        </w:rPr>
        <w:t>,</w:t>
      </w:r>
      <w:r w:rsidR="00627CD8">
        <w:rPr>
          <w:rFonts w:ascii="Arial" w:hAnsi="Arial" w:cs="Arial"/>
        </w:rPr>
        <w:t xml:space="preserve"> High Wycombe, UK) (appendices 1.5</w:t>
      </w:r>
      <w:r w:rsidRPr="00452AEA">
        <w:rPr>
          <w:rFonts w:ascii="Arial" w:hAnsi="Arial" w:cs="Arial"/>
        </w:rPr>
        <w:t xml:space="preserve">: kit insert). All reagents, calibrators and quality control material are supplied by the manufacturer and ready to use. </w:t>
      </w:r>
      <w:r w:rsidR="00BB7845">
        <w:rPr>
          <w:rFonts w:ascii="Arial" w:hAnsi="Arial" w:cs="Arial"/>
        </w:rPr>
        <w:t xml:space="preserve">The reagent pack consists of 100 wells each coated with a synthetic NTX peptide. </w:t>
      </w:r>
      <w:r w:rsidR="00170043">
        <w:rPr>
          <w:rFonts w:ascii="Arial" w:hAnsi="Arial" w:cs="Arial"/>
        </w:rPr>
        <w:t>It uses the principles of a competitive immunoassay</w:t>
      </w:r>
      <w:r w:rsidR="00BB7845">
        <w:rPr>
          <w:rFonts w:ascii="Arial" w:hAnsi="Arial" w:cs="Arial"/>
        </w:rPr>
        <w:t>. T</w:t>
      </w:r>
      <w:r w:rsidR="00170043">
        <w:rPr>
          <w:rFonts w:ascii="Arial" w:hAnsi="Arial" w:cs="Arial"/>
        </w:rPr>
        <w:t xml:space="preserve">he NTX present in the urine sample competes </w:t>
      </w:r>
      <w:r w:rsidR="00BB7845">
        <w:rPr>
          <w:rFonts w:ascii="Arial" w:hAnsi="Arial" w:cs="Arial"/>
        </w:rPr>
        <w:t xml:space="preserve">for binding </w:t>
      </w:r>
      <w:r w:rsidR="008075C8">
        <w:rPr>
          <w:rFonts w:ascii="Arial" w:hAnsi="Arial" w:cs="Arial"/>
        </w:rPr>
        <w:t>sites on</w:t>
      </w:r>
      <w:r w:rsidR="00BB7845">
        <w:rPr>
          <w:rFonts w:ascii="Arial" w:hAnsi="Arial" w:cs="Arial"/>
        </w:rPr>
        <w:t xml:space="preserve"> the anti-NTX monoclonal antibody. </w:t>
      </w:r>
      <w:r w:rsidR="00B36AFE">
        <w:rPr>
          <w:rFonts w:ascii="Arial" w:hAnsi="Arial" w:cs="Arial"/>
        </w:rPr>
        <w:t>All of the reagents, calibrators and QC materials are provided by the manufacturer ready for and are loaded on the analyser.</w:t>
      </w:r>
    </w:p>
    <w:p w:rsidR="00B36AFE" w:rsidRDefault="00B36AFE" w:rsidP="005354D9">
      <w:pPr>
        <w:pStyle w:val="ListParagraph"/>
        <w:numPr>
          <w:ilvl w:val="0"/>
          <w:numId w:val="33"/>
        </w:numPr>
        <w:spacing w:line="360" w:lineRule="auto"/>
        <w:jc w:val="both"/>
        <w:rPr>
          <w:rFonts w:ascii="Arial" w:hAnsi="Arial" w:cs="Arial"/>
        </w:rPr>
      </w:pPr>
      <w:r>
        <w:rPr>
          <w:rFonts w:ascii="Arial" w:hAnsi="Arial" w:cs="Arial"/>
        </w:rPr>
        <w:t>250</w:t>
      </w:r>
      <w:r w:rsidRPr="00F83FA9">
        <w:rPr>
          <w:rFonts w:ascii="Arial" w:hAnsi="Arial" w:cs="Arial"/>
        </w:rPr>
        <w:t xml:space="preserve"> µl of each calibrators, q</w:t>
      </w:r>
      <w:r>
        <w:rPr>
          <w:rFonts w:ascii="Arial" w:hAnsi="Arial" w:cs="Arial"/>
        </w:rPr>
        <w:t>uality control samples and second morning void urine sample</w:t>
      </w:r>
      <w:r w:rsidRPr="00F83FA9">
        <w:rPr>
          <w:rFonts w:ascii="Arial" w:hAnsi="Arial" w:cs="Arial"/>
        </w:rPr>
        <w:t xml:space="preserve"> were </w:t>
      </w:r>
      <w:r w:rsidR="006F0E9A">
        <w:rPr>
          <w:rFonts w:ascii="Arial" w:hAnsi="Arial" w:cs="Arial"/>
        </w:rPr>
        <w:t xml:space="preserve">pipetted in to the sample cups, placed in the sample trays and </w:t>
      </w:r>
      <w:r w:rsidRPr="00F83FA9">
        <w:rPr>
          <w:rFonts w:ascii="Arial" w:hAnsi="Arial" w:cs="Arial"/>
        </w:rPr>
        <w:t xml:space="preserve">loaded on to the analyser. </w:t>
      </w:r>
    </w:p>
    <w:p w:rsidR="00B36AFE" w:rsidRDefault="00B36AFE" w:rsidP="00A3542B">
      <w:pPr>
        <w:pStyle w:val="ListParagraph"/>
        <w:numPr>
          <w:ilvl w:val="0"/>
          <w:numId w:val="33"/>
        </w:numPr>
        <w:spacing w:line="360" w:lineRule="auto"/>
        <w:jc w:val="both"/>
        <w:rPr>
          <w:rFonts w:ascii="Arial" w:hAnsi="Arial" w:cs="Arial"/>
        </w:rPr>
      </w:pPr>
      <w:r w:rsidRPr="00F83FA9">
        <w:rPr>
          <w:rFonts w:ascii="Arial" w:hAnsi="Arial" w:cs="Arial"/>
        </w:rPr>
        <w:t xml:space="preserve">These samples were firstly incubated </w:t>
      </w:r>
      <w:r w:rsidR="008075C8">
        <w:rPr>
          <w:rFonts w:ascii="Arial" w:hAnsi="Arial" w:cs="Arial"/>
        </w:rPr>
        <w:t xml:space="preserve">in reaction vessels coated </w:t>
      </w:r>
      <w:r w:rsidRPr="00F83FA9">
        <w:rPr>
          <w:rFonts w:ascii="Arial" w:hAnsi="Arial" w:cs="Arial"/>
        </w:rPr>
        <w:t xml:space="preserve">with a </w:t>
      </w:r>
      <w:r w:rsidR="008075C8">
        <w:rPr>
          <w:rFonts w:ascii="Arial" w:hAnsi="Arial" w:cs="Arial"/>
        </w:rPr>
        <w:t>synthetic NTX peptide. These</w:t>
      </w:r>
      <w:r w:rsidR="00A3542B">
        <w:rPr>
          <w:rFonts w:ascii="Arial" w:hAnsi="Arial" w:cs="Arial"/>
        </w:rPr>
        <w:t xml:space="preserve"> compete for binding sites on a </w:t>
      </w:r>
      <w:r w:rsidR="00A3542B" w:rsidRPr="00A3542B">
        <w:rPr>
          <w:rFonts w:ascii="Arial" w:hAnsi="Arial" w:cs="Arial"/>
        </w:rPr>
        <w:t>hor</w:t>
      </w:r>
      <w:r w:rsidR="00A3542B">
        <w:rPr>
          <w:rFonts w:ascii="Arial" w:hAnsi="Arial" w:cs="Arial"/>
        </w:rPr>
        <w:t>se-radish peroxidase (</w:t>
      </w:r>
      <w:r w:rsidR="008075C8">
        <w:rPr>
          <w:rFonts w:ascii="Arial" w:hAnsi="Arial" w:cs="Arial"/>
        </w:rPr>
        <w:t>HRP</w:t>
      </w:r>
      <w:r w:rsidR="00A3542B">
        <w:rPr>
          <w:rFonts w:ascii="Arial" w:hAnsi="Arial" w:cs="Arial"/>
        </w:rPr>
        <w:t>)</w:t>
      </w:r>
      <w:r w:rsidR="008075C8">
        <w:rPr>
          <w:rFonts w:ascii="Arial" w:hAnsi="Arial" w:cs="Arial"/>
        </w:rPr>
        <w:t>-labelled mouse monoclonal anti-NTX an</w:t>
      </w:r>
      <w:r w:rsidR="008075C8" w:rsidRPr="00F83FA9">
        <w:rPr>
          <w:rFonts w:ascii="Arial" w:hAnsi="Arial" w:cs="Arial"/>
        </w:rPr>
        <w:t>tib</w:t>
      </w:r>
      <w:r w:rsidR="008075C8">
        <w:rPr>
          <w:rFonts w:ascii="Arial" w:hAnsi="Arial" w:cs="Arial"/>
        </w:rPr>
        <w:t>ody conjugate.</w:t>
      </w:r>
      <w:r w:rsidRPr="00F83FA9">
        <w:rPr>
          <w:rFonts w:ascii="Arial" w:hAnsi="Arial" w:cs="Arial"/>
        </w:rPr>
        <w:t xml:space="preserve"> </w:t>
      </w:r>
    </w:p>
    <w:p w:rsidR="00B36AFE" w:rsidRDefault="008075C8" w:rsidP="005354D9">
      <w:pPr>
        <w:pStyle w:val="ListParagraph"/>
        <w:numPr>
          <w:ilvl w:val="0"/>
          <w:numId w:val="33"/>
        </w:numPr>
        <w:spacing w:line="360" w:lineRule="auto"/>
        <w:jc w:val="both"/>
        <w:rPr>
          <w:rFonts w:ascii="Arial" w:hAnsi="Arial" w:cs="Arial"/>
        </w:rPr>
      </w:pPr>
      <w:r>
        <w:rPr>
          <w:rFonts w:ascii="Arial" w:hAnsi="Arial" w:cs="Arial"/>
        </w:rPr>
        <w:t xml:space="preserve">The NTX-bound </w:t>
      </w:r>
      <w:r w:rsidR="00472BC3">
        <w:rPr>
          <w:rFonts w:ascii="Arial" w:hAnsi="Arial" w:cs="Arial"/>
        </w:rPr>
        <w:t xml:space="preserve">HRP </w:t>
      </w:r>
      <w:r>
        <w:rPr>
          <w:rFonts w:ascii="Arial" w:hAnsi="Arial" w:cs="Arial"/>
        </w:rPr>
        <w:t xml:space="preserve">conjugate is captured by the </w:t>
      </w:r>
      <w:r w:rsidR="00472BC3">
        <w:rPr>
          <w:rFonts w:ascii="Arial" w:hAnsi="Arial" w:cs="Arial"/>
        </w:rPr>
        <w:t>by the synthetic NTX peptide bound to the wells.</w:t>
      </w:r>
      <w:r>
        <w:rPr>
          <w:rFonts w:ascii="Arial" w:hAnsi="Arial" w:cs="Arial"/>
        </w:rPr>
        <w:t xml:space="preserve"> </w:t>
      </w:r>
    </w:p>
    <w:p w:rsidR="00B36AFE" w:rsidRDefault="00B36AFE" w:rsidP="005354D9">
      <w:pPr>
        <w:pStyle w:val="ListParagraph"/>
        <w:numPr>
          <w:ilvl w:val="0"/>
          <w:numId w:val="33"/>
        </w:numPr>
        <w:spacing w:line="360" w:lineRule="auto"/>
        <w:jc w:val="both"/>
        <w:rPr>
          <w:rFonts w:ascii="Arial" w:hAnsi="Arial" w:cs="Arial"/>
        </w:rPr>
      </w:pPr>
      <w:r w:rsidRPr="00F83FA9">
        <w:rPr>
          <w:rFonts w:ascii="Arial" w:hAnsi="Arial" w:cs="Arial"/>
        </w:rPr>
        <w:t xml:space="preserve">A </w:t>
      </w:r>
      <w:r w:rsidR="00472BC3">
        <w:rPr>
          <w:rFonts w:ascii="Arial" w:hAnsi="Arial" w:cs="Arial"/>
        </w:rPr>
        <w:t>reagent containing luminogenic substrates and an agent capable of electron transfer was added.</w:t>
      </w:r>
    </w:p>
    <w:p w:rsidR="00472BC3" w:rsidRDefault="00B36AFE" w:rsidP="00A3542B">
      <w:pPr>
        <w:pStyle w:val="ListParagraph"/>
        <w:numPr>
          <w:ilvl w:val="0"/>
          <w:numId w:val="33"/>
        </w:numPr>
        <w:spacing w:line="360" w:lineRule="auto"/>
        <w:jc w:val="both"/>
        <w:rPr>
          <w:rFonts w:ascii="Arial" w:hAnsi="Arial" w:cs="Arial"/>
        </w:rPr>
      </w:pPr>
      <w:r>
        <w:rPr>
          <w:rFonts w:ascii="Arial" w:hAnsi="Arial" w:cs="Arial"/>
        </w:rPr>
        <w:t>T</w:t>
      </w:r>
      <w:r w:rsidRPr="00F83FA9">
        <w:rPr>
          <w:rFonts w:ascii="Arial" w:hAnsi="Arial" w:cs="Arial"/>
        </w:rPr>
        <w:t xml:space="preserve">he </w:t>
      </w:r>
      <w:r w:rsidR="00A3542B">
        <w:rPr>
          <w:rFonts w:ascii="Arial" w:hAnsi="Arial" w:cs="Arial"/>
        </w:rPr>
        <w:t xml:space="preserve">HRP in the NTX-bound </w:t>
      </w:r>
      <w:r w:rsidR="00472BC3">
        <w:rPr>
          <w:rFonts w:ascii="Arial" w:hAnsi="Arial" w:cs="Arial"/>
        </w:rPr>
        <w:t>conjugate catalyses the oxidation reaction of the luminol deriv</w:t>
      </w:r>
      <w:r w:rsidR="00DF777C">
        <w:rPr>
          <w:rFonts w:ascii="Arial" w:hAnsi="Arial" w:cs="Arial"/>
        </w:rPr>
        <w:t>ative. Light was e</w:t>
      </w:r>
      <w:r w:rsidR="00F457E2">
        <w:rPr>
          <w:rFonts w:ascii="Arial" w:hAnsi="Arial" w:cs="Arial"/>
        </w:rPr>
        <w:t>mitted and</w:t>
      </w:r>
      <w:r w:rsidR="00472BC3">
        <w:rPr>
          <w:rFonts w:ascii="Arial" w:hAnsi="Arial" w:cs="Arial"/>
        </w:rPr>
        <w:t xml:space="preserve"> measured by the luminometer on the analyser.</w:t>
      </w:r>
    </w:p>
    <w:p w:rsidR="006F0E9A" w:rsidRPr="006F0E9A" w:rsidRDefault="006F0E9A" w:rsidP="005354D9">
      <w:pPr>
        <w:pStyle w:val="ListParagraph"/>
        <w:numPr>
          <w:ilvl w:val="0"/>
          <w:numId w:val="33"/>
        </w:numPr>
        <w:spacing w:line="360" w:lineRule="auto"/>
        <w:jc w:val="both"/>
        <w:rPr>
          <w:rFonts w:ascii="Arial" w:hAnsi="Arial" w:cs="Arial"/>
        </w:rPr>
      </w:pPr>
      <w:r w:rsidRPr="00C32032">
        <w:rPr>
          <w:rFonts w:ascii="Arial" w:hAnsi="Arial" w:cs="Arial"/>
        </w:rPr>
        <w:t>A 4-parameter logistic curve fit (y = (A-D)</w:t>
      </w:r>
      <w:proofErr w:type="gramStart"/>
      <w:r w:rsidRPr="00C32032">
        <w:rPr>
          <w:rFonts w:ascii="Arial" w:hAnsi="Arial" w:cs="Arial"/>
        </w:rPr>
        <w:t>/(</w:t>
      </w:r>
      <w:proofErr w:type="gramEnd"/>
      <w:r w:rsidRPr="00C32032">
        <w:rPr>
          <w:rFonts w:ascii="Arial" w:hAnsi="Arial" w:cs="Arial"/>
        </w:rPr>
        <w:t>1+(x/C)</w:t>
      </w:r>
      <w:r w:rsidRPr="00C32032">
        <w:rPr>
          <w:rFonts w:ascii="Arial" w:hAnsi="Arial" w:cs="Arial"/>
          <w:vertAlign w:val="superscript"/>
        </w:rPr>
        <w:t>B</w:t>
      </w:r>
      <w:r>
        <w:rPr>
          <w:rFonts w:ascii="Arial" w:hAnsi="Arial" w:cs="Arial"/>
        </w:rPr>
        <w:t xml:space="preserve">)+D) master curve was re-scaled using the calibrators and stored on the analysers software. </w:t>
      </w:r>
    </w:p>
    <w:p w:rsidR="00B36AFE" w:rsidRPr="006F0E9A" w:rsidRDefault="00472BC3" w:rsidP="00A3542B">
      <w:pPr>
        <w:pStyle w:val="ListParagraph"/>
        <w:numPr>
          <w:ilvl w:val="0"/>
          <w:numId w:val="33"/>
        </w:numPr>
        <w:spacing w:line="360" w:lineRule="auto"/>
        <w:jc w:val="both"/>
        <w:rPr>
          <w:rFonts w:ascii="Arial" w:hAnsi="Arial" w:cs="Arial"/>
        </w:rPr>
      </w:pPr>
      <w:r>
        <w:rPr>
          <w:rFonts w:ascii="Arial" w:hAnsi="Arial" w:cs="Arial"/>
        </w:rPr>
        <w:t>The amount of NTX-bound HRP conjugate was</w:t>
      </w:r>
      <w:r w:rsidR="00A3542B">
        <w:rPr>
          <w:rFonts w:ascii="Arial" w:hAnsi="Arial" w:cs="Arial"/>
        </w:rPr>
        <w:t xml:space="preserve"> </w:t>
      </w:r>
      <w:r w:rsidR="00D00363">
        <w:rPr>
          <w:rFonts w:ascii="Arial" w:hAnsi="Arial" w:cs="Arial"/>
        </w:rPr>
        <w:t>inversely</w:t>
      </w:r>
      <w:r>
        <w:rPr>
          <w:rFonts w:ascii="Arial" w:hAnsi="Arial" w:cs="Arial"/>
        </w:rPr>
        <w:t xml:space="preserve"> proportional to the concentration</w:t>
      </w:r>
      <w:r w:rsidR="006F0E9A">
        <w:rPr>
          <w:rFonts w:ascii="Arial" w:hAnsi="Arial" w:cs="Arial"/>
        </w:rPr>
        <w:t xml:space="preserve"> of the NTX in the urine sample.</w:t>
      </w:r>
    </w:p>
    <w:p w:rsidR="004A54D4" w:rsidRDefault="004A54D4" w:rsidP="005354D9">
      <w:pPr>
        <w:pStyle w:val="Heading4"/>
        <w:jc w:val="both"/>
      </w:pPr>
      <w:r>
        <w:t>NTX assay performance and validation</w:t>
      </w:r>
    </w:p>
    <w:p w:rsidR="004A54D4" w:rsidRPr="00957976" w:rsidRDefault="004A54D4" w:rsidP="003B725E">
      <w:pPr>
        <w:spacing w:after="0" w:line="360" w:lineRule="auto"/>
        <w:jc w:val="both"/>
        <w:rPr>
          <w:rFonts w:ascii="Arial" w:hAnsi="Arial" w:cs="Arial"/>
        </w:rPr>
      </w:pPr>
      <w:r w:rsidRPr="00957976">
        <w:rPr>
          <w:rFonts w:ascii="Arial" w:hAnsi="Arial" w:cs="Arial"/>
        </w:rPr>
        <w:t xml:space="preserve">The </w:t>
      </w:r>
      <w:r>
        <w:rPr>
          <w:rFonts w:ascii="Arial" w:hAnsi="Arial" w:cs="Arial"/>
        </w:rPr>
        <w:t xml:space="preserve">technical </w:t>
      </w:r>
      <w:r w:rsidRPr="00957976">
        <w:rPr>
          <w:rFonts w:ascii="Arial" w:hAnsi="Arial" w:cs="Arial"/>
        </w:rPr>
        <w:t xml:space="preserve">performance of </w:t>
      </w:r>
      <w:r>
        <w:rPr>
          <w:rFonts w:ascii="Arial" w:hAnsi="Arial" w:cs="Arial"/>
        </w:rPr>
        <w:t xml:space="preserve">the Vitros NTX assay using the Vitros ECi </w:t>
      </w:r>
      <w:r w:rsidRPr="00957976">
        <w:rPr>
          <w:rFonts w:ascii="Arial" w:hAnsi="Arial" w:cs="Arial"/>
        </w:rPr>
        <w:t xml:space="preserve">analyser has </w:t>
      </w:r>
      <w:r>
        <w:rPr>
          <w:rFonts w:ascii="Arial" w:hAnsi="Arial" w:cs="Arial"/>
        </w:rPr>
        <w:t>previously been validated by OCD</w:t>
      </w:r>
      <w:r w:rsidRPr="00957976">
        <w:rPr>
          <w:rFonts w:ascii="Arial" w:hAnsi="Arial" w:cs="Arial"/>
        </w:rPr>
        <w:t>. The detection range was</w:t>
      </w:r>
      <w:r w:rsidR="006F0E9A">
        <w:rPr>
          <w:rFonts w:ascii="Arial" w:hAnsi="Arial" w:cs="Arial"/>
        </w:rPr>
        <w:t xml:space="preserve"> 0 to 3000 nM BCE (bone collagen equivalents)</w:t>
      </w:r>
      <w:r w:rsidRPr="00957976">
        <w:rPr>
          <w:rFonts w:ascii="Arial" w:hAnsi="Arial" w:cs="Arial"/>
        </w:rPr>
        <w:t xml:space="preserve">, </w:t>
      </w:r>
      <w:r w:rsidR="003032C4">
        <w:rPr>
          <w:rFonts w:ascii="Arial" w:hAnsi="Arial" w:cs="Arial"/>
        </w:rPr>
        <w:t>the sensitivity was less than 10</w:t>
      </w:r>
      <w:r w:rsidR="0006371E">
        <w:rPr>
          <w:rFonts w:ascii="Arial" w:hAnsi="Arial" w:cs="Arial"/>
        </w:rPr>
        <w:t>nM BCE</w:t>
      </w:r>
      <w:r w:rsidRPr="00957976">
        <w:rPr>
          <w:rFonts w:ascii="Arial" w:hAnsi="Arial" w:cs="Arial"/>
        </w:rPr>
        <w:t xml:space="preserve">. </w:t>
      </w:r>
      <w:r w:rsidR="003032C4">
        <w:rPr>
          <w:rFonts w:ascii="Arial" w:hAnsi="Arial" w:cs="Arial"/>
        </w:rPr>
        <w:t>The specificity of the HRP-labelled mouse monoclonal anti-NTX an</w:t>
      </w:r>
      <w:r w:rsidR="003032C4" w:rsidRPr="00F83FA9">
        <w:rPr>
          <w:rFonts w:ascii="Arial" w:hAnsi="Arial" w:cs="Arial"/>
        </w:rPr>
        <w:t>tib</w:t>
      </w:r>
      <w:r w:rsidR="003032C4">
        <w:rPr>
          <w:rFonts w:ascii="Arial" w:hAnsi="Arial" w:cs="Arial"/>
        </w:rPr>
        <w:t>ody conjugate to collag</w:t>
      </w:r>
      <w:r w:rsidR="00411606">
        <w:rPr>
          <w:rFonts w:ascii="Arial" w:hAnsi="Arial" w:cs="Arial"/>
        </w:rPr>
        <w:t xml:space="preserve">en has previously been reported, </w:t>
      </w:r>
      <w:r w:rsidR="00411606">
        <w:rPr>
          <w:rFonts w:ascii="Arial" w:hAnsi="Arial" w:cs="Arial"/>
        </w:rPr>
        <w:fldChar w:fldCharType="begin"/>
      </w:r>
      <w:r w:rsidR="00B64C0F">
        <w:rPr>
          <w:rFonts w:ascii="Arial" w:hAnsi="Arial" w:cs="Arial"/>
        </w:rPr>
        <w:instrText xml:space="preserve"> ADDIN EN.CITE &lt;EndNote&gt;&lt;Cite&gt;&lt;Author&gt;Lung&lt;/Author&gt;&lt;Year&gt;2002&lt;/Year&gt;&lt;RecNum&gt;525&lt;/RecNum&gt;&lt;DisplayText&gt;(348)&lt;/DisplayText&gt;&lt;record&gt;&lt;rec-number&gt;525&lt;/rec-number&gt;&lt;foreign-keys&gt;&lt;key app="EN" db-id="p9a5ttsvyvde9me5aw2x05fp5p55axf0wr90" timestamp="1437649617"&gt;525&lt;/key&gt;&lt;/foreign-keys&gt;&lt;ref-type name="Journal Article"&gt;17&lt;/ref-type&gt;&lt;contributors&gt;&lt;authors&gt;&lt;author&gt;Lung, F. D.&lt;/author&gt;&lt;author&gt;Chen, C. H.&lt;/author&gt;&lt;author&gt;Chen, H. Y.&lt;/author&gt;&lt;author&gt;Liou, C. C.&lt;/author&gt;&lt;author&gt;Liou, Y. M.&lt;/author&gt;&lt;/authors&gt;&lt;/contributors&gt;&lt;auth-address&gt;Department of Nutrition, China Medical College, Taichung, Taiwan. fdlung@mail.cmc.edu.tw&lt;/auth-address&gt;&lt;titles&gt;&lt;title&gt;Binding potency of peptide fragments of type 1 collagen cross-linked N-telopeptide measured by an enzyme-linked immunosorbant assay&lt;/title&gt;&lt;secondary-title&gt;Protein Pept Lett&lt;/secondary-title&gt;&lt;/titles&gt;&lt;periodical&gt;&lt;full-title&gt;Protein Pept Lett&lt;/full-title&gt;&lt;/periodical&gt;&lt;pages&gt;451-7&lt;/pages&gt;&lt;volume&gt;9&lt;/volume&gt;&lt;number&gt;5&lt;/number&gt;&lt;edition&gt;2002/10/09&lt;/edition&gt;&lt;keywords&gt;&lt;keyword&gt;Amino Acid Sequence&lt;/keyword&gt;&lt;keyword&gt;Antibodies, Monoclonal/ immunology&lt;/keyword&gt;&lt;keyword&gt;Antigen-Antibody Reactions&lt;/keyword&gt;&lt;keyword&gt;Collagen/ immunology/metabolism&lt;/keyword&gt;&lt;keyword&gt;Collagen Type I&lt;/keyword&gt;&lt;keyword&gt;Enzyme-Linked Immunosorbent Assay&lt;/keyword&gt;&lt;keyword&gt;Molecular Sequence Data&lt;/keyword&gt;&lt;keyword&gt;Peptide Fragments/immunology/metabolism&lt;/keyword&gt;&lt;keyword&gt;Peptides/ immunology/metabolism&lt;/keyword&gt;&lt;/keywords&gt;&lt;dates&gt;&lt;year&gt;2002&lt;/year&gt;&lt;pub-dates&gt;&lt;date&gt;Oct&lt;/date&gt;&lt;/pub-dates&gt;&lt;/dates&gt;&lt;isbn&gt;0929-8665 (Print)&amp;#xD;0929-8665 (Linking)&lt;/isbn&gt;&lt;accession-num&gt;12370034&lt;/accession-num&gt;&lt;urls&gt;&lt;/urls&gt;&lt;remote-database-provider&gt;NLM&lt;/remote-database-provider&gt;&lt;language&gt;eng&lt;/language&gt;&lt;/record&gt;&lt;/Cite&gt;&lt;/EndNote&gt;</w:instrText>
      </w:r>
      <w:r w:rsidR="00411606">
        <w:rPr>
          <w:rFonts w:ascii="Arial" w:hAnsi="Arial" w:cs="Arial"/>
        </w:rPr>
        <w:fldChar w:fldCharType="separate"/>
      </w:r>
      <w:r w:rsidR="00B64C0F">
        <w:rPr>
          <w:rFonts w:ascii="Arial" w:hAnsi="Arial" w:cs="Arial"/>
          <w:noProof/>
        </w:rPr>
        <w:t>(</w:t>
      </w:r>
      <w:hyperlink w:anchor="_ENREF_348" w:tooltip="Lung, 2002 #525" w:history="1">
        <w:r w:rsidR="003B725E">
          <w:rPr>
            <w:rFonts w:ascii="Arial" w:hAnsi="Arial" w:cs="Arial"/>
            <w:noProof/>
          </w:rPr>
          <w:t>348</w:t>
        </w:r>
      </w:hyperlink>
      <w:r w:rsidR="00B64C0F">
        <w:rPr>
          <w:rFonts w:ascii="Arial" w:hAnsi="Arial" w:cs="Arial"/>
          <w:noProof/>
        </w:rPr>
        <w:t>)</w:t>
      </w:r>
      <w:r w:rsidR="00411606">
        <w:rPr>
          <w:rFonts w:ascii="Arial" w:hAnsi="Arial" w:cs="Arial"/>
        </w:rPr>
        <w:fldChar w:fldCharType="end"/>
      </w:r>
      <w:r w:rsidR="00D4186E">
        <w:rPr>
          <w:rFonts w:ascii="Arial" w:hAnsi="Arial" w:cs="Arial"/>
        </w:rPr>
        <w:t>. This is the only method of measuring NTX in urine I investigated and therefore did not perform method comparison analysis. However OCD have previously reported that the correlation coefficient between their NTX assay and the Osteomark® NTX assay was 0.977.</w:t>
      </w:r>
    </w:p>
    <w:p w:rsidR="004A54D4" w:rsidRPr="00957976" w:rsidRDefault="004A54D4" w:rsidP="005354D9">
      <w:pPr>
        <w:spacing w:line="360" w:lineRule="auto"/>
        <w:jc w:val="both"/>
        <w:rPr>
          <w:rFonts w:ascii="Arial" w:hAnsi="Arial" w:cs="Arial"/>
        </w:rPr>
      </w:pPr>
      <w:r w:rsidRPr="00957976">
        <w:rPr>
          <w:rFonts w:ascii="Arial" w:hAnsi="Arial" w:cs="Arial"/>
        </w:rPr>
        <w:lastRenderedPageBreak/>
        <w:t>In order to confirm that the performance of the assay is satisfactory in our laboratory environment, additional validations were carried out:</w:t>
      </w:r>
    </w:p>
    <w:p w:rsidR="003032C4" w:rsidRDefault="003032C4" w:rsidP="005354D9">
      <w:pPr>
        <w:pStyle w:val="Heading4"/>
        <w:jc w:val="both"/>
      </w:pPr>
      <w:r>
        <w:t>NTX assay precision</w:t>
      </w:r>
    </w:p>
    <w:p w:rsidR="003032C4" w:rsidRPr="00957976" w:rsidRDefault="003032C4" w:rsidP="005354D9">
      <w:pPr>
        <w:spacing w:line="360" w:lineRule="auto"/>
        <w:jc w:val="both"/>
        <w:rPr>
          <w:rFonts w:ascii="Arial" w:hAnsi="Arial" w:cs="Arial"/>
        </w:rPr>
      </w:pPr>
      <w:r>
        <w:rPr>
          <w:rFonts w:ascii="Arial" w:hAnsi="Arial" w:cs="Arial"/>
        </w:rPr>
        <w:t>The precision of the Vitros NTX</w:t>
      </w:r>
      <w:r w:rsidRPr="00957976">
        <w:rPr>
          <w:rFonts w:ascii="Arial" w:hAnsi="Arial" w:cs="Arial"/>
        </w:rPr>
        <w:t xml:space="preserve"> assay was assessed in accordance with the CLSI EP-5A2: Evaluation of precision performance of quanti</w:t>
      </w:r>
      <w:r>
        <w:rPr>
          <w:rFonts w:ascii="Arial" w:hAnsi="Arial" w:cs="Arial"/>
        </w:rPr>
        <w:t>tative measurement methods. Three</w:t>
      </w:r>
      <w:r w:rsidRPr="00957976">
        <w:rPr>
          <w:rFonts w:ascii="Arial" w:hAnsi="Arial" w:cs="Arial"/>
        </w:rPr>
        <w:t xml:space="preserve"> quality control materials of different concentrations were measured once per day over a period of 20 days. The CV was calculated and expressed as a percentage, Table</w:t>
      </w:r>
      <w:r w:rsidR="00041C8C">
        <w:rPr>
          <w:rFonts w:ascii="Arial" w:hAnsi="Arial" w:cs="Arial"/>
        </w:rPr>
        <w:t xml:space="preserve"> 6</w:t>
      </w:r>
      <w:r w:rsidRPr="00957976">
        <w:rPr>
          <w:rFonts w:ascii="Arial" w:hAnsi="Arial" w:cs="Arial"/>
        </w:rPr>
        <w:t>. A CV of less than 10% was termed acceptable.</w:t>
      </w:r>
    </w:p>
    <w:p w:rsidR="003032C4" w:rsidRPr="003032C4" w:rsidRDefault="003032C4" w:rsidP="005354D9">
      <w:pPr>
        <w:pStyle w:val="Caption"/>
        <w:keepNext/>
        <w:jc w:val="both"/>
        <w:rPr>
          <w:rFonts w:ascii="Arial" w:hAnsi="Arial" w:cs="Arial"/>
          <w:b w:val="0"/>
          <w:color w:val="auto"/>
        </w:rPr>
      </w:pPr>
      <w:bookmarkStart w:id="98" w:name="_Toc424043680"/>
      <w:r w:rsidRPr="003032C4">
        <w:rPr>
          <w:rFonts w:ascii="Arial" w:hAnsi="Arial" w:cs="Arial"/>
          <w:b w:val="0"/>
          <w:color w:val="auto"/>
        </w:rPr>
        <w:t xml:space="preserve">Table </w:t>
      </w:r>
      <w:r w:rsidRPr="003032C4">
        <w:rPr>
          <w:rFonts w:ascii="Arial" w:hAnsi="Arial" w:cs="Arial"/>
          <w:b w:val="0"/>
          <w:color w:val="auto"/>
        </w:rPr>
        <w:fldChar w:fldCharType="begin"/>
      </w:r>
      <w:r w:rsidRPr="003032C4">
        <w:rPr>
          <w:rFonts w:ascii="Arial" w:hAnsi="Arial" w:cs="Arial"/>
          <w:b w:val="0"/>
          <w:color w:val="auto"/>
        </w:rPr>
        <w:instrText xml:space="preserve"> SEQ Table \* ARABIC </w:instrText>
      </w:r>
      <w:r w:rsidRPr="003032C4">
        <w:rPr>
          <w:rFonts w:ascii="Arial" w:hAnsi="Arial" w:cs="Arial"/>
          <w:b w:val="0"/>
          <w:color w:val="auto"/>
        </w:rPr>
        <w:fldChar w:fldCharType="separate"/>
      </w:r>
      <w:r w:rsidR="00DD116A">
        <w:rPr>
          <w:rFonts w:ascii="Arial" w:hAnsi="Arial" w:cs="Arial"/>
          <w:b w:val="0"/>
          <w:noProof/>
          <w:color w:val="auto"/>
        </w:rPr>
        <w:t>6</w:t>
      </w:r>
      <w:r w:rsidRPr="003032C4">
        <w:rPr>
          <w:rFonts w:ascii="Arial" w:hAnsi="Arial" w:cs="Arial"/>
          <w:b w:val="0"/>
          <w:color w:val="auto"/>
        </w:rPr>
        <w:fldChar w:fldCharType="end"/>
      </w:r>
      <w:r w:rsidRPr="003032C4">
        <w:rPr>
          <w:rFonts w:ascii="Arial" w:hAnsi="Arial" w:cs="Arial"/>
          <w:b w:val="0"/>
          <w:color w:val="auto"/>
        </w:rPr>
        <w:t xml:space="preserve">: The inter assay precision of the </w:t>
      </w:r>
      <w:r>
        <w:rPr>
          <w:rFonts w:ascii="Arial" w:hAnsi="Arial" w:cs="Arial"/>
          <w:b w:val="0"/>
          <w:color w:val="auto"/>
        </w:rPr>
        <w:t>OCD Vitros NTX assay using three</w:t>
      </w:r>
      <w:r w:rsidRPr="003032C4">
        <w:rPr>
          <w:rFonts w:ascii="Arial" w:hAnsi="Arial" w:cs="Arial"/>
          <w:b w:val="0"/>
          <w:color w:val="auto"/>
        </w:rPr>
        <w:t xml:space="preserve"> different levels of QC material measured (N = 20 each)</w:t>
      </w:r>
      <w:bookmarkEnd w:id="98"/>
    </w:p>
    <w:tbl>
      <w:tblPr>
        <w:tblStyle w:val="TableGrid"/>
        <w:tblW w:w="0" w:type="auto"/>
        <w:jc w:val="center"/>
        <w:tblLook w:val="04A0" w:firstRow="1" w:lastRow="0" w:firstColumn="1" w:lastColumn="0" w:noHBand="0" w:noVBand="1"/>
      </w:tblPr>
      <w:tblGrid>
        <w:gridCol w:w="2500"/>
        <w:gridCol w:w="2500"/>
        <w:gridCol w:w="2500"/>
      </w:tblGrid>
      <w:tr w:rsidR="003032C4" w:rsidRPr="009F0A80" w:rsidTr="002C675A">
        <w:trPr>
          <w:trHeight w:val="283"/>
          <w:jc w:val="center"/>
        </w:trPr>
        <w:tc>
          <w:tcPr>
            <w:tcW w:w="2500" w:type="dxa"/>
          </w:tcPr>
          <w:p w:rsidR="003032C4" w:rsidRPr="009F0A80" w:rsidRDefault="003032C4"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3032C4" w:rsidRPr="009F0A80" w:rsidRDefault="003032C4"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ation nM BCE</w:t>
            </w:r>
            <w:r w:rsidRPr="009F0A80">
              <w:rPr>
                <w:rFonts w:ascii="Arial" w:hAnsi="Arial" w:cs="Arial"/>
                <w:sz w:val="16"/>
                <w:szCs w:val="16"/>
              </w:rPr>
              <w:t xml:space="preserve"> (standard deviation)</w:t>
            </w:r>
          </w:p>
        </w:tc>
        <w:tc>
          <w:tcPr>
            <w:tcW w:w="2500" w:type="dxa"/>
          </w:tcPr>
          <w:p w:rsidR="003032C4" w:rsidRPr="009F0A80" w:rsidRDefault="003032C4" w:rsidP="00900F2C">
            <w:pPr>
              <w:rPr>
                <w:rFonts w:ascii="Arial" w:hAnsi="Arial" w:cs="Arial"/>
                <w:sz w:val="16"/>
                <w:szCs w:val="16"/>
              </w:rPr>
            </w:pPr>
            <w:r w:rsidRPr="009F0A80">
              <w:rPr>
                <w:rFonts w:ascii="Arial" w:hAnsi="Arial" w:cs="Arial"/>
                <w:sz w:val="16"/>
                <w:szCs w:val="16"/>
              </w:rPr>
              <w:t>Inter-assay CV (%)</w:t>
            </w:r>
          </w:p>
        </w:tc>
      </w:tr>
      <w:tr w:rsidR="003032C4" w:rsidRPr="009F0A80" w:rsidTr="002C675A">
        <w:trPr>
          <w:trHeight w:val="283"/>
          <w:jc w:val="center"/>
        </w:trPr>
        <w:tc>
          <w:tcPr>
            <w:tcW w:w="2500" w:type="dxa"/>
            <w:vAlign w:val="center"/>
          </w:tcPr>
          <w:p w:rsidR="003032C4" w:rsidRPr="009F0A80" w:rsidRDefault="003032C4"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3032C4" w:rsidRPr="009F0A80" w:rsidRDefault="003032C4" w:rsidP="00900F2C">
            <w:pPr>
              <w:rPr>
                <w:rFonts w:ascii="Arial" w:hAnsi="Arial" w:cs="Arial"/>
                <w:sz w:val="16"/>
                <w:szCs w:val="16"/>
              </w:rPr>
            </w:pPr>
            <w:r>
              <w:rPr>
                <w:rFonts w:ascii="Arial" w:hAnsi="Arial" w:cs="Arial"/>
                <w:sz w:val="16"/>
                <w:szCs w:val="16"/>
              </w:rPr>
              <w:t>100.4 (</w:t>
            </w:r>
            <w:r w:rsidR="00DE4AA7">
              <w:rPr>
                <w:rFonts w:ascii="Arial" w:hAnsi="Arial" w:cs="Arial"/>
                <w:sz w:val="16"/>
                <w:szCs w:val="16"/>
              </w:rPr>
              <w:t>5.3)</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5.3</w:t>
            </w:r>
          </w:p>
        </w:tc>
      </w:tr>
      <w:tr w:rsidR="003032C4" w:rsidRPr="009F0A80" w:rsidTr="002C675A">
        <w:trPr>
          <w:trHeight w:val="283"/>
          <w:jc w:val="center"/>
        </w:trPr>
        <w:tc>
          <w:tcPr>
            <w:tcW w:w="2500" w:type="dxa"/>
            <w:vAlign w:val="center"/>
          </w:tcPr>
          <w:p w:rsidR="003032C4" w:rsidRPr="009F0A80" w:rsidRDefault="003032C4" w:rsidP="00900F2C">
            <w:pPr>
              <w:rPr>
                <w:rFonts w:ascii="Arial" w:hAnsi="Arial" w:cs="Arial"/>
                <w:sz w:val="16"/>
                <w:szCs w:val="16"/>
              </w:rPr>
            </w:pPr>
            <w:r w:rsidRPr="009F0A80">
              <w:rPr>
                <w:rFonts w:ascii="Arial" w:hAnsi="Arial" w:cs="Arial"/>
                <w:sz w:val="16"/>
                <w:szCs w:val="16"/>
              </w:rPr>
              <w:t>QC 2 (medium)</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383.9 (16.1)</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4.2</w:t>
            </w:r>
          </w:p>
        </w:tc>
      </w:tr>
      <w:tr w:rsidR="003032C4" w:rsidRPr="009F0A80" w:rsidTr="002C675A">
        <w:trPr>
          <w:trHeight w:val="283"/>
          <w:jc w:val="center"/>
        </w:trPr>
        <w:tc>
          <w:tcPr>
            <w:tcW w:w="2500" w:type="dxa"/>
            <w:vAlign w:val="center"/>
          </w:tcPr>
          <w:p w:rsidR="003032C4" w:rsidRPr="009F0A80" w:rsidRDefault="003032C4" w:rsidP="00900F2C">
            <w:pPr>
              <w:rPr>
                <w:rFonts w:ascii="Arial" w:hAnsi="Arial" w:cs="Arial"/>
                <w:sz w:val="16"/>
                <w:szCs w:val="16"/>
              </w:rPr>
            </w:pPr>
            <w:r w:rsidRPr="009F0A80">
              <w:rPr>
                <w:rFonts w:ascii="Arial" w:hAnsi="Arial" w:cs="Arial"/>
                <w:sz w:val="16"/>
                <w:szCs w:val="16"/>
              </w:rPr>
              <w:t>QC 3 (high)</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1166.8 (52.8)</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4.5</w:t>
            </w:r>
          </w:p>
        </w:tc>
      </w:tr>
      <w:tr w:rsidR="003032C4" w:rsidRPr="009F0A80" w:rsidTr="002C675A">
        <w:trPr>
          <w:trHeight w:val="283"/>
          <w:jc w:val="center"/>
        </w:trPr>
        <w:tc>
          <w:tcPr>
            <w:tcW w:w="2500" w:type="dxa"/>
            <w:vAlign w:val="center"/>
          </w:tcPr>
          <w:p w:rsidR="003032C4" w:rsidRPr="009F0A80" w:rsidRDefault="00174540" w:rsidP="00900F2C">
            <w:pPr>
              <w:rPr>
                <w:rFonts w:ascii="Arial" w:hAnsi="Arial" w:cs="Arial"/>
                <w:sz w:val="16"/>
                <w:szCs w:val="16"/>
              </w:rPr>
            </w:pPr>
            <w:r>
              <w:rPr>
                <w:rFonts w:ascii="Arial" w:hAnsi="Arial" w:cs="Arial"/>
                <w:sz w:val="16"/>
                <w:szCs w:val="16"/>
              </w:rPr>
              <w:t>QC 4 (In-</w:t>
            </w:r>
            <w:r w:rsidR="003032C4" w:rsidRPr="009F0A80">
              <w:rPr>
                <w:rFonts w:ascii="Arial" w:hAnsi="Arial" w:cs="Arial"/>
                <w:sz w:val="16"/>
                <w:szCs w:val="16"/>
              </w:rPr>
              <w:t xml:space="preserve">house </w:t>
            </w:r>
            <w:r w:rsidR="003032C4">
              <w:rPr>
                <w:rFonts w:ascii="Arial" w:hAnsi="Arial" w:cs="Arial"/>
                <w:sz w:val="16"/>
                <w:szCs w:val="16"/>
              </w:rPr>
              <w:t>urine</w:t>
            </w:r>
            <w:r w:rsidR="003032C4" w:rsidRPr="009F0A80">
              <w:rPr>
                <w:rFonts w:ascii="Arial" w:hAnsi="Arial" w:cs="Arial"/>
                <w:sz w:val="16"/>
                <w:szCs w:val="16"/>
              </w:rPr>
              <w:t>)</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106.5 (6.1)</w:t>
            </w:r>
          </w:p>
        </w:tc>
        <w:tc>
          <w:tcPr>
            <w:tcW w:w="2500" w:type="dxa"/>
            <w:vAlign w:val="center"/>
          </w:tcPr>
          <w:p w:rsidR="003032C4" w:rsidRPr="009F0A80" w:rsidRDefault="00DE4AA7" w:rsidP="00900F2C">
            <w:pPr>
              <w:rPr>
                <w:rFonts w:ascii="Arial" w:hAnsi="Arial" w:cs="Arial"/>
                <w:sz w:val="16"/>
                <w:szCs w:val="16"/>
              </w:rPr>
            </w:pPr>
            <w:r>
              <w:rPr>
                <w:rFonts w:ascii="Arial" w:hAnsi="Arial" w:cs="Arial"/>
                <w:sz w:val="16"/>
                <w:szCs w:val="16"/>
              </w:rPr>
              <w:t>5.7</w:t>
            </w:r>
          </w:p>
        </w:tc>
      </w:tr>
    </w:tbl>
    <w:p w:rsidR="00DE4AA7" w:rsidRDefault="00D4186E" w:rsidP="005354D9">
      <w:pPr>
        <w:pStyle w:val="Heading3"/>
        <w:jc w:val="both"/>
      </w:pPr>
      <w:bookmarkStart w:id="99" w:name="_Toc425418908"/>
      <w:r>
        <w:t>Dry slide method</w:t>
      </w:r>
      <w:r w:rsidR="0050283E">
        <w:t>: Creatinine</w:t>
      </w:r>
      <w:bookmarkEnd w:id="99"/>
    </w:p>
    <w:p w:rsidR="0050283E" w:rsidRPr="003612EF" w:rsidRDefault="00DF777C" w:rsidP="003B725E">
      <w:pPr>
        <w:spacing w:line="360" w:lineRule="auto"/>
        <w:jc w:val="both"/>
        <w:rPr>
          <w:rFonts w:ascii="Arial" w:hAnsi="Arial" w:cs="Arial"/>
        </w:rPr>
      </w:pPr>
      <w:r>
        <w:rPr>
          <w:rFonts w:ascii="Arial" w:hAnsi="Arial" w:cs="Arial"/>
        </w:rPr>
        <w:t>Creatinine</w:t>
      </w:r>
      <w:r w:rsidR="0057793F" w:rsidRPr="003612EF">
        <w:rPr>
          <w:rFonts w:ascii="Arial" w:hAnsi="Arial" w:cs="Arial"/>
        </w:rPr>
        <w:t xml:space="preserve"> </w:t>
      </w:r>
      <w:r w:rsidR="00D00363">
        <w:rPr>
          <w:rFonts w:ascii="Arial" w:hAnsi="Arial" w:cs="Arial"/>
        </w:rPr>
        <w:t>is a molecule</w:t>
      </w:r>
      <w:r w:rsidR="0057793F" w:rsidRPr="003612EF">
        <w:rPr>
          <w:rFonts w:ascii="Arial" w:hAnsi="Arial" w:cs="Arial"/>
        </w:rPr>
        <w:t xml:space="preserve"> </w:t>
      </w:r>
      <w:r w:rsidR="0093266D" w:rsidRPr="003612EF">
        <w:rPr>
          <w:rFonts w:ascii="Arial" w:hAnsi="Arial" w:cs="Arial"/>
        </w:rPr>
        <w:t xml:space="preserve">made up from arginine, glycine and methionine </w:t>
      </w:r>
      <w:r w:rsidR="0057793F" w:rsidRPr="003612EF">
        <w:rPr>
          <w:rFonts w:ascii="Arial" w:hAnsi="Arial" w:cs="Arial"/>
        </w:rPr>
        <w:t>synthesised</w:t>
      </w:r>
      <w:r w:rsidR="0093266D" w:rsidRPr="003612EF">
        <w:rPr>
          <w:rFonts w:ascii="Arial" w:hAnsi="Arial" w:cs="Arial"/>
        </w:rPr>
        <w:t xml:space="preserve"> by the kidneys and transported to the liver </w:t>
      </w:r>
      <w:r w:rsidR="0093266D" w:rsidRPr="003612EF">
        <w:rPr>
          <w:rFonts w:ascii="Arial" w:hAnsi="Arial" w:cs="Arial"/>
        </w:rPr>
        <w:fldChar w:fldCharType="begin"/>
      </w:r>
      <w:r w:rsidR="00B64C0F">
        <w:rPr>
          <w:rFonts w:ascii="Arial" w:hAnsi="Arial" w:cs="Arial"/>
        </w:rPr>
        <w:instrText xml:space="preserve"> ADDIN EN.CITE &lt;EndNote&gt;&lt;Cite&gt;&lt;Author&gt;Allen&lt;/Author&gt;&lt;Year&gt;2012&lt;/Year&gt;&lt;RecNum&gt;303&lt;/RecNum&gt;&lt;DisplayText&gt;(349)&lt;/DisplayText&gt;&lt;record&gt;&lt;rec-number&gt;303&lt;/rec-number&gt;&lt;foreign-keys&gt;&lt;key app="EN" db-id="p9a5ttsvyvde9me5aw2x05fp5p55axf0wr90" timestamp="1432898722"&gt;303&lt;/key&gt;&lt;/foreign-keys&gt;&lt;ref-type name="Journal Article"&gt;17&lt;/ref-type&gt;&lt;contributors&gt;&lt;authors&gt;&lt;author&gt;Allen, P. J.&lt;/author&gt;&lt;/authors&gt;&lt;/contributors&gt;&lt;auth-address&gt;Department of Psychology, Tufts University, Psychology Building, 490 Boston Ave., Medford, MA 02155, USA. patricia.allen@tufts.edu&lt;/auth-address&gt;&lt;titles&gt;&lt;title&gt;Creatine metabolism and psychiatric disorders: Does creatine supplementation have therapeutic value?&lt;/title&gt;&lt;secondary-title&gt;Neurosci Biobehav Rev&lt;/secondary-title&gt;&lt;/titles&gt;&lt;periodical&gt;&lt;full-title&gt;Neurosci Biobehav Rev&lt;/full-title&gt;&lt;/periodical&gt;&lt;pages&gt;1442-62&lt;/pages&gt;&lt;volume&gt;36&lt;/volume&gt;&lt;number&gt;5&lt;/number&gt;&lt;edition&gt;2012/04/03&lt;/edition&gt;&lt;keywords&gt;&lt;keyword&gt;Brain/drug effects/metabolism&lt;/keyword&gt;&lt;keyword&gt;Cognition/drug effects/physiology&lt;/keyword&gt;&lt;keyword&gt;Creatine/adverse effects/ metabolism/pharmacokinetics/ therapeutic use&lt;/keyword&gt;&lt;keyword&gt;Dietary Supplements/ adverse effects&lt;/keyword&gt;&lt;keyword&gt;Emotions/drug effects/physiology&lt;/keyword&gt;&lt;keyword&gt;Energy Metabolism/drug effects/physiology&lt;/keyword&gt;&lt;keyword&gt;Humans&lt;/keyword&gt;&lt;keyword&gt;Mental Disorders/ drug therapy/ metabolism&lt;/keyword&gt;&lt;keyword&gt;Models, Biological&lt;/keyword&gt;&lt;/keywords&gt;&lt;dates&gt;&lt;year&gt;2012&lt;/year&gt;&lt;pub-dates&gt;&lt;date&gt;May&lt;/date&gt;&lt;/pub-dates&gt;&lt;/dates&gt;&lt;isbn&gt;1873-7528 (Electronic)&amp;#xD;0149-7634 (Linking)&lt;/isbn&gt;&lt;accession-num&gt;22465051&lt;/accession-num&gt;&lt;urls&gt;&lt;/urls&gt;&lt;custom2&gt;PMC3340488&lt;/custom2&gt;&lt;custom6&gt;Nihms366301&lt;/custom6&gt;&lt;electronic-resource-num&gt;10.1016/j.neubiorev.2012.03.005&lt;/electronic-resource-num&gt;&lt;remote-database-provider&gt;NLM&lt;/remote-database-provider&gt;&lt;language&gt;eng&lt;/language&gt;&lt;/record&gt;&lt;/Cite&gt;&lt;/EndNote&gt;</w:instrText>
      </w:r>
      <w:r w:rsidR="0093266D" w:rsidRPr="003612EF">
        <w:rPr>
          <w:rFonts w:ascii="Arial" w:hAnsi="Arial" w:cs="Arial"/>
        </w:rPr>
        <w:fldChar w:fldCharType="separate"/>
      </w:r>
      <w:r w:rsidR="00B64C0F">
        <w:rPr>
          <w:rFonts w:ascii="Arial" w:hAnsi="Arial" w:cs="Arial"/>
          <w:noProof/>
        </w:rPr>
        <w:t>(</w:t>
      </w:r>
      <w:hyperlink w:anchor="_ENREF_349" w:tooltip="Allen, 2012 #303" w:history="1">
        <w:r w:rsidR="003B725E">
          <w:rPr>
            <w:rFonts w:ascii="Arial" w:hAnsi="Arial" w:cs="Arial"/>
            <w:noProof/>
          </w:rPr>
          <w:t>349</w:t>
        </w:r>
      </w:hyperlink>
      <w:r w:rsidR="00B64C0F">
        <w:rPr>
          <w:rFonts w:ascii="Arial" w:hAnsi="Arial" w:cs="Arial"/>
          <w:noProof/>
        </w:rPr>
        <w:t>)</w:t>
      </w:r>
      <w:r w:rsidR="0093266D" w:rsidRPr="003612EF">
        <w:rPr>
          <w:rFonts w:ascii="Arial" w:hAnsi="Arial" w:cs="Arial"/>
        </w:rPr>
        <w:fldChar w:fldCharType="end"/>
      </w:r>
      <w:r w:rsidR="0093266D" w:rsidRPr="003612EF">
        <w:rPr>
          <w:rFonts w:ascii="Arial" w:hAnsi="Arial" w:cs="Arial"/>
        </w:rPr>
        <w:t>.</w:t>
      </w:r>
      <w:r w:rsidR="0057793F" w:rsidRPr="003612EF">
        <w:rPr>
          <w:rFonts w:ascii="Arial" w:hAnsi="Arial" w:cs="Arial"/>
        </w:rPr>
        <w:t xml:space="preserve"> </w:t>
      </w:r>
      <w:r>
        <w:rPr>
          <w:rFonts w:ascii="Arial" w:hAnsi="Arial" w:cs="Arial"/>
        </w:rPr>
        <w:t xml:space="preserve">Creatinine is a product of creatine phosphate degradation. </w:t>
      </w:r>
      <w:r w:rsidR="00055C2C" w:rsidRPr="003612EF">
        <w:rPr>
          <w:rFonts w:ascii="Arial" w:hAnsi="Arial" w:cs="Arial"/>
        </w:rPr>
        <w:t xml:space="preserve">It </w:t>
      </w:r>
      <w:r w:rsidR="0057793F" w:rsidRPr="003612EF">
        <w:rPr>
          <w:rFonts w:ascii="Arial" w:hAnsi="Arial" w:cs="Arial"/>
        </w:rPr>
        <w:t>is excre</w:t>
      </w:r>
      <w:r w:rsidR="00644334" w:rsidRPr="003612EF">
        <w:rPr>
          <w:rFonts w:ascii="Arial" w:hAnsi="Arial" w:cs="Arial"/>
        </w:rPr>
        <w:t>ted via glomerular filtration by</w:t>
      </w:r>
      <w:r w:rsidR="0057793F" w:rsidRPr="003612EF">
        <w:rPr>
          <w:rFonts w:ascii="Arial" w:hAnsi="Arial" w:cs="Arial"/>
        </w:rPr>
        <w:t xml:space="preserve"> the</w:t>
      </w:r>
      <w:r w:rsidR="00644334" w:rsidRPr="003612EF">
        <w:rPr>
          <w:rFonts w:ascii="Arial" w:hAnsi="Arial" w:cs="Arial"/>
        </w:rPr>
        <w:t xml:space="preserve"> kidney and is detected in the urine. NTX was expressed as a ratio to creatinine. </w:t>
      </w:r>
    </w:p>
    <w:p w:rsidR="003612EF" w:rsidRDefault="00644334" w:rsidP="005354D9">
      <w:pPr>
        <w:spacing w:line="360" w:lineRule="auto"/>
        <w:jc w:val="both"/>
        <w:rPr>
          <w:rFonts w:ascii="Arial" w:hAnsi="Arial" w:cs="Arial"/>
        </w:rPr>
      </w:pPr>
      <w:r w:rsidRPr="003612EF">
        <w:rPr>
          <w:rFonts w:ascii="Arial" w:hAnsi="Arial" w:cs="Arial"/>
        </w:rPr>
        <w:t xml:space="preserve">Creatinine was measure in urine using using the </w:t>
      </w:r>
      <w:r w:rsidR="004B58B9" w:rsidRPr="003612EF">
        <w:rPr>
          <w:rFonts w:ascii="Arial" w:hAnsi="Arial" w:cs="Arial"/>
        </w:rPr>
        <w:t>Vitros 250</w:t>
      </w:r>
      <w:r w:rsidRPr="003612EF">
        <w:rPr>
          <w:rFonts w:ascii="Arial" w:hAnsi="Arial" w:cs="Arial"/>
        </w:rPr>
        <w:t xml:space="preserve"> automated</w:t>
      </w:r>
      <w:r>
        <w:rPr>
          <w:rFonts w:ascii="Arial" w:hAnsi="Arial" w:cs="Arial"/>
        </w:rPr>
        <w:t xml:space="preserve"> immunoassay assay analyser (Ortho Clinical Diagnositics (OCD),</w:t>
      </w:r>
      <w:r w:rsidR="00144816">
        <w:rPr>
          <w:rFonts w:ascii="Arial" w:hAnsi="Arial" w:cs="Arial"/>
        </w:rPr>
        <w:t xml:space="preserve"> High Wycombe, UK) (appendix 1.6</w:t>
      </w:r>
      <w:r w:rsidRPr="00452AEA">
        <w:rPr>
          <w:rFonts w:ascii="Arial" w:hAnsi="Arial" w:cs="Arial"/>
        </w:rPr>
        <w:t xml:space="preserve">: kit insert). </w:t>
      </w:r>
      <w:r w:rsidR="003612EF">
        <w:rPr>
          <w:rFonts w:ascii="Arial" w:hAnsi="Arial" w:cs="Arial"/>
        </w:rPr>
        <w:t xml:space="preserve">This method uses layered dry slides each coated with an element which allows the </w:t>
      </w:r>
      <w:r w:rsidR="0095015D">
        <w:rPr>
          <w:rFonts w:ascii="Arial" w:hAnsi="Arial" w:cs="Arial"/>
        </w:rPr>
        <w:t>concentration of creatinine to be quantitatively determined:</w:t>
      </w:r>
    </w:p>
    <w:p w:rsidR="0095015D" w:rsidRDefault="0095015D" w:rsidP="005354D9">
      <w:pPr>
        <w:pStyle w:val="ListParagraph"/>
        <w:numPr>
          <w:ilvl w:val="0"/>
          <w:numId w:val="39"/>
        </w:numPr>
        <w:spacing w:line="360" w:lineRule="auto"/>
        <w:jc w:val="both"/>
        <w:rPr>
          <w:rFonts w:ascii="Arial" w:hAnsi="Arial" w:cs="Arial"/>
        </w:rPr>
      </w:pPr>
      <w:r>
        <w:rPr>
          <w:rFonts w:ascii="Arial" w:hAnsi="Arial" w:cs="Arial"/>
        </w:rPr>
        <w:t>20µl of urine is placed on the slide and is evenly distributed to each layer</w:t>
      </w:r>
      <w:r w:rsidR="00C012BE">
        <w:rPr>
          <w:rFonts w:ascii="Arial" w:hAnsi="Arial" w:cs="Arial"/>
        </w:rPr>
        <w:t>. The slide is incubated for 5 minutes.</w:t>
      </w:r>
    </w:p>
    <w:p w:rsidR="001B2D54" w:rsidRDefault="001B2D54" w:rsidP="005354D9">
      <w:pPr>
        <w:pStyle w:val="ListParagraph"/>
        <w:numPr>
          <w:ilvl w:val="0"/>
          <w:numId w:val="39"/>
        </w:numPr>
        <w:spacing w:line="360" w:lineRule="auto"/>
        <w:jc w:val="both"/>
        <w:rPr>
          <w:rFonts w:ascii="Arial" w:hAnsi="Arial" w:cs="Arial"/>
        </w:rPr>
      </w:pPr>
      <w:r>
        <w:rPr>
          <w:rFonts w:ascii="Arial" w:hAnsi="Arial" w:cs="Arial"/>
        </w:rPr>
        <w:t>The reaction takes place in the middle reagent layer</w:t>
      </w:r>
      <w:r w:rsidR="0095015D">
        <w:rPr>
          <w:rFonts w:ascii="Arial" w:hAnsi="Arial" w:cs="Arial"/>
        </w:rPr>
        <w:t>:</w:t>
      </w:r>
    </w:p>
    <w:p w:rsidR="001B2D54" w:rsidRDefault="0095015D" w:rsidP="005354D9">
      <w:pPr>
        <w:pStyle w:val="ListParagraph"/>
        <w:numPr>
          <w:ilvl w:val="1"/>
          <w:numId w:val="39"/>
        </w:numPr>
        <w:spacing w:line="360" w:lineRule="auto"/>
        <w:jc w:val="both"/>
        <w:rPr>
          <w:rFonts w:ascii="Arial" w:hAnsi="Arial" w:cs="Arial"/>
        </w:rPr>
      </w:pPr>
      <w:r w:rsidRPr="001B2D54">
        <w:rPr>
          <w:rFonts w:ascii="Arial" w:hAnsi="Arial" w:cs="Arial"/>
        </w:rPr>
        <w:t xml:space="preserve">The creatinine is </w:t>
      </w:r>
      <w:r w:rsidR="001B2D54" w:rsidRPr="001B2D54">
        <w:rPr>
          <w:rFonts w:ascii="Arial" w:hAnsi="Arial" w:cs="Arial"/>
        </w:rPr>
        <w:t xml:space="preserve">firstly hydrolysed </w:t>
      </w:r>
      <w:r w:rsidR="001B2D54">
        <w:rPr>
          <w:rFonts w:ascii="Arial" w:hAnsi="Arial" w:cs="Arial"/>
        </w:rPr>
        <w:t>in the presence of creatinine amidohydrolase</w:t>
      </w:r>
    </w:p>
    <w:p w:rsidR="0095015D" w:rsidRDefault="001B2D54" w:rsidP="005354D9">
      <w:pPr>
        <w:pStyle w:val="ListParagraph"/>
        <w:numPr>
          <w:ilvl w:val="1"/>
          <w:numId w:val="39"/>
        </w:numPr>
        <w:spacing w:line="360" w:lineRule="auto"/>
        <w:jc w:val="both"/>
        <w:rPr>
          <w:rFonts w:ascii="Arial" w:hAnsi="Arial" w:cs="Arial"/>
        </w:rPr>
      </w:pPr>
      <w:r>
        <w:rPr>
          <w:rFonts w:ascii="Arial" w:hAnsi="Arial" w:cs="Arial"/>
        </w:rPr>
        <w:t>Creatinine is converted in to sarcosine and urea in t</w:t>
      </w:r>
      <w:r w:rsidR="00042C8E">
        <w:rPr>
          <w:rFonts w:ascii="Arial" w:hAnsi="Arial" w:cs="Arial"/>
        </w:rPr>
        <w:t>he presence of creatinine amid</w:t>
      </w:r>
      <w:r>
        <w:rPr>
          <w:rFonts w:ascii="Arial" w:hAnsi="Arial" w:cs="Arial"/>
        </w:rPr>
        <w:t>ohydrolase</w:t>
      </w:r>
    </w:p>
    <w:p w:rsidR="001B2D54" w:rsidRDefault="001B2D54" w:rsidP="005354D9">
      <w:pPr>
        <w:pStyle w:val="ListParagraph"/>
        <w:numPr>
          <w:ilvl w:val="1"/>
          <w:numId w:val="39"/>
        </w:numPr>
        <w:spacing w:line="360" w:lineRule="auto"/>
        <w:jc w:val="both"/>
        <w:rPr>
          <w:rFonts w:ascii="Arial" w:hAnsi="Arial" w:cs="Arial"/>
        </w:rPr>
      </w:pPr>
      <w:r>
        <w:rPr>
          <w:rFonts w:ascii="Arial" w:hAnsi="Arial" w:cs="Arial"/>
        </w:rPr>
        <w:t>Sacrosine is converted in to glycine, formaldehyde and hydrogen peroxide in the presence of sarcosine oxidase</w:t>
      </w:r>
    </w:p>
    <w:p w:rsidR="00644334" w:rsidRPr="00C012BE" w:rsidRDefault="001B2D54" w:rsidP="005354D9">
      <w:pPr>
        <w:pStyle w:val="ListParagraph"/>
        <w:numPr>
          <w:ilvl w:val="1"/>
          <w:numId w:val="39"/>
        </w:numPr>
        <w:spacing w:line="360" w:lineRule="auto"/>
        <w:jc w:val="both"/>
        <w:rPr>
          <w:rFonts w:ascii="Arial" w:hAnsi="Arial" w:cs="Arial"/>
        </w:rPr>
      </w:pPr>
      <w:r>
        <w:rPr>
          <w:rFonts w:ascii="Arial" w:hAnsi="Arial" w:cs="Arial"/>
        </w:rPr>
        <w:t xml:space="preserve">Hydrogen peroxidase catalyses the oxidation of a leuco dye producing a </w:t>
      </w:r>
      <w:r w:rsidR="00C012BE">
        <w:rPr>
          <w:rFonts w:ascii="Arial" w:hAnsi="Arial" w:cs="Arial"/>
        </w:rPr>
        <w:t>coloured product that is proportional to the creatinine concentration in the urine sample.</w:t>
      </w:r>
    </w:p>
    <w:p w:rsidR="00C012BE" w:rsidRDefault="00C012BE" w:rsidP="005354D9">
      <w:pPr>
        <w:pStyle w:val="Heading4"/>
        <w:jc w:val="both"/>
      </w:pPr>
      <w:r>
        <w:lastRenderedPageBreak/>
        <w:t>Creatinine assay performance and validation</w:t>
      </w:r>
    </w:p>
    <w:p w:rsidR="00C012BE" w:rsidRPr="00957976" w:rsidRDefault="00C012BE" w:rsidP="003B725E">
      <w:pPr>
        <w:spacing w:after="0" w:line="360" w:lineRule="auto"/>
        <w:jc w:val="both"/>
        <w:rPr>
          <w:rFonts w:ascii="Arial" w:hAnsi="Arial" w:cs="Arial"/>
        </w:rPr>
      </w:pPr>
      <w:r w:rsidRPr="00957976">
        <w:rPr>
          <w:rFonts w:ascii="Arial" w:hAnsi="Arial" w:cs="Arial"/>
        </w:rPr>
        <w:t xml:space="preserve">The </w:t>
      </w:r>
      <w:r>
        <w:rPr>
          <w:rFonts w:ascii="Arial" w:hAnsi="Arial" w:cs="Arial"/>
        </w:rPr>
        <w:t xml:space="preserve">technical </w:t>
      </w:r>
      <w:r w:rsidRPr="00957976">
        <w:rPr>
          <w:rFonts w:ascii="Arial" w:hAnsi="Arial" w:cs="Arial"/>
        </w:rPr>
        <w:t xml:space="preserve">performance of </w:t>
      </w:r>
      <w:r>
        <w:rPr>
          <w:rFonts w:ascii="Arial" w:hAnsi="Arial" w:cs="Arial"/>
        </w:rPr>
        <w:t xml:space="preserve">the Vitros Creatinine assay using the Vitros 250 </w:t>
      </w:r>
      <w:r w:rsidRPr="00957976">
        <w:rPr>
          <w:rFonts w:ascii="Arial" w:hAnsi="Arial" w:cs="Arial"/>
        </w:rPr>
        <w:t xml:space="preserve">analyser has </w:t>
      </w:r>
      <w:r>
        <w:rPr>
          <w:rFonts w:ascii="Arial" w:hAnsi="Arial" w:cs="Arial"/>
        </w:rPr>
        <w:t>previously been validated by OCD</w:t>
      </w:r>
      <w:r w:rsidRPr="00957976">
        <w:rPr>
          <w:rFonts w:ascii="Arial" w:hAnsi="Arial" w:cs="Arial"/>
        </w:rPr>
        <w:t>. The detection range was</w:t>
      </w:r>
      <w:r>
        <w:rPr>
          <w:rFonts w:ascii="Arial" w:hAnsi="Arial" w:cs="Arial"/>
        </w:rPr>
        <w:t xml:space="preserve"> 107 to 30639µmol/L.</w:t>
      </w:r>
      <w:r w:rsidRPr="00957976">
        <w:rPr>
          <w:rFonts w:ascii="Arial" w:hAnsi="Arial" w:cs="Arial"/>
        </w:rPr>
        <w:t xml:space="preserve"> </w:t>
      </w:r>
      <w:r>
        <w:rPr>
          <w:rFonts w:ascii="Arial" w:hAnsi="Arial" w:cs="Arial"/>
        </w:rPr>
        <w:t xml:space="preserve">This is the only method of measuring creatinine in urine I have investigated and therefore did not perform method comparison analysis. However OCD have previously reported that the correlation coefficient between their </w:t>
      </w:r>
      <w:r w:rsidR="00FC154E">
        <w:rPr>
          <w:rFonts w:ascii="Arial" w:hAnsi="Arial" w:cs="Arial"/>
        </w:rPr>
        <w:t xml:space="preserve">creatinine </w:t>
      </w:r>
      <w:r>
        <w:rPr>
          <w:rFonts w:ascii="Arial" w:hAnsi="Arial" w:cs="Arial"/>
        </w:rPr>
        <w:t xml:space="preserve">assay and </w:t>
      </w:r>
      <w:r w:rsidR="00FC154E">
        <w:rPr>
          <w:rFonts w:ascii="Arial" w:hAnsi="Arial" w:cs="Arial"/>
        </w:rPr>
        <w:t>a HPLC method</w:t>
      </w:r>
      <w:r>
        <w:rPr>
          <w:rFonts w:ascii="Arial" w:hAnsi="Arial" w:cs="Arial"/>
        </w:rPr>
        <w:t xml:space="preserve"> was </w:t>
      </w:r>
      <w:r w:rsidR="00C617CC">
        <w:rPr>
          <w:rFonts w:ascii="Arial" w:hAnsi="Arial" w:cs="Arial"/>
        </w:rPr>
        <w:t>1.0</w:t>
      </w:r>
      <w:r w:rsidR="00FC154E">
        <w:rPr>
          <w:rFonts w:ascii="Arial" w:hAnsi="Arial" w:cs="Arial"/>
        </w:rPr>
        <w:t xml:space="preserve"> </w:t>
      </w:r>
      <w:r w:rsidR="00FC154E">
        <w:rPr>
          <w:rFonts w:ascii="Arial" w:hAnsi="Arial" w:cs="Arial"/>
        </w:rPr>
        <w:fldChar w:fldCharType="begin"/>
      </w:r>
      <w:r w:rsidR="00B64C0F">
        <w:rPr>
          <w:rFonts w:ascii="Arial" w:hAnsi="Arial" w:cs="Arial"/>
        </w:rPr>
        <w:instrText xml:space="preserve"> ADDIN EN.CITE &lt;EndNote&gt;&lt;Cite&gt;&lt;Author&gt;Ambrose&lt;/Author&gt;&lt;Year&gt;1983&lt;/Year&gt;&lt;RecNum&gt;304&lt;/RecNum&gt;&lt;DisplayText&gt;(350)&lt;/DisplayText&gt;&lt;record&gt;&lt;rec-number&gt;304&lt;/rec-number&gt;&lt;foreign-keys&gt;&lt;key app="EN" db-id="p9a5ttsvyvde9me5aw2x05fp5p55axf0wr90" timestamp="1433162635"&gt;304&lt;/key&gt;&lt;/foreign-keys&gt;&lt;ref-type name="Journal Article"&gt;17&lt;/ref-type&gt;&lt;contributors&gt;&lt;authors&gt;&lt;author&gt;Ambrose, R. T.&lt;/author&gt;&lt;author&gt;Ketchum, D. F.&lt;/author&gt;&lt;author&gt;Smith, J. W.&lt;/author&gt;&lt;/authors&gt;&lt;/contributors&gt;&lt;titles&gt;&lt;title&gt;Creatinine determined by &amp;quot;high-performance&amp;quot; liquid chromatography&lt;/title&gt;&lt;secondary-title&gt;Clin Chem&lt;/secondary-title&gt;&lt;/titles&gt;&lt;periodical&gt;&lt;full-title&gt;Clin Chem&lt;/full-title&gt;&lt;abbr-1&gt;Clinical chemistry&lt;/abbr-1&gt;&lt;/periodical&gt;&lt;pages&gt;256-9&lt;/pages&gt;&lt;volume&gt;29&lt;/volume&gt;&lt;number&gt;2&lt;/number&gt;&lt;edition&gt;1983/02/01&lt;/edition&gt;&lt;keywords&gt;&lt;keyword&gt;Chromatography, High Pressure Liquid/instrumentation&lt;/keyword&gt;&lt;keyword&gt;Chromatography, Ion Exchange&lt;/keyword&gt;&lt;keyword&gt;Creatinine/blood/ isolation &amp;amp; purification&lt;/keyword&gt;&lt;keyword&gt;Humans&lt;/keyword&gt;&lt;/keywords&gt;&lt;dates&gt;&lt;year&gt;1983&lt;/year&gt;&lt;pub-dates&gt;&lt;date&gt;Feb&lt;/date&gt;&lt;/pub-dates&gt;&lt;/dates&gt;&lt;isbn&gt;0009-9147 (Print)&amp;#xD;0009-9147 (Linking)&lt;/isbn&gt;&lt;accession-num&gt;6821927&lt;/accession-num&gt;&lt;urls&gt;&lt;/urls&gt;&lt;remote-database-provider&gt;NLM&lt;/remote-database-provider&gt;&lt;language&gt;eng&lt;/language&gt;&lt;/record&gt;&lt;/Cite&gt;&lt;/EndNote&gt;</w:instrText>
      </w:r>
      <w:r w:rsidR="00FC154E">
        <w:rPr>
          <w:rFonts w:ascii="Arial" w:hAnsi="Arial" w:cs="Arial"/>
        </w:rPr>
        <w:fldChar w:fldCharType="separate"/>
      </w:r>
      <w:r w:rsidR="00B64C0F">
        <w:rPr>
          <w:rFonts w:ascii="Arial" w:hAnsi="Arial" w:cs="Arial"/>
          <w:noProof/>
        </w:rPr>
        <w:t>(</w:t>
      </w:r>
      <w:hyperlink w:anchor="_ENREF_350" w:tooltip="Ambrose, 1983 #304" w:history="1">
        <w:r w:rsidR="003B725E">
          <w:rPr>
            <w:rFonts w:ascii="Arial" w:hAnsi="Arial" w:cs="Arial"/>
            <w:noProof/>
          </w:rPr>
          <w:t>350</w:t>
        </w:r>
      </w:hyperlink>
      <w:r w:rsidR="00B64C0F">
        <w:rPr>
          <w:rFonts w:ascii="Arial" w:hAnsi="Arial" w:cs="Arial"/>
          <w:noProof/>
        </w:rPr>
        <w:t>)</w:t>
      </w:r>
      <w:r w:rsidR="00FC154E">
        <w:rPr>
          <w:rFonts w:ascii="Arial" w:hAnsi="Arial" w:cs="Arial"/>
        </w:rPr>
        <w:fldChar w:fldCharType="end"/>
      </w:r>
      <w:r w:rsidR="00FC154E">
        <w:rPr>
          <w:rFonts w:ascii="Arial" w:hAnsi="Arial" w:cs="Arial"/>
        </w:rPr>
        <w:t xml:space="preserve"> </w:t>
      </w:r>
      <w:r>
        <w:rPr>
          <w:rFonts w:ascii="Arial" w:hAnsi="Arial" w:cs="Arial"/>
        </w:rPr>
        <w:t>.</w:t>
      </w:r>
    </w:p>
    <w:p w:rsidR="00C012BE" w:rsidRPr="00957976" w:rsidRDefault="00C012BE" w:rsidP="005354D9">
      <w:pPr>
        <w:spacing w:line="360" w:lineRule="auto"/>
        <w:jc w:val="both"/>
        <w:rPr>
          <w:rFonts w:ascii="Arial" w:hAnsi="Arial" w:cs="Arial"/>
        </w:rPr>
      </w:pPr>
      <w:r w:rsidRPr="00957976">
        <w:rPr>
          <w:rFonts w:ascii="Arial" w:hAnsi="Arial" w:cs="Arial"/>
        </w:rPr>
        <w:t>In order to confirm that the performance of the assay is satisfactory in our laboratory environment, additional validations were carried out:</w:t>
      </w:r>
    </w:p>
    <w:p w:rsidR="00FC154E" w:rsidRDefault="00FC154E" w:rsidP="005354D9">
      <w:pPr>
        <w:pStyle w:val="Heading4"/>
        <w:jc w:val="both"/>
      </w:pPr>
      <w:r>
        <w:t>Creatinine assay precision</w:t>
      </w:r>
    </w:p>
    <w:p w:rsidR="00C012BE" w:rsidRPr="00F20BEB" w:rsidRDefault="00F20BEB" w:rsidP="003B725E">
      <w:pPr>
        <w:spacing w:line="360" w:lineRule="auto"/>
        <w:jc w:val="both"/>
        <w:rPr>
          <w:rFonts w:ascii="Arial" w:hAnsi="Arial" w:cs="Arial"/>
        </w:rPr>
      </w:pPr>
      <w:r w:rsidRPr="00F20BEB">
        <w:rPr>
          <w:rFonts w:ascii="Arial" w:hAnsi="Arial" w:cs="Arial"/>
        </w:rPr>
        <w:t>The precision of the Vitros creatinine</w:t>
      </w:r>
      <w:r w:rsidR="00FC154E" w:rsidRPr="00F20BEB">
        <w:rPr>
          <w:rFonts w:ascii="Arial" w:hAnsi="Arial" w:cs="Arial"/>
        </w:rPr>
        <w:t xml:space="preserve"> assay was assessed in accordance with the CLSI EP-5A2: Evaluation of precision performance of quantitative measurement methods</w:t>
      </w:r>
      <w:r w:rsidR="00CA6772">
        <w:rPr>
          <w:rFonts w:ascii="Arial" w:hAnsi="Arial" w:cs="Arial"/>
        </w:rPr>
        <w:t xml:space="preserve">, </w:t>
      </w:r>
      <w:r w:rsidR="00CA6772">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CA6772">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CA6772">
        <w:rPr>
          <w:rFonts w:ascii="Arial" w:hAnsi="Arial" w:cs="Arial"/>
        </w:rPr>
        <w:fldChar w:fldCharType="end"/>
      </w:r>
      <w:r w:rsidR="00FC154E" w:rsidRPr="00F20BEB">
        <w:rPr>
          <w:rFonts w:ascii="Arial" w:hAnsi="Arial" w:cs="Arial"/>
        </w:rPr>
        <w:t xml:space="preserve">. </w:t>
      </w:r>
      <w:r>
        <w:rPr>
          <w:rFonts w:ascii="Arial" w:hAnsi="Arial" w:cs="Arial"/>
        </w:rPr>
        <w:t xml:space="preserve">Two </w:t>
      </w:r>
      <w:r w:rsidR="00FC154E" w:rsidRPr="00F20BEB">
        <w:rPr>
          <w:rFonts w:ascii="Arial" w:hAnsi="Arial" w:cs="Arial"/>
        </w:rPr>
        <w:t>quality control materials of different concentrations were measured once per day over a period of 20 days. The CV was calculated and exp</w:t>
      </w:r>
      <w:r w:rsidR="001A56DE">
        <w:rPr>
          <w:rFonts w:ascii="Arial" w:hAnsi="Arial" w:cs="Arial"/>
        </w:rPr>
        <w:t>ressed as a percentage, Table 7</w:t>
      </w:r>
      <w:r w:rsidR="00FC154E" w:rsidRPr="00F20BEB">
        <w:rPr>
          <w:rFonts w:ascii="Arial" w:hAnsi="Arial" w:cs="Arial"/>
        </w:rPr>
        <w:t>. A CV of less than 10% was termed acceptable</w:t>
      </w:r>
    </w:p>
    <w:p w:rsidR="00FC154E" w:rsidRPr="00F20BEB" w:rsidRDefault="00FC154E" w:rsidP="005354D9">
      <w:pPr>
        <w:pStyle w:val="Caption"/>
        <w:keepNext/>
        <w:jc w:val="both"/>
        <w:rPr>
          <w:rFonts w:ascii="Arial" w:hAnsi="Arial" w:cs="Arial"/>
          <w:b w:val="0"/>
          <w:color w:val="auto"/>
        </w:rPr>
      </w:pPr>
      <w:bookmarkStart w:id="100" w:name="_Toc424043681"/>
      <w:r w:rsidRPr="00F20BEB">
        <w:rPr>
          <w:rFonts w:ascii="Arial" w:hAnsi="Arial" w:cs="Arial"/>
          <w:b w:val="0"/>
          <w:color w:val="auto"/>
        </w:rPr>
        <w:t xml:space="preserve">Table </w:t>
      </w:r>
      <w:r w:rsidRPr="00F20BEB">
        <w:rPr>
          <w:rFonts w:ascii="Arial" w:hAnsi="Arial" w:cs="Arial"/>
          <w:b w:val="0"/>
          <w:color w:val="auto"/>
        </w:rPr>
        <w:fldChar w:fldCharType="begin"/>
      </w:r>
      <w:r w:rsidRPr="00F20BEB">
        <w:rPr>
          <w:rFonts w:ascii="Arial" w:hAnsi="Arial" w:cs="Arial"/>
          <w:b w:val="0"/>
          <w:color w:val="auto"/>
        </w:rPr>
        <w:instrText xml:space="preserve"> SEQ Table \* ARABIC </w:instrText>
      </w:r>
      <w:r w:rsidRPr="00F20BEB">
        <w:rPr>
          <w:rFonts w:ascii="Arial" w:hAnsi="Arial" w:cs="Arial"/>
          <w:b w:val="0"/>
          <w:color w:val="auto"/>
        </w:rPr>
        <w:fldChar w:fldCharType="separate"/>
      </w:r>
      <w:r w:rsidR="00DD116A">
        <w:rPr>
          <w:rFonts w:ascii="Arial" w:hAnsi="Arial" w:cs="Arial"/>
          <w:b w:val="0"/>
          <w:noProof/>
          <w:color w:val="auto"/>
        </w:rPr>
        <w:t>7</w:t>
      </w:r>
      <w:r w:rsidRPr="00F20BEB">
        <w:rPr>
          <w:rFonts w:ascii="Arial" w:hAnsi="Arial" w:cs="Arial"/>
          <w:b w:val="0"/>
          <w:color w:val="auto"/>
        </w:rPr>
        <w:fldChar w:fldCharType="end"/>
      </w:r>
      <w:r w:rsidRPr="00F20BEB">
        <w:rPr>
          <w:rFonts w:ascii="Arial" w:hAnsi="Arial" w:cs="Arial"/>
          <w:b w:val="0"/>
          <w:color w:val="auto"/>
        </w:rPr>
        <w:t xml:space="preserve">: </w:t>
      </w:r>
      <w:r w:rsidR="00633BB1" w:rsidRPr="00F20BEB">
        <w:rPr>
          <w:rFonts w:ascii="Arial" w:hAnsi="Arial" w:cs="Arial"/>
          <w:b w:val="0"/>
          <w:color w:val="auto"/>
        </w:rPr>
        <w:t xml:space="preserve">The inter assay precision of the </w:t>
      </w:r>
      <w:r w:rsidR="00F20BEB">
        <w:rPr>
          <w:rFonts w:ascii="Arial" w:hAnsi="Arial" w:cs="Arial"/>
          <w:b w:val="0"/>
          <w:color w:val="auto"/>
        </w:rPr>
        <w:t>OCD Vitros creatinine</w:t>
      </w:r>
      <w:r w:rsidR="00633BB1" w:rsidRPr="00F20BEB">
        <w:rPr>
          <w:rFonts w:ascii="Arial" w:hAnsi="Arial" w:cs="Arial"/>
          <w:b w:val="0"/>
          <w:color w:val="auto"/>
        </w:rPr>
        <w:t xml:space="preserve"> assay using three different levels of QC material measured (N = 20 each)</w:t>
      </w:r>
      <w:bookmarkEnd w:id="100"/>
    </w:p>
    <w:tbl>
      <w:tblPr>
        <w:tblStyle w:val="TableGrid"/>
        <w:tblW w:w="0" w:type="auto"/>
        <w:jc w:val="center"/>
        <w:tblLook w:val="04A0" w:firstRow="1" w:lastRow="0" w:firstColumn="1" w:lastColumn="0" w:noHBand="0" w:noVBand="1"/>
      </w:tblPr>
      <w:tblGrid>
        <w:gridCol w:w="2500"/>
        <w:gridCol w:w="2500"/>
        <w:gridCol w:w="2500"/>
      </w:tblGrid>
      <w:tr w:rsidR="00FC154E" w:rsidRPr="009F0A80" w:rsidTr="00FC154E">
        <w:trPr>
          <w:trHeight w:val="283"/>
          <w:jc w:val="center"/>
        </w:trPr>
        <w:tc>
          <w:tcPr>
            <w:tcW w:w="2500" w:type="dxa"/>
          </w:tcPr>
          <w:p w:rsidR="00FC154E" w:rsidRPr="009F0A80" w:rsidRDefault="00FC154E"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FC154E" w:rsidRPr="009F0A80" w:rsidRDefault="00FC154E"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 xml:space="preserve">ation </w:t>
            </w:r>
            <w:r w:rsidR="000649E5">
              <w:rPr>
                <w:rFonts w:ascii="Arial" w:hAnsi="Arial" w:cs="Arial"/>
                <w:sz w:val="16"/>
                <w:szCs w:val="16"/>
              </w:rPr>
              <w:t xml:space="preserve">µmol/L </w:t>
            </w:r>
            <w:r w:rsidRPr="009F0A80">
              <w:rPr>
                <w:rFonts w:ascii="Arial" w:hAnsi="Arial" w:cs="Arial"/>
                <w:sz w:val="16"/>
                <w:szCs w:val="16"/>
              </w:rPr>
              <w:t>(standard deviation)</w:t>
            </w:r>
          </w:p>
        </w:tc>
        <w:tc>
          <w:tcPr>
            <w:tcW w:w="2500" w:type="dxa"/>
          </w:tcPr>
          <w:p w:rsidR="00FC154E" w:rsidRPr="009F0A80" w:rsidRDefault="00FC154E" w:rsidP="00900F2C">
            <w:pPr>
              <w:rPr>
                <w:rFonts w:ascii="Arial" w:hAnsi="Arial" w:cs="Arial"/>
                <w:sz w:val="16"/>
                <w:szCs w:val="16"/>
              </w:rPr>
            </w:pPr>
            <w:r w:rsidRPr="009F0A80">
              <w:rPr>
                <w:rFonts w:ascii="Arial" w:hAnsi="Arial" w:cs="Arial"/>
                <w:sz w:val="16"/>
                <w:szCs w:val="16"/>
              </w:rPr>
              <w:t>Inter-assay CV (%)</w:t>
            </w:r>
          </w:p>
        </w:tc>
      </w:tr>
      <w:tr w:rsidR="00FC154E" w:rsidRPr="009F0A80" w:rsidTr="00FC154E">
        <w:trPr>
          <w:trHeight w:val="283"/>
          <w:jc w:val="center"/>
        </w:trPr>
        <w:tc>
          <w:tcPr>
            <w:tcW w:w="2500" w:type="dxa"/>
            <w:vAlign w:val="center"/>
          </w:tcPr>
          <w:p w:rsidR="00FC154E" w:rsidRPr="009F0A80" w:rsidRDefault="00FC154E"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85.9 (6.6)</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7.7</w:t>
            </w:r>
          </w:p>
        </w:tc>
      </w:tr>
      <w:tr w:rsidR="00FC154E" w:rsidRPr="009F0A80" w:rsidTr="00FC154E">
        <w:trPr>
          <w:trHeight w:val="283"/>
          <w:jc w:val="center"/>
        </w:trPr>
        <w:tc>
          <w:tcPr>
            <w:tcW w:w="2500" w:type="dxa"/>
            <w:vAlign w:val="center"/>
          </w:tcPr>
          <w:p w:rsidR="00FC154E" w:rsidRPr="009F0A80" w:rsidRDefault="00F20BEB" w:rsidP="00900F2C">
            <w:pPr>
              <w:rPr>
                <w:rFonts w:ascii="Arial" w:hAnsi="Arial" w:cs="Arial"/>
                <w:sz w:val="16"/>
                <w:szCs w:val="16"/>
              </w:rPr>
            </w:pPr>
            <w:r>
              <w:rPr>
                <w:rFonts w:ascii="Arial" w:hAnsi="Arial" w:cs="Arial"/>
                <w:sz w:val="16"/>
                <w:szCs w:val="16"/>
              </w:rPr>
              <w:t>QC 2</w:t>
            </w:r>
            <w:r w:rsidR="00FC154E" w:rsidRPr="009F0A80">
              <w:rPr>
                <w:rFonts w:ascii="Arial" w:hAnsi="Arial" w:cs="Arial"/>
                <w:sz w:val="16"/>
                <w:szCs w:val="16"/>
              </w:rPr>
              <w:t xml:space="preserve"> (high)</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491.8 (13.5)</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2.8</w:t>
            </w:r>
          </w:p>
        </w:tc>
      </w:tr>
      <w:tr w:rsidR="00FC154E" w:rsidRPr="009F0A80" w:rsidTr="00FC154E">
        <w:trPr>
          <w:trHeight w:val="283"/>
          <w:jc w:val="center"/>
        </w:trPr>
        <w:tc>
          <w:tcPr>
            <w:tcW w:w="2500" w:type="dxa"/>
            <w:vAlign w:val="center"/>
          </w:tcPr>
          <w:p w:rsidR="00FC154E" w:rsidRPr="009F0A80" w:rsidRDefault="00F20BEB" w:rsidP="00900F2C">
            <w:pPr>
              <w:rPr>
                <w:rFonts w:ascii="Arial" w:hAnsi="Arial" w:cs="Arial"/>
                <w:sz w:val="16"/>
                <w:szCs w:val="16"/>
              </w:rPr>
            </w:pPr>
            <w:r>
              <w:rPr>
                <w:rFonts w:ascii="Arial" w:hAnsi="Arial" w:cs="Arial"/>
                <w:sz w:val="16"/>
                <w:szCs w:val="16"/>
              </w:rPr>
              <w:t>QC 3</w:t>
            </w:r>
            <w:r w:rsidR="00174540">
              <w:rPr>
                <w:rFonts w:ascii="Arial" w:hAnsi="Arial" w:cs="Arial"/>
                <w:sz w:val="16"/>
                <w:szCs w:val="16"/>
              </w:rPr>
              <w:t xml:space="preserve"> (In-</w:t>
            </w:r>
            <w:r w:rsidR="00FC154E" w:rsidRPr="009F0A80">
              <w:rPr>
                <w:rFonts w:ascii="Arial" w:hAnsi="Arial" w:cs="Arial"/>
                <w:sz w:val="16"/>
                <w:szCs w:val="16"/>
              </w:rPr>
              <w:t xml:space="preserve">house </w:t>
            </w:r>
            <w:r w:rsidR="00FC154E">
              <w:rPr>
                <w:rFonts w:ascii="Arial" w:hAnsi="Arial" w:cs="Arial"/>
                <w:sz w:val="16"/>
                <w:szCs w:val="16"/>
              </w:rPr>
              <w:t>urine</w:t>
            </w:r>
            <w:r w:rsidR="00FC154E" w:rsidRPr="009F0A80">
              <w:rPr>
                <w:rFonts w:ascii="Arial" w:hAnsi="Arial" w:cs="Arial"/>
                <w:sz w:val="16"/>
                <w:szCs w:val="16"/>
              </w:rPr>
              <w:t>)</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2787.2 (85.3)</w:t>
            </w:r>
          </w:p>
        </w:tc>
        <w:tc>
          <w:tcPr>
            <w:tcW w:w="2500" w:type="dxa"/>
            <w:vAlign w:val="center"/>
          </w:tcPr>
          <w:p w:rsidR="00FC154E" w:rsidRPr="009F0A80" w:rsidRDefault="000649E5" w:rsidP="00900F2C">
            <w:pPr>
              <w:rPr>
                <w:rFonts w:ascii="Arial" w:hAnsi="Arial" w:cs="Arial"/>
                <w:sz w:val="16"/>
                <w:szCs w:val="16"/>
              </w:rPr>
            </w:pPr>
            <w:r>
              <w:rPr>
                <w:rFonts w:ascii="Arial" w:hAnsi="Arial" w:cs="Arial"/>
                <w:sz w:val="16"/>
                <w:szCs w:val="16"/>
              </w:rPr>
              <w:t>3.1</w:t>
            </w:r>
          </w:p>
        </w:tc>
      </w:tr>
    </w:tbl>
    <w:p w:rsidR="0050283E" w:rsidRDefault="0050283E" w:rsidP="00900F2C"/>
    <w:p w:rsidR="0006371E" w:rsidRPr="00ED790A" w:rsidRDefault="0006371E" w:rsidP="005354D9">
      <w:pPr>
        <w:pStyle w:val="Heading3"/>
        <w:jc w:val="both"/>
      </w:pPr>
      <w:bookmarkStart w:id="101" w:name="_Toc425418909"/>
      <w:r>
        <w:t>Enzyme immunoassay: Sclerostin</w:t>
      </w:r>
      <w:bookmarkEnd w:id="101"/>
    </w:p>
    <w:p w:rsidR="0006371E" w:rsidRPr="00C32032" w:rsidRDefault="0006371E" w:rsidP="005354D9">
      <w:pPr>
        <w:spacing w:line="360" w:lineRule="auto"/>
        <w:jc w:val="both"/>
        <w:rPr>
          <w:rFonts w:ascii="Arial" w:hAnsi="Arial" w:cs="Arial"/>
        </w:rPr>
      </w:pPr>
      <w:r w:rsidRPr="00C32032">
        <w:rPr>
          <w:rFonts w:ascii="Arial" w:hAnsi="Arial" w:cs="Arial"/>
        </w:rPr>
        <w:t>Sclerostin was measured in serum using a 96-well plate direct-capture enzyme immunoassay from TECOmedical Group (Sissach, Switzerland)</w:t>
      </w:r>
      <w:r w:rsidR="00C13464">
        <w:rPr>
          <w:rFonts w:ascii="Arial" w:hAnsi="Arial" w:cs="Arial"/>
        </w:rPr>
        <w:t>, (Figure 29</w:t>
      </w:r>
      <w:r w:rsidRPr="00C32032">
        <w:rPr>
          <w:rFonts w:ascii="Arial" w:hAnsi="Arial" w:cs="Arial"/>
        </w:rPr>
        <w:t xml:space="preserve">), (appendices 1.4: kit insert). </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t>400µl of wash solution (phosphate buffered saline, 1.0% Tween-20 and 0,035 % proclin 300) was added to each of the 96-wells of the microsassay plate. The wells were precoated with streptavidin and a biotin-conjugated primary polyclonal anti-human sclerostin antibody.</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t xml:space="preserve">Following a 2 minute incubation and a second wash with the wash solution, 25µl of standards, controls or serum were added to each well.  </w:t>
      </w:r>
      <w:r>
        <w:rPr>
          <w:rFonts w:ascii="Arial" w:hAnsi="Arial" w:cs="Arial"/>
        </w:rPr>
        <w:t>Each of these were added in duplicate wells to assess precision and accuracy.</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t xml:space="preserve">50µl of matrix solution containing protein stabilisers and 50µl of horseradish peroxidase (HRP)-conjugated monoclonal anit-humna sclerostin antibody were added to each well. </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t>Following a four hour incubation at room temperature, 100µl of substrate containing tetramethylbenzidine and hydrogen peroxidase was added.</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lastRenderedPageBreak/>
        <w:t>100µl of 4% hydrochloric acid was added to each well to stop the reaction.</w:t>
      </w:r>
    </w:p>
    <w:p w:rsidR="0006371E" w:rsidRPr="00C32032" w:rsidRDefault="0006371E" w:rsidP="005354D9">
      <w:pPr>
        <w:pStyle w:val="ListParagraph"/>
        <w:numPr>
          <w:ilvl w:val="0"/>
          <w:numId w:val="34"/>
        </w:numPr>
        <w:spacing w:line="360" w:lineRule="auto"/>
        <w:jc w:val="both"/>
        <w:rPr>
          <w:rFonts w:ascii="Arial" w:hAnsi="Arial" w:cs="Arial"/>
        </w:rPr>
      </w:pPr>
      <w:r w:rsidRPr="00C32032">
        <w:rPr>
          <w:rFonts w:ascii="Arial" w:hAnsi="Arial" w:cs="Arial"/>
        </w:rPr>
        <w:t>The optical density was measured using (</w:t>
      </w:r>
      <w:r>
        <w:rPr>
          <w:rFonts w:ascii="Arial" w:hAnsi="Arial" w:cs="Arial"/>
        </w:rPr>
        <w:t>name of pl</w:t>
      </w:r>
      <w:r w:rsidR="0081484A">
        <w:rPr>
          <w:rFonts w:ascii="Arial" w:hAnsi="Arial" w:cs="Arial"/>
        </w:rPr>
        <w:t>ate reader) at 450nm, (Figure 35</w:t>
      </w:r>
      <w:r>
        <w:rPr>
          <w:rFonts w:ascii="Arial" w:hAnsi="Arial" w:cs="Arial"/>
        </w:rPr>
        <w:t>).</w:t>
      </w:r>
    </w:p>
    <w:p w:rsidR="001A56DE" w:rsidRDefault="0006371E" w:rsidP="00463032">
      <w:pPr>
        <w:pStyle w:val="ListParagraph"/>
        <w:numPr>
          <w:ilvl w:val="0"/>
          <w:numId w:val="34"/>
        </w:numPr>
        <w:spacing w:line="360" w:lineRule="auto"/>
        <w:jc w:val="both"/>
        <w:rPr>
          <w:rFonts w:ascii="Arial" w:hAnsi="Arial" w:cs="Arial"/>
        </w:rPr>
      </w:pPr>
      <w:r w:rsidRPr="00C32032">
        <w:rPr>
          <w:rFonts w:ascii="Arial" w:hAnsi="Arial" w:cs="Arial"/>
        </w:rPr>
        <w:t>A 4-parameter logistic curve fit (y = (A-D)</w:t>
      </w:r>
      <w:proofErr w:type="gramStart"/>
      <w:r w:rsidRPr="00C32032">
        <w:rPr>
          <w:rFonts w:ascii="Arial" w:hAnsi="Arial" w:cs="Arial"/>
        </w:rPr>
        <w:t>/(</w:t>
      </w:r>
      <w:proofErr w:type="gramEnd"/>
      <w:r w:rsidRPr="00C32032">
        <w:rPr>
          <w:rFonts w:ascii="Arial" w:hAnsi="Arial" w:cs="Arial"/>
        </w:rPr>
        <w:t>1+(x/C)</w:t>
      </w:r>
      <w:r w:rsidRPr="00C32032">
        <w:rPr>
          <w:rFonts w:ascii="Arial" w:hAnsi="Arial" w:cs="Arial"/>
          <w:vertAlign w:val="superscript"/>
        </w:rPr>
        <w:t>B</w:t>
      </w:r>
      <w:r w:rsidRPr="00C32032">
        <w:rPr>
          <w:rFonts w:ascii="Arial" w:hAnsi="Arial" w:cs="Arial"/>
        </w:rPr>
        <w:t>)+D) was drawn using the standards (</w:t>
      </w:r>
      <w:r w:rsidR="001A56DE">
        <w:rPr>
          <w:rFonts w:ascii="Arial" w:hAnsi="Arial" w:cs="Arial"/>
        </w:rPr>
        <w:t>Table 8</w:t>
      </w:r>
      <w:r w:rsidR="00C13464">
        <w:rPr>
          <w:rFonts w:ascii="Arial" w:hAnsi="Arial" w:cs="Arial"/>
        </w:rPr>
        <w:t xml:space="preserve"> and Figure 30</w:t>
      </w:r>
      <w:r>
        <w:rPr>
          <w:rFonts w:ascii="Arial" w:hAnsi="Arial" w:cs="Arial"/>
        </w:rPr>
        <w:t xml:space="preserve"> </w:t>
      </w:r>
      <w:r w:rsidRPr="00C32032">
        <w:rPr>
          <w:rFonts w:ascii="Arial" w:hAnsi="Arial" w:cs="Arial"/>
        </w:rPr>
        <w:t>) and the concentration of sclerostin in the serum was calculated</w:t>
      </w:r>
      <w:r w:rsidR="001A56DE">
        <w:rPr>
          <w:rFonts w:ascii="Arial" w:hAnsi="Arial" w:cs="Arial"/>
        </w:rPr>
        <w:t>, (Table 9)</w:t>
      </w:r>
      <w:r w:rsidRPr="00C32032">
        <w:rPr>
          <w:rFonts w:ascii="Arial" w:hAnsi="Arial" w:cs="Arial"/>
        </w:rPr>
        <w:t xml:space="preserve">. </w:t>
      </w:r>
    </w:p>
    <w:p w:rsidR="00463032" w:rsidRPr="00463032" w:rsidRDefault="00463032" w:rsidP="00463032">
      <w:pPr>
        <w:pStyle w:val="ListParagraph"/>
        <w:spacing w:line="360" w:lineRule="auto"/>
        <w:jc w:val="both"/>
        <w:rPr>
          <w:rFonts w:ascii="Arial" w:hAnsi="Arial" w:cs="Arial"/>
        </w:rPr>
      </w:pPr>
      <w:r>
        <w:rPr>
          <w:noProof/>
          <w:lang w:eastAsia="zh-CN"/>
        </w:rPr>
        <mc:AlternateContent>
          <mc:Choice Requires="wps">
            <w:drawing>
              <wp:anchor distT="0" distB="0" distL="114300" distR="114300" simplePos="0" relativeHeight="253550080" behindDoc="0" locked="0" layoutInCell="1" allowOverlap="1" wp14:anchorId="2F91CD63" wp14:editId="078121D7">
                <wp:simplePos x="0" y="0"/>
                <wp:positionH relativeFrom="column">
                  <wp:posOffset>-59055</wp:posOffset>
                </wp:positionH>
                <wp:positionV relativeFrom="paragraph">
                  <wp:posOffset>221615</wp:posOffset>
                </wp:positionV>
                <wp:extent cx="5476875" cy="1571625"/>
                <wp:effectExtent l="0" t="0" r="28575" b="28575"/>
                <wp:wrapNone/>
                <wp:docPr id="132" name="Rectangle 132"/>
                <wp:cNvGraphicFramePr/>
                <a:graphic xmlns:a="http://schemas.openxmlformats.org/drawingml/2006/main">
                  <a:graphicData uri="http://schemas.microsoft.com/office/word/2010/wordprocessingShape">
                    <wps:wsp>
                      <wps:cNvSpPr/>
                      <wps:spPr>
                        <a:xfrm>
                          <a:off x="0" y="0"/>
                          <a:ext cx="5476875" cy="15716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BD5930" id="Rectangle 132" o:spid="_x0000_s1026" style="position:absolute;margin-left:-4.65pt;margin-top:17.45pt;width:431.25pt;height:123.75pt;z-index:25355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" filled="f" strokecolor="black [3213]"/>
            </w:pict>
          </mc:Fallback>
        </mc:AlternateContent>
      </w:r>
    </w:p>
    <w:p w:rsidR="0006371E" w:rsidRDefault="0006371E" w:rsidP="00900F2C">
      <w:pPr>
        <w:keepNext/>
      </w:pPr>
      <w:r>
        <w:rPr>
          <w:noProof/>
          <w:lang w:eastAsia="zh-CN"/>
        </w:rPr>
        <w:drawing>
          <wp:inline distT="0" distB="0" distL="0" distR="0" wp14:anchorId="17656D14" wp14:editId="2916599B">
            <wp:extent cx="5396582" cy="1362075"/>
            <wp:effectExtent l="0" t="0" r="0" b="0"/>
            <wp:docPr id="18659" name="Picture 1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3587" cy="1381511"/>
                    </a:xfrm>
                    <a:prstGeom prst="rect">
                      <a:avLst/>
                    </a:prstGeom>
                    <a:noFill/>
                  </pic:spPr>
                </pic:pic>
              </a:graphicData>
            </a:graphic>
          </wp:inline>
        </w:drawing>
      </w:r>
    </w:p>
    <w:p w:rsidR="0006371E" w:rsidRPr="00662072" w:rsidRDefault="0006371E" w:rsidP="005354D9">
      <w:pPr>
        <w:pStyle w:val="Caption"/>
        <w:jc w:val="both"/>
        <w:rPr>
          <w:rFonts w:ascii="Arial" w:hAnsi="Arial" w:cs="Arial"/>
          <w:b w:val="0"/>
          <w:color w:val="auto"/>
        </w:rPr>
      </w:pPr>
      <w:bookmarkStart w:id="102" w:name="_Toc425419517"/>
      <w:r w:rsidRPr="00662072">
        <w:rPr>
          <w:rFonts w:ascii="Arial" w:hAnsi="Arial" w:cs="Arial"/>
          <w:b w:val="0"/>
          <w:color w:val="auto"/>
        </w:rPr>
        <w:t xml:space="preserve">Figure </w:t>
      </w:r>
      <w:r w:rsidRPr="00662072">
        <w:rPr>
          <w:rFonts w:ascii="Arial" w:hAnsi="Arial" w:cs="Arial"/>
          <w:b w:val="0"/>
          <w:color w:val="auto"/>
        </w:rPr>
        <w:fldChar w:fldCharType="begin"/>
      </w:r>
      <w:r w:rsidRPr="00662072">
        <w:rPr>
          <w:rFonts w:ascii="Arial" w:hAnsi="Arial" w:cs="Arial"/>
          <w:b w:val="0"/>
          <w:color w:val="auto"/>
        </w:rPr>
        <w:instrText xml:space="preserve"> SEQ Figure \* ARABIC </w:instrText>
      </w:r>
      <w:r w:rsidRPr="00662072">
        <w:rPr>
          <w:rFonts w:ascii="Arial" w:hAnsi="Arial" w:cs="Arial"/>
          <w:b w:val="0"/>
          <w:color w:val="auto"/>
        </w:rPr>
        <w:fldChar w:fldCharType="separate"/>
      </w:r>
      <w:r w:rsidR="0040369A">
        <w:rPr>
          <w:rFonts w:ascii="Arial" w:hAnsi="Arial" w:cs="Arial"/>
          <w:b w:val="0"/>
          <w:noProof/>
          <w:color w:val="auto"/>
        </w:rPr>
        <w:t>28</w:t>
      </w:r>
      <w:r w:rsidRPr="00662072">
        <w:rPr>
          <w:rFonts w:ascii="Arial" w:hAnsi="Arial" w:cs="Arial"/>
          <w:b w:val="0"/>
          <w:noProof/>
          <w:color w:val="auto"/>
        </w:rPr>
        <w:fldChar w:fldCharType="end"/>
      </w:r>
      <w:r w:rsidRPr="00662072">
        <w:rPr>
          <w:rFonts w:ascii="Arial" w:hAnsi="Arial" w:cs="Arial"/>
          <w:b w:val="0"/>
          <w:color w:val="auto"/>
        </w:rPr>
        <w:t>: An overview of the direct-capture ELISA used to quantify levels of circulating sclerostin</w:t>
      </w:r>
      <w:bookmarkEnd w:id="102"/>
    </w:p>
    <w:p w:rsidR="0006371E" w:rsidRDefault="0006371E" w:rsidP="009D3BB6">
      <w:pPr>
        <w:pStyle w:val="Caption"/>
        <w:keepNext/>
        <w:jc w:val="center"/>
      </w:pPr>
      <w:r>
        <w:rPr>
          <w:noProof/>
          <w:lang w:eastAsia="zh-CN"/>
        </w:rPr>
        <w:drawing>
          <wp:inline distT="0" distB="0" distL="0" distR="0" wp14:anchorId="597851C5" wp14:editId="77E5D0D3">
            <wp:extent cx="3457575" cy="2151917"/>
            <wp:effectExtent l="0" t="0" r="0" b="1270"/>
            <wp:docPr id="18527" name="Picture 18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79615" cy="2165634"/>
                    </a:xfrm>
                    <a:prstGeom prst="rect">
                      <a:avLst/>
                    </a:prstGeom>
                    <a:noFill/>
                  </pic:spPr>
                </pic:pic>
              </a:graphicData>
            </a:graphic>
          </wp:inline>
        </w:drawing>
      </w:r>
    </w:p>
    <w:p w:rsidR="0006371E" w:rsidRPr="0061506A" w:rsidRDefault="0006371E" w:rsidP="005354D9">
      <w:pPr>
        <w:pStyle w:val="Caption"/>
        <w:jc w:val="both"/>
        <w:rPr>
          <w:rFonts w:ascii="Arial" w:hAnsi="Arial" w:cs="Arial"/>
          <w:b w:val="0"/>
          <w:color w:val="auto"/>
        </w:rPr>
      </w:pPr>
      <w:bookmarkStart w:id="103" w:name="_Toc425419518"/>
      <w:r w:rsidRPr="0061506A">
        <w:rPr>
          <w:rFonts w:ascii="Arial" w:hAnsi="Arial" w:cs="Arial"/>
          <w:b w:val="0"/>
          <w:color w:val="auto"/>
        </w:rPr>
        <w:t xml:space="preserve">Figure </w:t>
      </w:r>
      <w:r w:rsidRPr="0061506A">
        <w:rPr>
          <w:rFonts w:ascii="Arial" w:hAnsi="Arial" w:cs="Arial"/>
          <w:b w:val="0"/>
          <w:color w:val="auto"/>
        </w:rPr>
        <w:fldChar w:fldCharType="begin"/>
      </w:r>
      <w:r w:rsidRPr="0061506A">
        <w:rPr>
          <w:rFonts w:ascii="Arial" w:hAnsi="Arial" w:cs="Arial"/>
          <w:b w:val="0"/>
          <w:color w:val="auto"/>
        </w:rPr>
        <w:instrText xml:space="preserve"> SEQ Figure \* ARABIC </w:instrText>
      </w:r>
      <w:r w:rsidRPr="0061506A">
        <w:rPr>
          <w:rFonts w:ascii="Arial" w:hAnsi="Arial" w:cs="Arial"/>
          <w:b w:val="0"/>
          <w:color w:val="auto"/>
        </w:rPr>
        <w:fldChar w:fldCharType="separate"/>
      </w:r>
      <w:r w:rsidR="0040369A">
        <w:rPr>
          <w:rFonts w:ascii="Arial" w:hAnsi="Arial" w:cs="Arial"/>
          <w:b w:val="0"/>
          <w:noProof/>
          <w:color w:val="auto"/>
        </w:rPr>
        <w:t>29</w:t>
      </w:r>
      <w:r w:rsidRPr="0061506A">
        <w:rPr>
          <w:rFonts w:ascii="Arial" w:hAnsi="Arial" w:cs="Arial"/>
          <w:b w:val="0"/>
          <w:noProof/>
          <w:color w:val="auto"/>
        </w:rPr>
        <w:fldChar w:fldCharType="end"/>
      </w:r>
      <w:r w:rsidRPr="0061506A">
        <w:rPr>
          <w:rFonts w:ascii="Arial" w:hAnsi="Arial" w:cs="Arial"/>
          <w:b w:val="0"/>
          <w:noProof/>
          <w:color w:val="auto"/>
        </w:rPr>
        <w:t xml:space="preserve">: </w:t>
      </w:r>
      <w:r>
        <w:rPr>
          <w:rFonts w:ascii="Arial" w:hAnsi="Arial" w:cs="Arial"/>
          <w:b w:val="0"/>
          <w:noProof/>
          <w:color w:val="auto"/>
        </w:rPr>
        <w:t xml:space="preserve">An example of a </w:t>
      </w:r>
      <w:r w:rsidRPr="0061506A">
        <w:rPr>
          <w:rFonts w:ascii="Arial" w:hAnsi="Arial" w:cs="Arial"/>
          <w:b w:val="0"/>
          <w:noProof/>
          <w:color w:val="auto"/>
        </w:rPr>
        <w:t>96-well plate ELISA set up showing the colour develpoment of the standards, QC material and subject samples</w:t>
      </w:r>
      <w:bookmarkEnd w:id="103"/>
    </w:p>
    <w:p w:rsidR="0006371E" w:rsidRPr="0061506A" w:rsidRDefault="0006371E" w:rsidP="00900F2C">
      <w:pPr>
        <w:pStyle w:val="Caption"/>
        <w:keepNext/>
        <w:rPr>
          <w:rFonts w:ascii="Arial" w:hAnsi="Arial" w:cs="Arial"/>
          <w:b w:val="0"/>
          <w:color w:val="auto"/>
        </w:rPr>
      </w:pPr>
    </w:p>
    <w:p w:rsidR="0006371E" w:rsidRPr="0061506A" w:rsidRDefault="0006371E" w:rsidP="005354D9">
      <w:pPr>
        <w:pStyle w:val="Caption"/>
        <w:keepNext/>
        <w:jc w:val="both"/>
        <w:rPr>
          <w:rFonts w:ascii="Arial" w:hAnsi="Arial" w:cs="Arial"/>
          <w:b w:val="0"/>
          <w:color w:val="auto"/>
        </w:rPr>
      </w:pPr>
      <w:bookmarkStart w:id="104" w:name="_Toc424043682"/>
      <w:r w:rsidRPr="0061506A">
        <w:rPr>
          <w:rFonts w:ascii="Arial" w:hAnsi="Arial" w:cs="Arial"/>
          <w:b w:val="0"/>
          <w:color w:val="auto"/>
        </w:rPr>
        <w:t xml:space="preserve">Table </w:t>
      </w:r>
      <w:r w:rsidRPr="0061506A">
        <w:rPr>
          <w:rFonts w:ascii="Arial" w:hAnsi="Arial" w:cs="Arial"/>
          <w:b w:val="0"/>
          <w:color w:val="auto"/>
        </w:rPr>
        <w:fldChar w:fldCharType="begin"/>
      </w:r>
      <w:r w:rsidRPr="0061506A">
        <w:rPr>
          <w:rFonts w:ascii="Arial" w:hAnsi="Arial" w:cs="Arial"/>
          <w:b w:val="0"/>
          <w:color w:val="auto"/>
        </w:rPr>
        <w:instrText xml:space="preserve"> SEQ Table \* ARABIC </w:instrText>
      </w:r>
      <w:r w:rsidRPr="0061506A">
        <w:rPr>
          <w:rFonts w:ascii="Arial" w:hAnsi="Arial" w:cs="Arial"/>
          <w:b w:val="0"/>
          <w:color w:val="auto"/>
        </w:rPr>
        <w:fldChar w:fldCharType="separate"/>
      </w:r>
      <w:r w:rsidR="00DD116A">
        <w:rPr>
          <w:rFonts w:ascii="Arial" w:hAnsi="Arial" w:cs="Arial"/>
          <w:b w:val="0"/>
          <w:noProof/>
          <w:color w:val="auto"/>
        </w:rPr>
        <w:t>8</w:t>
      </w:r>
      <w:r w:rsidRPr="0061506A">
        <w:rPr>
          <w:rFonts w:ascii="Arial" w:hAnsi="Arial" w:cs="Arial"/>
          <w:b w:val="0"/>
          <w:noProof/>
          <w:color w:val="auto"/>
        </w:rPr>
        <w:fldChar w:fldCharType="end"/>
      </w:r>
      <w:r w:rsidRPr="0061506A">
        <w:rPr>
          <w:rFonts w:ascii="Arial" w:hAnsi="Arial" w:cs="Arial"/>
          <w:b w:val="0"/>
          <w:color w:val="auto"/>
        </w:rPr>
        <w:t xml:space="preserve">: The absorbance value and sclerostin concentration of the standards. Each standard was measured in duplicate allowing precision to be assessed using the </w:t>
      </w:r>
      <w:r>
        <w:rPr>
          <w:rFonts w:ascii="Arial" w:hAnsi="Arial" w:cs="Arial"/>
          <w:b w:val="0"/>
          <w:color w:val="auto"/>
        </w:rPr>
        <w:t>coefficient of variation ((CV (%)).</w:t>
      </w:r>
      <w:bookmarkEnd w:id="104"/>
    </w:p>
    <w:tbl>
      <w:tblPr>
        <w:tblW w:w="8167" w:type="dxa"/>
        <w:jc w:val="center"/>
        <w:tblLook w:val="04A0" w:firstRow="1" w:lastRow="0" w:firstColumn="1" w:lastColumn="0" w:noHBand="0" w:noVBand="1"/>
      </w:tblPr>
      <w:tblGrid>
        <w:gridCol w:w="810"/>
        <w:gridCol w:w="684"/>
        <w:gridCol w:w="1156"/>
        <w:gridCol w:w="1445"/>
        <w:gridCol w:w="1191"/>
        <w:gridCol w:w="799"/>
        <w:gridCol w:w="1226"/>
        <w:gridCol w:w="856"/>
      </w:tblGrid>
      <w:tr w:rsidR="0006371E" w:rsidRPr="008E13EB" w:rsidTr="00463032">
        <w:trPr>
          <w:trHeight w:val="350"/>
          <w:jc w:val="center"/>
        </w:trPr>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Well ID</w:t>
            </w:r>
          </w:p>
        </w:tc>
        <w:tc>
          <w:tcPr>
            <w:tcW w:w="684"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Well</w:t>
            </w:r>
          </w:p>
        </w:tc>
        <w:tc>
          <w:tcPr>
            <w:tcW w:w="1156"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Expected sclerostin conc, ng/ml</w:t>
            </w:r>
          </w:p>
        </w:tc>
        <w:tc>
          <w:tcPr>
            <w:tcW w:w="1445"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Absorbance, 450nm</w:t>
            </w:r>
          </w:p>
        </w:tc>
        <w:tc>
          <w:tcPr>
            <w:tcW w:w="1191"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Sclerostin conc, ng/ml</w:t>
            </w:r>
          </w:p>
        </w:tc>
        <w:tc>
          <w:tcPr>
            <w:tcW w:w="799"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Mean conc, ng/ml</w:t>
            </w:r>
          </w:p>
        </w:tc>
        <w:tc>
          <w:tcPr>
            <w:tcW w:w="1226"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Standard devaiation</w:t>
            </w:r>
          </w:p>
        </w:tc>
        <w:tc>
          <w:tcPr>
            <w:tcW w:w="856" w:type="dxa"/>
            <w:tcBorders>
              <w:top w:val="single" w:sz="4" w:space="0" w:color="000000"/>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CV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STD1</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A1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0.016</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B1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0.015</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STD2</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C1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0.049</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0.056</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0.058</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0.003</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5.074</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D1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0.051</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0.061</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STD3</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E1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0.2</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0.166</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0.228</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0.23</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0.002</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0.741</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F1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0.2</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0.168</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0.231</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STD4</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G1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0.41</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0.487</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0.484</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0.005</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1.008</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H1</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0.403</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0.481</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STD5</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A2</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1.396</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1.493</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1.506</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0.018</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1.227</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B2</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1.5</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1.418</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1.519</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STD6</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C2</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3</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2.311</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2.959</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2.997</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0.054</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1.796</w:t>
            </w:r>
          </w:p>
        </w:tc>
      </w:tr>
      <w:tr w:rsidR="0006371E" w:rsidRPr="008E13EB" w:rsidTr="00463032">
        <w:trPr>
          <w:trHeight w:val="233"/>
          <w:jc w:val="center"/>
        </w:trPr>
        <w:tc>
          <w:tcPr>
            <w:tcW w:w="810" w:type="dxa"/>
            <w:tcBorders>
              <w:top w:val="nil"/>
              <w:left w:val="single" w:sz="4" w:space="0" w:color="000000"/>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684"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D2</w:t>
            </w:r>
          </w:p>
        </w:tc>
        <w:tc>
          <w:tcPr>
            <w:tcW w:w="11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3</w:t>
            </w:r>
          </w:p>
        </w:tc>
        <w:tc>
          <w:tcPr>
            <w:tcW w:w="1445"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2.344</w:t>
            </w:r>
          </w:p>
        </w:tc>
        <w:tc>
          <w:tcPr>
            <w:tcW w:w="1191"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3.035</w:t>
            </w:r>
          </w:p>
        </w:tc>
        <w:tc>
          <w:tcPr>
            <w:tcW w:w="799"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122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c>
          <w:tcPr>
            <w:tcW w:w="856" w:type="dxa"/>
            <w:tcBorders>
              <w:top w:val="nil"/>
              <w:left w:val="nil"/>
              <w:bottom w:val="single" w:sz="4" w:space="0" w:color="000000"/>
              <w:right w:val="single" w:sz="4" w:space="0" w:color="000000"/>
            </w:tcBorders>
            <w:shd w:val="clear" w:color="auto" w:fill="auto"/>
            <w:vAlign w:val="center"/>
            <w:hideMark/>
          </w:tcPr>
          <w:p w:rsidR="0006371E" w:rsidRPr="008E13EB" w:rsidRDefault="0006371E" w:rsidP="00900F2C">
            <w:pPr>
              <w:spacing w:after="0" w:line="240" w:lineRule="auto"/>
              <w:rPr>
                <w:rFonts w:ascii="Arial" w:eastAsia="Times New Roman" w:hAnsi="Arial" w:cs="Arial"/>
                <w:color w:val="000000"/>
                <w:sz w:val="16"/>
                <w:szCs w:val="16"/>
                <w:lang w:eastAsia="en-GB"/>
              </w:rPr>
            </w:pPr>
            <w:r w:rsidRPr="008E13EB">
              <w:rPr>
                <w:rFonts w:ascii="Arial" w:eastAsia="Times New Roman" w:hAnsi="Arial" w:cs="Arial"/>
                <w:color w:val="000000"/>
                <w:sz w:val="16"/>
                <w:szCs w:val="16"/>
                <w:lang w:eastAsia="en-GB"/>
              </w:rPr>
              <w:t> </w:t>
            </w:r>
          </w:p>
        </w:tc>
      </w:tr>
    </w:tbl>
    <w:p w:rsidR="0006371E" w:rsidRPr="008E13EB" w:rsidRDefault="0006371E" w:rsidP="00900F2C"/>
    <w:p w:rsidR="0006371E" w:rsidRDefault="0006371E" w:rsidP="009D3BB6">
      <w:pPr>
        <w:keepNext/>
        <w:jc w:val="center"/>
      </w:pPr>
      <w:r>
        <w:rPr>
          <w:noProof/>
          <w:lang w:eastAsia="zh-CN"/>
        </w:rPr>
        <w:lastRenderedPageBreak/>
        <w:drawing>
          <wp:inline distT="0" distB="0" distL="0" distR="0" wp14:anchorId="46891BD3" wp14:editId="14FD3A28">
            <wp:extent cx="3908107" cy="2501843"/>
            <wp:effectExtent l="0" t="0" r="0" b="0"/>
            <wp:docPr id="18653" name="Picture 1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18566" cy="2508539"/>
                    </a:xfrm>
                    <a:prstGeom prst="rect">
                      <a:avLst/>
                    </a:prstGeom>
                    <a:noFill/>
                  </pic:spPr>
                </pic:pic>
              </a:graphicData>
            </a:graphic>
          </wp:inline>
        </w:drawing>
      </w:r>
    </w:p>
    <w:p w:rsidR="0006371E" w:rsidRPr="0061506A" w:rsidRDefault="0006371E" w:rsidP="005354D9">
      <w:pPr>
        <w:pStyle w:val="Caption"/>
        <w:jc w:val="both"/>
        <w:rPr>
          <w:rFonts w:ascii="Arial" w:hAnsi="Arial" w:cs="Arial"/>
          <w:b w:val="0"/>
          <w:color w:val="auto"/>
        </w:rPr>
      </w:pPr>
      <w:bookmarkStart w:id="105" w:name="_Toc425419519"/>
      <w:r w:rsidRPr="0061506A">
        <w:rPr>
          <w:rFonts w:ascii="Arial" w:hAnsi="Arial" w:cs="Arial"/>
          <w:b w:val="0"/>
          <w:color w:val="auto"/>
        </w:rPr>
        <w:t xml:space="preserve">Figure </w:t>
      </w:r>
      <w:r w:rsidRPr="0061506A">
        <w:rPr>
          <w:rFonts w:ascii="Arial" w:hAnsi="Arial" w:cs="Arial"/>
          <w:b w:val="0"/>
          <w:color w:val="auto"/>
        </w:rPr>
        <w:fldChar w:fldCharType="begin"/>
      </w:r>
      <w:r w:rsidRPr="0061506A">
        <w:rPr>
          <w:rFonts w:ascii="Arial" w:hAnsi="Arial" w:cs="Arial"/>
          <w:b w:val="0"/>
          <w:color w:val="auto"/>
        </w:rPr>
        <w:instrText xml:space="preserve"> SEQ Figure \* ARABIC </w:instrText>
      </w:r>
      <w:r w:rsidRPr="0061506A">
        <w:rPr>
          <w:rFonts w:ascii="Arial" w:hAnsi="Arial" w:cs="Arial"/>
          <w:b w:val="0"/>
          <w:color w:val="auto"/>
        </w:rPr>
        <w:fldChar w:fldCharType="separate"/>
      </w:r>
      <w:r w:rsidR="0040369A">
        <w:rPr>
          <w:rFonts w:ascii="Arial" w:hAnsi="Arial" w:cs="Arial"/>
          <w:b w:val="0"/>
          <w:noProof/>
          <w:color w:val="auto"/>
        </w:rPr>
        <w:t>30</w:t>
      </w:r>
      <w:r w:rsidRPr="0061506A">
        <w:rPr>
          <w:rFonts w:ascii="Arial" w:hAnsi="Arial" w:cs="Arial"/>
          <w:b w:val="0"/>
          <w:noProof/>
          <w:color w:val="auto"/>
        </w:rPr>
        <w:fldChar w:fldCharType="end"/>
      </w:r>
      <w:r w:rsidRPr="0061506A">
        <w:rPr>
          <w:rFonts w:ascii="Arial" w:hAnsi="Arial" w:cs="Arial"/>
          <w:b w:val="0"/>
          <w:noProof/>
          <w:color w:val="auto"/>
        </w:rPr>
        <w:t xml:space="preserve">: An example of a 4-parametre </w:t>
      </w:r>
      <w:r>
        <w:rPr>
          <w:rFonts w:ascii="Arial" w:hAnsi="Arial" w:cs="Arial"/>
          <w:b w:val="0"/>
          <w:noProof/>
          <w:color w:val="auto"/>
        </w:rPr>
        <w:t xml:space="preserve">logistic </w:t>
      </w:r>
      <w:r w:rsidRPr="0061506A">
        <w:rPr>
          <w:rFonts w:ascii="Arial" w:hAnsi="Arial" w:cs="Arial"/>
          <w:b w:val="0"/>
          <w:noProof/>
          <w:color w:val="auto"/>
        </w:rPr>
        <w:t>standard curve produced from the data in table 6</w:t>
      </w:r>
      <w:bookmarkEnd w:id="105"/>
    </w:p>
    <w:p w:rsidR="0006371E" w:rsidRDefault="0006371E" w:rsidP="005354D9">
      <w:pPr>
        <w:pStyle w:val="Caption"/>
        <w:keepNext/>
        <w:jc w:val="both"/>
        <w:rPr>
          <w:rFonts w:ascii="Arial" w:hAnsi="Arial" w:cs="Arial"/>
          <w:b w:val="0"/>
          <w:color w:val="auto"/>
        </w:rPr>
      </w:pPr>
    </w:p>
    <w:p w:rsidR="0006371E" w:rsidRPr="0061506A" w:rsidRDefault="0006371E" w:rsidP="005354D9">
      <w:pPr>
        <w:pStyle w:val="Caption"/>
        <w:keepNext/>
        <w:jc w:val="both"/>
        <w:rPr>
          <w:rFonts w:ascii="Arial" w:hAnsi="Arial" w:cs="Arial"/>
          <w:b w:val="0"/>
          <w:color w:val="auto"/>
        </w:rPr>
      </w:pPr>
      <w:bookmarkStart w:id="106" w:name="_Toc424043683"/>
      <w:r w:rsidRPr="0061506A">
        <w:rPr>
          <w:rFonts w:ascii="Arial" w:hAnsi="Arial" w:cs="Arial"/>
          <w:b w:val="0"/>
          <w:color w:val="auto"/>
        </w:rPr>
        <w:t xml:space="preserve">Table </w:t>
      </w:r>
      <w:r w:rsidRPr="0061506A">
        <w:rPr>
          <w:rFonts w:ascii="Arial" w:hAnsi="Arial" w:cs="Arial"/>
          <w:b w:val="0"/>
          <w:color w:val="auto"/>
        </w:rPr>
        <w:fldChar w:fldCharType="begin"/>
      </w:r>
      <w:r w:rsidRPr="0061506A">
        <w:rPr>
          <w:rFonts w:ascii="Arial" w:hAnsi="Arial" w:cs="Arial"/>
          <w:b w:val="0"/>
          <w:color w:val="auto"/>
        </w:rPr>
        <w:instrText xml:space="preserve"> SEQ Table \* ARABIC </w:instrText>
      </w:r>
      <w:r w:rsidRPr="0061506A">
        <w:rPr>
          <w:rFonts w:ascii="Arial" w:hAnsi="Arial" w:cs="Arial"/>
          <w:b w:val="0"/>
          <w:color w:val="auto"/>
        </w:rPr>
        <w:fldChar w:fldCharType="separate"/>
      </w:r>
      <w:r w:rsidR="00DD116A">
        <w:rPr>
          <w:rFonts w:ascii="Arial" w:hAnsi="Arial" w:cs="Arial"/>
          <w:b w:val="0"/>
          <w:noProof/>
          <w:color w:val="auto"/>
        </w:rPr>
        <w:t>9</w:t>
      </w:r>
      <w:r w:rsidRPr="0061506A">
        <w:rPr>
          <w:rFonts w:ascii="Arial" w:hAnsi="Arial" w:cs="Arial"/>
          <w:b w:val="0"/>
          <w:noProof/>
          <w:color w:val="auto"/>
        </w:rPr>
        <w:fldChar w:fldCharType="end"/>
      </w:r>
      <w:r w:rsidRPr="0061506A">
        <w:rPr>
          <w:rFonts w:ascii="Arial" w:hAnsi="Arial" w:cs="Arial"/>
          <w:b w:val="0"/>
          <w:noProof/>
          <w:color w:val="auto"/>
        </w:rPr>
        <w:t>: The absorbance values and sclerostin concen</w:t>
      </w:r>
      <w:r w:rsidR="00CA6772">
        <w:rPr>
          <w:rFonts w:ascii="Arial" w:hAnsi="Arial" w:cs="Arial"/>
          <w:b w:val="0"/>
          <w:noProof/>
          <w:color w:val="auto"/>
        </w:rPr>
        <w:t>trations in subjects (SPL1-SPL36</w:t>
      </w:r>
      <w:r w:rsidRPr="0061506A">
        <w:rPr>
          <w:rFonts w:ascii="Arial" w:hAnsi="Arial" w:cs="Arial"/>
          <w:b w:val="0"/>
          <w:noProof/>
          <w:color w:val="auto"/>
        </w:rPr>
        <w:t xml:space="preserve">) from one 96-well plae ELISA. </w:t>
      </w:r>
      <w:r w:rsidRPr="0061506A">
        <w:rPr>
          <w:rFonts w:ascii="Arial" w:hAnsi="Arial" w:cs="Arial"/>
          <w:b w:val="0"/>
          <w:color w:val="auto"/>
        </w:rPr>
        <w:t>Serum from each subject was measured in duplicate allowing precision to be assessed using the CV (%).</w:t>
      </w:r>
      <w:bookmarkEnd w:id="106"/>
    </w:p>
    <w:tbl>
      <w:tblPr>
        <w:tblW w:w="7820" w:type="dxa"/>
        <w:tblInd w:w="106" w:type="dxa"/>
        <w:tblLook w:val="04A0" w:firstRow="1" w:lastRow="0" w:firstColumn="1" w:lastColumn="0" w:noHBand="0" w:noVBand="1"/>
      </w:tblPr>
      <w:tblGrid>
        <w:gridCol w:w="1091"/>
        <w:gridCol w:w="1076"/>
        <w:gridCol w:w="1281"/>
        <w:gridCol w:w="1101"/>
        <w:gridCol w:w="1086"/>
        <w:gridCol w:w="1087"/>
        <w:gridCol w:w="1098"/>
      </w:tblGrid>
      <w:tr w:rsidR="0006371E" w:rsidRPr="007B087B" w:rsidTr="0006371E">
        <w:trPr>
          <w:trHeight w:val="262"/>
        </w:trPr>
        <w:tc>
          <w:tcPr>
            <w:tcW w:w="10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Sample ID</w:t>
            </w:r>
          </w:p>
        </w:tc>
        <w:tc>
          <w:tcPr>
            <w:tcW w:w="1076"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Well</w:t>
            </w:r>
          </w:p>
        </w:tc>
        <w:tc>
          <w:tcPr>
            <w:tcW w:w="1281"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Absorbance, 450 nm</w:t>
            </w:r>
          </w:p>
        </w:tc>
        <w:tc>
          <w:tcPr>
            <w:tcW w:w="1101"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Sclerostin conc, ng/ml</w:t>
            </w:r>
          </w:p>
        </w:tc>
        <w:tc>
          <w:tcPr>
            <w:tcW w:w="1086"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Mean sclerosin conc, ng/ml</w:t>
            </w:r>
          </w:p>
        </w:tc>
        <w:tc>
          <w:tcPr>
            <w:tcW w:w="1087"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Standard devaiation</w:t>
            </w:r>
          </w:p>
        </w:tc>
        <w:tc>
          <w:tcPr>
            <w:tcW w:w="1098" w:type="dxa"/>
            <w:tcBorders>
              <w:top w:val="single" w:sz="4" w:space="0" w:color="000000"/>
              <w:left w:val="nil"/>
              <w:bottom w:val="single" w:sz="4" w:space="0" w:color="000000"/>
              <w:right w:val="single" w:sz="4" w:space="0" w:color="000000"/>
            </w:tcBorders>
            <w:shd w:val="clear" w:color="auto" w:fill="auto"/>
            <w:vAlign w:val="center"/>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CV (%)</w:t>
            </w:r>
          </w:p>
        </w:tc>
      </w:tr>
      <w:tr w:rsidR="0006371E" w:rsidRPr="007B087B" w:rsidTr="0006371E">
        <w:trPr>
          <w:trHeight w:val="262"/>
        </w:trPr>
        <w:tc>
          <w:tcPr>
            <w:tcW w:w="109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w:t>
            </w:r>
          </w:p>
        </w:tc>
        <w:tc>
          <w:tcPr>
            <w:tcW w:w="1076"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C3</w:t>
            </w:r>
          </w:p>
        </w:tc>
        <w:tc>
          <w:tcPr>
            <w:tcW w:w="1281"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0.402</w:t>
            </w:r>
          </w:p>
        </w:tc>
        <w:tc>
          <w:tcPr>
            <w:tcW w:w="1101"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0.467</w:t>
            </w:r>
          </w:p>
        </w:tc>
        <w:tc>
          <w:tcPr>
            <w:tcW w:w="1086"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0.467</w:t>
            </w:r>
          </w:p>
        </w:tc>
        <w:tc>
          <w:tcPr>
            <w:tcW w:w="1087"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single" w:sz="4" w:space="0" w:color="000000"/>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0.289</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D3</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0.404</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E3</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0.421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0.485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0.483</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0.417</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F3</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0.418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0.482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G3</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0.506</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0.527</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H3</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0.446</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SPL4</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0.385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0.446</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0.005</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1.222</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0.377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SPL5</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0.395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0.457</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0.004</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0.891</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0.389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SPL6</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0.412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0.475</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0.426</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SPL7</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0.435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0.494</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0.005</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1.085</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H4</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0.427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SPL8</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0.465</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0.006</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1.309</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0.396</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SPL9</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0.429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0.491</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0.41</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0.426</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0.489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SPL10</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0.385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0.452</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0.602</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0.389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SPL11</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0.376</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0.446</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0.006</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1.376</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H5</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0.385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SPL12</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0.518</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0.007</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1.413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SPL13</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0.467</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0.464</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0.729</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0.397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SPL14</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0.125</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SPL15</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0.393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0.462</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0.005</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1.174</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H6</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lastRenderedPageBreak/>
              <w:t>SPL16</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0.513</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0.13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SPL17</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0.006</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1.128</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0.464</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SPL18</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0.414</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0.476</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0.709</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SPL19</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0.507</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0.509</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0.393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H7</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0.448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SPL20</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0.561</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SPL21</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0.522</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0.009</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1.782</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0.454</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SPL22</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0.519</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0.006</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1.154</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0.453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SPL23</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0.554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0.562</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0.011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1.879</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H8</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0.511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SPL24</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0.462</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0.524</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0.127</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0.463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0.524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SPL25</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0.433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0.495</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0.406</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SPL26</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0.507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0.561</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0.006</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1.058</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0.498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0.557</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SPL27</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0.479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0.539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0.54</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0.245</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H9</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0.481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0.541</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SPL28</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0.741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0.783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0.778</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0.007</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0.847</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0.731</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0.773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SPL29</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0.639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0.685</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0.004</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0.573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0.633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SPL30</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0.749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0.79</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0.792</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0.333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0.753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0.794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SPL31</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0.695</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0.002</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0.283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H10</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SPL32</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0.007</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1.043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0.636</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0.685</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SPL33</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C11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0.679</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0.001</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0.193</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D11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0.628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0.678</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SPL34</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E11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0.644</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0.694</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0.003</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0.377</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F11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0.648</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SPL35</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G11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0.717</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0.76</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0.757</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0.005</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0.695</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H11</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0.709</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0.753</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SPL36</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A12</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0.635</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0.684</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0.688</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0.005</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0.761</w:t>
            </w:r>
          </w:p>
        </w:tc>
      </w:tr>
      <w:tr w:rsidR="0006371E" w:rsidRPr="007B087B" w:rsidTr="0006371E">
        <w:trPr>
          <w:trHeight w:val="262"/>
        </w:trPr>
        <w:tc>
          <w:tcPr>
            <w:tcW w:w="1091" w:type="dxa"/>
            <w:tcBorders>
              <w:top w:val="nil"/>
              <w:left w:val="single" w:sz="4" w:space="0" w:color="000000"/>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7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B12</w:t>
            </w:r>
          </w:p>
        </w:tc>
        <w:tc>
          <w:tcPr>
            <w:tcW w:w="128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0.643</w:t>
            </w:r>
          </w:p>
        </w:tc>
        <w:tc>
          <w:tcPr>
            <w:tcW w:w="1101"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0.692</w:t>
            </w:r>
          </w:p>
        </w:tc>
        <w:tc>
          <w:tcPr>
            <w:tcW w:w="1086"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87"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c>
          <w:tcPr>
            <w:tcW w:w="1098" w:type="dxa"/>
            <w:tcBorders>
              <w:top w:val="nil"/>
              <w:left w:val="nil"/>
              <w:bottom w:val="single" w:sz="4" w:space="0" w:color="000000"/>
              <w:right w:val="single" w:sz="4" w:space="0" w:color="000000"/>
            </w:tcBorders>
            <w:shd w:val="clear" w:color="auto" w:fill="auto"/>
            <w:vAlign w:val="center"/>
            <w:hideMark/>
          </w:tcPr>
          <w:p w:rsidR="0006371E" w:rsidRPr="007B087B" w:rsidRDefault="0006371E" w:rsidP="00900F2C">
            <w:pPr>
              <w:spacing w:after="0" w:line="240" w:lineRule="auto"/>
              <w:rPr>
                <w:rFonts w:ascii="Arial" w:eastAsia="Times New Roman" w:hAnsi="Arial" w:cs="Arial"/>
                <w:color w:val="000000"/>
                <w:sz w:val="16"/>
                <w:szCs w:val="16"/>
                <w:lang w:eastAsia="en-GB"/>
              </w:rPr>
            </w:pPr>
            <w:r w:rsidRPr="007B087B">
              <w:rPr>
                <w:rFonts w:ascii="Arial" w:eastAsia="Times New Roman" w:hAnsi="Arial" w:cs="Arial"/>
                <w:color w:val="000000"/>
                <w:sz w:val="16"/>
                <w:szCs w:val="16"/>
                <w:lang w:eastAsia="en-GB"/>
              </w:rPr>
              <w:t> </w:t>
            </w:r>
          </w:p>
        </w:tc>
      </w:tr>
    </w:tbl>
    <w:p w:rsidR="0006371E" w:rsidRDefault="0006371E" w:rsidP="00900F2C">
      <w:pPr>
        <w:pStyle w:val="Heading4"/>
      </w:pPr>
    </w:p>
    <w:p w:rsidR="0006371E" w:rsidRDefault="0006371E" w:rsidP="005354D9">
      <w:pPr>
        <w:pStyle w:val="Heading4"/>
        <w:jc w:val="both"/>
      </w:pPr>
      <w:r>
        <w:t>Sclerostin assay performance and validation</w:t>
      </w:r>
    </w:p>
    <w:p w:rsidR="0006371E" w:rsidRPr="00C32032" w:rsidRDefault="0006371E" w:rsidP="003B725E">
      <w:pPr>
        <w:spacing w:line="360" w:lineRule="auto"/>
        <w:jc w:val="both"/>
        <w:rPr>
          <w:rFonts w:ascii="Arial" w:hAnsi="Arial" w:cs="Arial"/>
        </w:rPr>
      </w:pPr>
      <w:r w:rsidRPr="00C32032">
        <w:rPr>
          <w:rFonts w:ascii="Arial" w:hAnsi="Arial" w:cs="Arial"/>
        </w:rPr>
        <w:t>The performance of the sclerostin TECO® ELISA has previously been validated by TECOmedical Group and m</w:t>
      </w:r>
      <w:r w:rsidR="00041C8C">
        <w:rPr>
          <w:rFonts w:ascii="Arial" w:hAnsi="Arial" w:cs="Arial"/>
        </w:rPr>
        <w:t xml:space="preserve">ore recently by Costa AG et al, </w:t>
      </w:r>
      <w:r w:rsidR="00041C8C">
        <w:rPr>
          <w:rFonts w:ascii="Arial" w:hAnsi="Arial" w:cs="Arial"/>
        </w:rPr>
        <w:fldChar w:fldCharType="begin">
          <w:fldData xml:space="preserve">PEVuZE5vdGU+PENpdGU+PEF1dGhvcj5Db3N0YTwvQXV0aG9yPjxZZWFyPjIwMTQ8L1llYXI+PFJl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PEVuZE5vdGU+PENpdGU+PEF1dGhvcj5Db3N0YTwvQXV0aG9yPjxZZWFyPjIwMTQ8L1llYXI+PFJl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041C8C">
        <w:rPr>
          <w:rFonts w:ascii="Arial" w:hAnsi="Arial" w:cs="Arial"/>
        </w:rPr>
      </w:r>
      <w:r w:rsidR="00041C8C">
        <w:rPr>
          <w:rFonts w:ascii="Arial" w:hAnsi="Arial" w:cs="Arial"/>
        </w:rPr>
        <w:fldChar w:fldCharType="separate"/>
      </w:r>
      <w:r w:rsidR="00B64C0F">
        <w:rPr>
          <w:rFonts w:ascii="Arial" w:hAnsi="Arial" w:cs="Arial"/>
          <w:noProof/>
        </w:rPr>
        <w:t>(</w:t>
      </w:r>
      <w:hyperlink w:anchor="_ENREF_351" w:tooltip="Costa, 2014 #409" w:history="1">
        <w:r w:rsidR="003B725E">
          <w:rPr>
            <w:rFonts w:ascii="Arial" w:hAnsi="Arial" w:cs="Arial"/>
            <w:noProof/>
          </w:rPr>
          <w:t>351</w:t>
        </w:r>
      </w:hyperlink>
      <w:r w:rsidR="00B64C0F">
        <w:rPr>
          <w:rFonts w:ascii="Arial" w:hAnsi="Arial" w:cs="Arial"/>
          <w:noProof/>
        </w:rPr>
        <w:t>)</w:t>
      </w:r>
      <w:r w:rsidR="00041C8C">
        <w:rPr>
          <w:rFonts w:ascii="Arial" w:hAnsi="Arial" w:cs="Arial"/>
        </w:rPr>
        <w:fldChar w:fldCharType="end"/>
      </w:r>
      <w:r w:rsidRPr="00C32032">
        <w:rPr>
          <w:rFonts w:ascii="Arial" w:hAnsi="Arial" w:cs="Arial"/>
        </w:rPr>
        <w:t xml:space="preserve">. The detection range was 0.008 to 3.34 ng/ml and the lower limit of detection was 0.008 ng/ml. With regards to the stability of sclerostin TECOmedical Group reported that it was stable in serum stored at -80°C for greater than 2 years. However, I was unable to assess this myself </w:t>
      </w:r>
      <w:r w:rsidRPr="00C32032">
        <w:rPr>
          <w:rFonts w:ascii="Arial" w:hAnsi="Arial" w:cs="Arial"/>
        </w:rPr>
        <w:lastRenderedPageBreak/>
        <w:t xml:space="preserve">(as for the BTMs) because I measured sclerostin at one time over a period three months only.  </w:t>
      </w:r>
    </w:p>
    <w:p w:rsidR="0006371E" w:rsidRPr="00C32032" w:rsidRDefault="0006371E" w:rsidP="005354D9">
      <w:pPr>
        <w:spacing w:line="360" w:lineRule="auto"/>
        <w:jc w:val="both"/>
        <w:rPr>
          <w:rFonts w:ascii="Arial" w:hAnsi="Arial" w:cs="Arial"/>
        </w:rPr>
      </w:pPr>
      <w:r w:rsidRPr="00C32032">
        <w:rPr>
          <w:rFonts w:ascii="Arial" w:hAnsi="Arial" w:cs="Arial"/>
        </w:rPr>
        <w:t>In order to confirm that the performance of the satisfactory in our laboratory environment I carried out additional validations:</w:t>
      </w:r>
    </w:p>
    <w:p w:rsidR="0006371E" w:rsidRDefault="0006371E" w:rsidP="005354D9">
      <w:pPr>
        <w:pStyle w:val="Heading4"/>
        <w:jc w:val="both"/>
      </w:pPr>
      <w:r>
        <w:t>Sclerostin assay precision</w:t>
      </w:r>
    </w:p>
    <w:p w:rsidR="0006371E" w:rsidRDefault="0006371E" w:rsidP="003B725E">
      <w:pPr>
        <w:spacing w:line="360" w:lineRule="auto"/>
        <w:jc w:val="both"/>
      </w:pPr>
      <w:r>
        <w:rPr>
          <w:rFonts w:ascii="Arial" w:hAnsi="Arial" w:cs="Arial"/>
        </w:rPr>
        <w:t xml:space="preserve">I assessed the precision of the sclerostin </w:t>
      </w:r>
      <w:r w:rsidRPr="00452AEA">
        <w:rPr>
          <w:rFonts w:ascii="Arial" w:hAnsi="Arial" w:cs="Arial"/>
        </w:rPr>
        <w:t>assay in accordance with the CLSI EP-5A2: Evaluation of precision performance of quantitative measurement methods</w:t>
      </w:r>
      <w:r w:rsidR="00041C8C">
        <w:rPr>
          <w:rFonts w:ascii="Arial" w:hAnsi="Arial" w:cs="Arial"/>
        </w:rPr>
        <w:t xml:space="preserve">, </w:t>
      </w:r>
      <w:r w:rsidR="00041C8C">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041C8C">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041C8C">
        <w:rPr>
          <w:rFonts w:ascii="Arial" w:hAnsi="Arial" w:cs="Arial"/>
        </w:rPr>
        <w:fldChar w:fldCharType="end"/>
      </w:r>
      <w:r w:rsidRPr="00452AEA">
        <w:rPr>
          <w:rFonts w:ascii="Arial" w:hAnsi="Arial" w:cs="Arial"/>
        </w:rPr>
        <w:t xml:space="preserve">. </w:t>
      </w:r>
      <w:r>
        <w:rPr>
          <w:rFonts w:ascii="Arial" w:hAnsi="Arial" w:cs="Arial"/>
        </w:rPr>
        <w:t>I used three</w:t>
      </w:r>
      <w:r w:rsidRPr="00452AEA">
        <w:rPr>
          <w:rFonts w:ascii="Arial" w:hAnsi="Arial" w:cs="Arial"/>
        </w:rPr>
        <w:t xml:space="preserve"> quality control materials of different concentrations </w:t>
      </w:r>
      <w:r>
        <w:rPr>
          <w:rFonts w:ascii="Arial" w:hAnsi="Arial" w:cs="Arial"/>
        </w:rPr>
        <w:t>and</w:t>
      </w:r>
      <w:r w:rsidRPr="00452AEA">
        <w:rPr>
          <w:rFonts w:ascii="Arial" w:hAnsi="Arial" w:cs="Arial"/>
        </w:rPr>
        <w:t xml:space="preserve"> measured </w:t>
      </w:r>
      <w:r>
        <w:rPr>
          <w:rFonts w:ascii="Arial" w:hAnsi="Arial" w:cs="Arial"/>
        </w:rPr>
        <w:t xml:space="preserve">these </w:t>
      </w:r>
      <w:r w:rsidRPr="00452AEA">
        <w:rPr>
          <w:rFonts w:ascii="Arial" w:hAnsi="Arial" w:cs="Arial"/>
        </w:rPr>
        <w:t>once per day over a period of 20 days. T</w:t>
      </w:r>
      <w:r>
        <w:rPr>
          <w:rFonts w:ascii="Arial" w:hAnsi="Arial" w:cs="Arial"/>
        </w:rPr>
        <w:t>he CV (%)</w:t>
      </w:r>
      <w:r w:rsidRPr="00452AEA">
        <w:rPr>
          <w:rFonts w:ascii="Arial" w:hAnsi="Arial" w:cs="Arial"/>
        </w:rPr>
        <w:t xml:space="preserve"> was calculated and expressed as a percentage, </w:t>
      </w:r>
      <w:r>
        <w:rPr>
          <w:rFonts w:ascii="Arial" w:hAnsi="Arial" w:cs="Arial"/>
        </w:rPr>
        <w:t>(</w:t>
      </w:r>
      <w:r w:rsidRPr="00452AEA">
        <w:rPr>
          <w:rFonts w:ascii="Arial" w:hAnsi="Arial" w:cs="Arial"/>
        </w:rPr>
        <w:t>Table</w:t>
      </w:r>
      <w:r w:rsidR="00041C8C">
        <w:rPr>
          <w:rFonts w:ascii="Arial" w:hAnsi="Arial" w:cs="Arial"/>
        </w:rPr>
        <w:t xml:space="preserve"> 10</w:t>
      </w:r>
      <w:r>
        <w:rPr>
          <w:rFonts w:ascii="Arial" w:hAnsi="Arial" w:cs="Arial"/>
        </w:rPr>
        <w:t>)</w:t>
      </w:r>
      <w:r w:rsidRPr="00452AEA">
        <w:rPr>
          <w:rFonts w:ascii="Arial" w:hAnsi="Arial" w:cs="Arial"/>
        </w:rPr>
        <w:t>. A CV of less than</w:t>
      </w:r>
      <w:r>
        <w:rPr>
          <w:rFonts w:ascii="Arial" w:hAnsi="Arial" w:cs="Arial"/>
        </w:rPr>
        <w:t xml:space="preserve"> or equal to</w:t>
      </w:r>
      <w:r w:rsidRPr="00452AEA">
        <w:rPr>
          <w:rFonts w:ascii="Arial" w:hAnsi="Arial" w:cs="Arial"/>
        </w:rPr>
        <w:t xml:space="preserve"> 10% was acceptable</w:t>
      </w:r>
      <w:r>
        <w:t>.</w:t>
      </w:r>
    </w:p>
    <w:p w:rsidR="0006371E" w:rsidRPr="00DF32E6" w:rsidRDefault="0006371E" w:rsidP="005354D9">
      <w:pPr>
        <w:pStyle w:val="Caption"/>
        <w:keepNext/>
        <w:jc w:val="both"/>
        <w:rPr>
          <w:rFonts w:ascii="Arial" w:hAnsi="Arial" w:cs="Arial"/>
          <w:b w:val="0"/>
          <w:color w:val="auto"/>
        </w:rPr>
      </w:pPr>
      <w:bookmarkStart w:id="107" w:name="_Toc424043684"/>
      <w:r w:rsidRPr="00DF32E6">
        <w:rPr>
          <w:rFonts w:ascii="Arial" w:hAnsi="Arial" w:cs="Arial"/>
          <w:b w:val="0"/>
          <w:color w:val="auto"/>
        </w:rPr>
        <w:t xml:space="preserve">Table </w:t>
      </w:r>
      <w:r w:rsidRPr="00DF32E6">
        <w:rPr>
          <w:rFonts w:ascii="Arial" w:hAnsi="Arial" w:cs="Arial"/>
          <w:b w:val="0"/>
          <w:color w:val="auto"/>
        </w:rPr>
        <w:fldChar w:fldCharType="begin"/>
      </w:r>
      <w:r w:rsidRPr="00DF32E6">
        <w:rPr>
          <w:rFonts w:ascii="Arial" w:hAnsi="Arial" w:cs="Arial"/>
          <w:b w:val="0"/>
          <w:color w:val="auto"/>
        </w:rPr>
        <w:instrText xml:space="preserve"> SEQ Table \* ARABIC </w:instrText>
      </w:r>
      <w:r w:rsidRPr="00DF32E6">
        <w:rPr>
          <w:rFonts w:ascii="Arial" w:hAnsi="Arial" w:cs="Arial"/>
          <w:b w:val="0"/>
          <w:color w:val="auto"/>
        </w:rPr>
        <w:fldChar w:fldCharType="separate"/>
      </w:r>
      <w:r w:rsidR="00DD116A">
        <w:rPr>
          <w:rFonts w:ascii="Arial" w:hAnsi="Arial" w:cs="Arial"/>
          <w:b w:val="0"/>
          <w:noProof/>
          <w:color w:val="auto"/>
        </w:rPr>
        <w:t>10</w:t>
      </w:r>
      <w:r w:rsidRPr="00DF32E6">
        <w:rPr>
          <w:rFonts w:ascii="Arial" w:hAnsi="Arial" w:cs="Arial"/>
          <w:b w:val="0"/>
          <w:color w:val="auto"/>
        </w:rPr>
        <w:fldChar w:fldCharType="end"/>
      </w:r>
      <w:r w:rsidRPr="00DF32E6">
        <w:rPr>
          <w:rFonts w:ascii="Arial" w:hAnsi="Arial" w:cs="Arial"/>
          <w:b w:val="0"/>
          <w:color w:val="auto"/>
        </w:rPr>
        <w:t>: The inter assay preci</w:t>
      </w:r>
      <w:r>
        <w:rPr>
          <w:rFonts w:ascii="Arial" w:hAnsi="Arial" w:cs="Arial"/>
          <w:b w:val="0"/>
          <w:color w:val="auto"/>
        </w:rPr>
        <w:t>sion of the TECOmedical Group sclerostin assay using three</w:t>
      </w:r>
      <w:r w:rsidRPr="00DF32E6">
        <w:rPr>
          <w:rFonts w:ascii="Arial" w:hAnsi="Arial" w:cs="Arial"/>
          <w:b w:val="0"/>
          <w:color w:val="auto"/>
        </w:rPr>
        <w:t xml:space="preserve"> different levels of QC material measured (N = 20 each)</w:t>
      </w:r>
      <w:bookmarkEnd w:id="107"/>
    </w:p>
    <w:tbl>
      <w:tblPr>
        <w:tblStyle w:val="TableGrid"/>
        <w:tblW w:w="0" w:type="auto"/>
        <w:jc w:val="center"/>
        <w:tblLook w:val="04A0" w:firstRow="1" w:lastRow="0" w:firstColumn="1" w:lastColumn="0" w:noHBand="0" w:noVBand="1"/>
      </w:tblPr>
      <w:tblGrid>
        <w:gridCol w:w="2500"/>
        <w:gridCol w:w="2500"/>
        <w:gridCol w:w="2500"/>
      </w:tblGrid>
      <w:tr w:rsidR="0006371E" w:rsidRPr="009F0A80" w:rsidTr="0006371E">
        <w:trPr>
          <w:trHeight w:val="283"/>
          <w:jc w:val="center"/>
        </w:trPr>
        <w:tc>
          <w:tcPr>
            <w:tcW w:w="2500" w:type="dxa"/>
          </w:tcPr>
          <w:p w:rsidR="0006371E" w:rsidRPr="009F0A80" w:rsidRDefault="0006371E" w:rsidP="00900F2C">
            <w:pPr>
              <w:rPr>
                <w:rFonts w:ascii="Arial" w:hAnsi="Arial" w:cs="Arial"/>
                <w:sz w:val="16"/>
                <w:szCs w:val="16"/>
              </w:rPr>
            </w:pPr>
            <w:r w:rsidRPr="009F0A80">
              <w:rPr>
                <w:rFonts w:ascii="Arial" w:hAnsi="Arial" w:cs="Arial"/>
                <w:sz w:val="16"/>
                <w:szCs w:val="16"/>
              </w:rPr>
              <w:t>Quality control level</w:t>
            </w:r>
          </w:p>
        </w:tc>
        <w:tc>
          <w:tcPr>
            <w:tcW w:w="2500" w:type="dxa"/>
            <w:vAlign w:val="center"/>
          </w:tcPr>
          <w:p w:rsidR="0006371E" w:rsidRPr="009F0A80" w:rsidRDefault="0006371E" w:rsidP="00900F2C">
            <w:pPr>
              <w:rPr>
                <w:rFonts w:ascii="Arial" w:hAnsi="Arial" w:cs="Arial"/>
                <w:sz w:val="16"/>
                <w:szCs w:val="16"/>
              </w:rPr>
            </w:pPr>
            <w:r w:rsidRPr="009F0A80">
              <w:rPr>
                <w:rFonts w:ascii="Arial" w:hAnsi="Arial" w:cs="Arial"/>
                <w:sz w:val="16"/>
                <w:szCs w:val="16"/>
              </w:rPr>
              <w:t>Mean concentr</w:t>
            </w:r>
            <w:r>
              <w:rPr>
                <w:rFonts w:ascii="Arial" w:hAnsi="Arial" w:cs="Arial"/>
                <w:sz w:val="16"/>
                <w:szCs w:val="16"/>
              </w:rPr>
              <w:t>ation, ng/ml</w:t>
            </w:r>
            <w:r w:rsidRPr="009F0A80">
              <w:rPr>
                <w:rFonts w:ascii="Arial" w:hAnsi="Arial" w:cs="Arial"/>
                <w:sz w:val="16"/>
                <w:szCs w:val="16"/>
              </w:rPr>
              <w:t>/ (standard deviation)</w:t>
            </w:r>
          </w:p>
        </w:tc>
        <w:tc>
          <w:tcPr>
            <w:tcW w:w="2500" w:type="dxa"/>
          </w:tcPr>
          <w:p w:rsidR="0006371E" w:rsidRPr="009F0A80" w:rsidRDefault="0006371E" w:rsidP="00900F2C">
            <w:pPr>
              <w:rPr>
                <w:rFonts w:ascii="Arial" w:hAnsi="Arial" w:cs="Arial"/>
                <w:sz w:val="16"/>
                <w:szCs w:val="16"/>
              </w:rPr>
            </w:pPr>
            <w:r w:rsidRPr="009F0A80">
              <w:rPr>
                <w:rFonts w:ascii="Arial" w:hAnsi="Arial" w:cs="Arial"/>
                <w:sz w:val="16"/>
                <w:szCs w:val="16"/>
              </w:rPr>
              <w:t>Inter-assay CV (%)</w:t>
            </w:r>
          </w:p>
        </w:tc>
      </w:tr>
      <w:tr w:rsidR="0006371E" w:rsidRPr="009F0A80" w:rsidTr="0006371E">
        <w:trPr>
          <w:trHeight w:val="283"/>
          <w:jc w:val="center"/>
        </w:trPr>
        <w:tc>
          <w:tcPr>
            <w:tcW w:w="2500" w:type="dxa"/>
            <w:vAlign w:val="center"/>
          </w:tcPr>
          <w:p w:rsidR="0006371E" w:rsidRPr="009F0A80" w:rsidRDefault="0006371E" w:rsidP="00900F2C">
            <w:pPr>
              <w:rPr>
                <w:rFonts w:ascii="Arial" w:hAnsi="Arial" w:cs="Arial"/>
                <w:sz w:val="16"/>
                <w:szCs w:val="16"/>
              </w:rPr>
            </w:pPr>
            <w:r w:rsidRPr="009F0A80">
              <w:rPr>
                <w:rFonts w:ascii="Arial" w:hAnsi="Arial" w:cs="Arial"/>
                <w:sz w:val="16"/>
                <w:szCs w:val="16"/>
              </w:rPr>
              <w:t>QC 1 (low)</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0.21 (0.00)</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3.4</w:t>
            </w:r>
          </w:p>
        </w:tc>
      </w:tr>
      <w:tr w:rsidR="0006371E" w:rsidRPr="009F0A80" w:rsidTr="0006371E">
        <w:trPr>
          <w:trHeight w:val="283"/>
          <w:jc w:val="center"/>
        </w:trPr>
        <w:tc>
          <w:tcPr>
            <w:tcW w:w="2500" w:type="dxa"/>
            <w:vAlign w:val="center"/>
          </w:tcPr>
          <w:p w:rsidR="0006371E" w:rsidRPr="009F0A80" w:rsidRDefault="0006371E" w:rsidP="00900F2C">
            <w:pPr>
              <w:rPr>
                <w:rFonts w:ascii="Arial" w:hAnsi="Arial" w:cs="Arial"/>
                <w:sz w:val="16"/>
                <w:szCs w:val="16"/>
              </w:rPr>
            </w:pPr>
            <w:r w:rsidRPr="009F0A80">
              <w:rPr>
                <w:rFonts w:ascii="Arial" w:hAnsi="Arial" w:cs="Arial"/>
                <w:sz w:val="16"/>
                <w:szCs w:val="16"/>
              </w:rPr>
              <w:t>QC 2 (medium)</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1.90 (0.04)</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2.0</w:t>
            </w:r>
          </w:p>
        </w:tc>
      </w:tr>
      <w:tr w:rsidR="0006371E" w:rsidRPr="009F0A80" w:rsidTr="0006371E">
        <w:trPr>
          <w:trHeight w:val="283"/>
          <w:jc w:val="center"/>
        </w:trPr>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QC 3</w:t>
            </w:r>
            <w:r w:rsidR="00174540">
              <w:rPr>
                <w:rFonts w:ascii="Arial" w:hAnsi="Arial" w:cs="Arial"/>
                <w:sz w:val="16"/>
                <w:szCs w:val="16"/>
              </w:rPr>
              <w:t xml:space="preserve"> (In-</w:t>
            </w:r>
            <w:r w:rsidRPr="009F0A80">
              <w:rPr>
                <w:rFonts w:ascii="Arial" w:hAnsi="Arial" w:cs="Arial"/>
                <w:sz w:val="16"/>
                <w:szCs w:val="16"/>
              </w:rPr>
              <w:t>house plasma)</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0.22 (0.02)</w:t>
            </w:r>
          </w:p>
        </w:tc>
        <w:tc>
          <w:tcPr>
            <w:tcW w:w="2500" w:type="dxa"/>
            <w:vAlign w:val="center"/>
          </w:tcPr>
          <w:p w:rsidR="0006371E" w:rsidRPr="009F0A80" w:rsidRDefault="0006371E" w:rsidP="00900F2C">
            <w:pPr>
              <w:rPr>
                <w:rFonts w:ascii="Arial" w:hAnsi="Arial" w:cs="Arial"/>
                <w:sz w:val="16"/>
                <w:szCs w:val="16"/>
              </w:rPr>
            </w:pPr>
            <w:r>
              <w:rPr>
                <w:rFonts w:ascii="Arial" w:hAnsi="Arial" w:cs="Arial"/>
                <w:sz w:val="16"/>
                <w:szCs w:val="16"/>
              </w:rPr>
              <w:t>7.0</w:t>
            </w:r>
          </w:p>
        </w:tc>
      </w:tr>
    </w:tbl>
    <w:p w:rsidR="0006371E" w:rsidRDefault="0006371E" w:rsidP="005354D9">
      <w:pPr>
        <w:pStyle w:val="Heading4"/>
        <w:jc w:val="both"/>
      </w:pPr>
      <w:r>
        <w:t>Sclerostin method comparison:</w:t>
      </w:r>
    </w:p>
    <w:p w:rsidR="0006371E" w:rsidRPr="001349E6" w:rsidRDefault="0006371E" w:rsidP="003B725E">
      <w:pPr>
        <w:spacing w:line="360" w:lineRule="auto"/>
        <w:jc w:val="both"/>
        <w:rPr>
          <w:rFonts w:ascii="Arial" w:hAnsi="Arial" w:cs="Arial"/>
        </w:rPr>
      </w:pPr>
      <w:r w:rsidRPr="001349E6">
        <w:rPr>
          <w:rFonts w:ascii="Arial" w:hAnsi="Arial" w:cs="Arial"/>
        </w:rPr>
        <w:t>The TECOmedical sclerostin assay was directly compared to the Biomedica Gruppe sclerostin assay in accordance with ‘CLSI EP-9A2: Method comparison and bias estimation using patient samples’</w:t>
      </w:r>
      <w:r w:rsidR="00745AA9">
        <w:rPr>
          <w:rFonts w:ascii="Arial" w:hAnsi="Arial" w:cs="Arial"/>
        </w:rPr>
        <w:t xml:space="preserve">, </w:t>
      </w:r>
      <w:r w:rsidR="00745AA9">
        <w:rPr>
          <w:rFonts w:ascii="Arial" w:hAnsi="Arial" w:cs="Arial"/>
        </w:rPr>
        <w:fldChar w:fldCharType="begin"/>
      </w:r>
      <w:r w:rsidR="00B64C0F">
        <w:rPr>
          <w:rFonts w:ascii="Arial" w:hAnsi="Arial" w:cs="Arial"/>
        </w:rPr>
        <w:instrText xml:space="preserve"> ADDIN EN.CITE &lt;EndNote&gt;&lt;Cite&gt;&lt;Author&gt;PA&lt;/Author&gt;&lt;Year&gt;2004 &lt;/Year&gt;&lt;RecNum&gt;412&lt;/RecNum&gt;&lt;DisplayText&gt;(344)&lt;/DisplayText&gt;&lt;record&gt;&lt;rec-number&gt;412&lt;/rec-number&gt;&lt;foreign-keys&gt;&lt;key app="EN" db-id="p9a5ttsvyvde9me5aw2x05fp5p55axf0wr90" timestamp="1435937156"&gt;412&lt;/key&gt;&lt;/foreign-keys&gt;&lt;ref-type name="Journal Article"&gt;17&lt;/ref-type&gt;&lt;contributors&gt;&lt;authors&gt;&lt;author&gt; Wayne PA&lt;/author&gt;&lt;/authors&gt;&lt;/contributors&gt;&lt;titles&gt;&lt;title&gt;CLSI Approved Guideline NCCLS Document C48-A&lt;/title&gt;&lt;/titles&gt;&lt;volume&gt;24&lt;/volume&gt;&lt;number&gt;22&lt;/number&gt;&lt;dates&gt;&lt;year&gt;2004 &lt;/year&gt;&lt;/dates&gt;&lt;urls&gt;&lt;/urls&gt;&lt;/record&gt;&lt;/Cite&gt;&lt;/EndNote&gt;</w:instrText>
      </w:r>
      <w:r w:rsidR="00745AA9">
        <w:rPr>
          <w:rFonts w:ascii="Arial" w:hAnsi="Arial" w:cs="Arial"/>
        </w:rPr>
        <w:fldChar w:fldCharType="separate"/>
      </w:r>
      <w:r w:rsidR="00B64C0F">
        <w:rPr>
          <w:rFonts w:ascii="Arial" w:hAnsi="Arial" w:cs="Arial"/>
          <w:noProof/>
        </w:rPr>
        <w:t>(</w:t>
      </w:r>
      <w:hyperlink w:anchor="_ENREF_344" w:tooltip="PA, 2004  #412" w:history="1">
        <w:r w:rsidR="003B725E">
          <w:rPr>
            <w:rFonts w:ascii="Arial" w:hAnsi="Arial" w:cs="Arial"/>
            <w:noProof/>
          </w:rPr>
          <w:t>344</w:t>
        </w:r>
      </w:hyperlink>
      <w:r w:rsidR="00B64C0F">
        <w:rPr>
          <w:rFonts w:ascii="Arial" w:hAnsi="Arial" w:cs="Arial"/>
          <w:noProof/>
        </w:rPr>
        <w:t>)</w:t>
      </w:r>
      <w:r w:rsidR="00745AA9">
        <w:rPr>
          <w:rFonts w:ascii="Arial" w:hAnsi="Arial" w:cs="Arial"/>
        </w:rPr>
        <w:fldChar w:fldCharType="end"/>
      </w:r>
      <w:r w:rsidRPr="001349E6">
        <w:rPr>
          <w:rFonts w:ascii="Arial" w:hAnsi="Arial" w:cs="Arial"/>
        </w:rPr>
        <w:t xml:space="preserve">. 128 serum samples obtained from postmenopausal women were used to represent a range of sclerostin concentrations. Sclerostin was measured using the TECOmedical and the Biomedica ELISAs.  </w:t>
      </w:r>
    </w:p>
    <w:p w:rsidR="0006371E" w:rsidRPr="00C32032" w:rsidRDefault="0006371E" w:rsidP="005354D9">
      <w:pPr>
        <w:spacing w:line="360" w:lineRule="auto"/>
        <w:jc w:val="both"/>
        <w:rPr>
          <w:rFonts w:ascii="Arial" w:hAnsi="Arial" w:cs="Arial"/>
        </w:rPr>
      </w:pPr>
      <w:r w:rsidRPr="00C32032">
        <w:rPr>
          <w:rFonts w:ascii="Arial" w:hAnsi="Arial" w:cs="Arial"/>
        </w:rPr>
        <w:t>The results for all of the sclerostin measured were reported as ng/ml. Biomedica sclerostin was initially measured in pmol/L which was then c</w:t>
      </w:r>
      <w:r>
        <w:rPr>
          <w:rFonts w:ascii="Arial" w:hAnsi="Arial" w:cs="Arial"/>
        </w:rPr>
        <w:t>onverted to ng/ml by dividing</w:t>
      </w:r>
      <w:r w:rsidRPr="00C32032">
        <w:rPr>
          <w:rFonts w:ascii="Arial" w:hAnsi="Arial" w:cs="Arial"/>
        </w:rPr>
        <w:t xml:space="preserve"> by the conversion factor, 44 (molecular weight of sclerostin is 22.5 kD). Bland-Altman plot and Passing and Bablok regression analyses were used</w:t>
      </w:r>
      <w:r w:rsidR="00C13464">
        <w:rPr>
          <w:rFonts w:ascii="Arial" w:hAnsi="Arial" w:cs="Arial"/>
        </w:rPr>
        <w:t xml:space="preserve"> to compare the data, (Figure 31</w:t>
      </w:r>
      <w:r w:rsidRPr="00C32032">
        <w:rPr>
          <w:rFonts w:ascii="Arial" w:hAnsi="Arial" w:cs="Arial"/>
        </w:rPr>
        <w:t>). The mean difference between the TECOmedical and Biomedica sclerostin was 0.11 ng/ml and this was significant, p&lt;0.001 (Mann Whitney test). The median (and standard deviation) were 0.546 (0.105) and 0.459 (0.121) ng/ml, respectively. The regression equation was y = 0.176 + 0.833x</w:t>
      </w:r>
      <w:r>
        <w:rPr>
          <w:rFonts w:ascii="Arial" w:hAnsi="Arial" w:cs="Arial"/>
        </w:rPr>
        <w:t>.</w:t>
      </w:r>
    </w:p>
    <w:p w:rsidR="0006371E" w:rsidRDefault="0006371E" w:rsidP="00900F2C">
      <w:r>
        <w:rPr>
          <w:noProof/>
          <w:lang w:eastAsia="zh-CN"/>
        </w:rPr>
        <w:lastRenderedPageBreak/>
        <mc:AlternateContent>
          <mc:Choice Requires="wps">
            <w:drawing>
              <wp:anchor distT="0" distB="0" distL="114300" distR="114300" simplePos="0" relativeHeight="253451776" behindDoc="0" locked="0" layoutInCell="1" allowOverlap="1" wp14:anchorId="51ACD577" wp14:editId="6E861443">
                <wp:simplePos x="0" y="0"/>
                <wp:positionH relativeFrom="column">
                  <wp:posOffset>-33020</wp:posOffset>
                </wp:positionH>
                <wp:positionV relativeFrom="paragraph">
                  <wp:posOffset>2193290</wp:posOffset>
                </wp:positionV>
                <wp:extent cx="5757545" cy="635"/>
                <wp:effectExtent l="0" t="0" r="0" b="0"/>
                <wp:wrapNone/>
                <wp:docPr id="18668" name="Text Box 18668"/>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a:effectLst/>
                      </wps:spPr>
                      <wps:txbx>
                        <w:txbxContent>
                          <w:p w:rsidR="004166BC" w:rsidRPr="00480F07" w:rsidRDefault="004166BC" w:rsidP="005354D9">
                            <w:pPr>
                              <w:pStyle w:val="Caption"/>
                              <w:jc w:val="both"/>
                              <w:rPr>
                                <w:rFonts w:ascii="Arial" w:hAnsi="Arial" w:cs="Arial"/>
                                <w:b w:val="0"/>
                                <w:noProof/>
                                <w:color w:val="auto"/>
                              </w:rPr>
                            </w:pPr>
                            <w:bookmarkStart w:id="108" w:name="_Toc422736076"/>
                            <w:bookmarkStart w:id="109" w:name="_Toc422736184"/>
                            <w:bookmarkStart w:id="110" w:name="_Toc425419520"/>
                            <w:r w:rsidRPr="00480F07">
                              <w:rPr>
                                <w:rFonts w:ascii="Arial" w:hAnsi="Arial" w:cs="Arial"/>
                                <w:b w:val="0"/>
                                <w:color w:val="auto"/>
                              </w:rPr>
                              <w:t xml:space="preserve">Figure </w:t>
                            </w:r>
                            <w:r w:rsidRPr="00480F07">
                              <w:rPr>
                                <w:rFonts w:ascii="Arial" w:hAnsi="Arial" w:cs="Arial"/>
                                <w:b w:val="0"/>
                                <w:color w:val="auto"/>
                              </w:rPr>
                              <w:fldChar w:fldCharType="begin"/>
                            </w:r>
                            <w:r w:rsidRPr="00480F07">
                              <w:rPr>
                                <w:rFonts w:ascii="Arial" w:hAnsi="Arial" w:cs="Arial"/>
                                <w:b w:val="0"/>
                                <w:color w:val="auto"/>
                              </w:rPr>
                              <w:instrText xml:space="preserve"> SEQ Figure \* ARABIC </w:instrText>
                            </w:r>
                            <w:r w:rsidRPr="00480F07">
                              <w:rPr>
                                <w:rFonts w:ascii="Arial" w:hAnsi="Arial" w:cs="Arial"/>
                                <w:b w:val="0"/>
                                <w:color w:val="auto"/>
                              </w:rPr>
                              <w:fldChar w:fldCharType="separate"/>
                            </w:r>
                            <w:r>
                              <w:rPr>
                                <w:rFonts w:ascii="Arial" w:hAnsi="Arial" w:cs="Arial"/>
                                <w:b w:val="0"/>
                                <w:noProof/>
                                <w:color w:val="auto"/>
                              </w:rPr>
                              <w:t>31</w:t>
                            </w:r>
                            <w:r w:rsidRPr="00480F07">
                              <w:rPr>
                                <w:rFonts w:ascii="Arial" w:hAnsi="Arial" w:cs="Arial"/>
                                <w:b w:val="0"/>
                                <w:noProof/>
                                <w:color w:val="auto"/>
                              </w:rPr>
                              <w:fldChar w:fldCharType="end"/>
                            </w:r>
                            <w:r w:rsidRPr="00480F07">
                              <w:rPr>
                                <w:rFonts w:ascii="Arial" w:hAnsi="Arial" w:cs="Arial"/>
                                <w:b w:val="0"/>
                                <w:noProof/>
                                <w:color w:val="auto"/>
                              </w:rPr>
                              <w:t>: Sclerostin method comparision analyses using Bland-Altman (left) and Passing and Bablok regression (right)</w:t>
                            </w:r>
                            <w:bookmarkEnd w:id="108"/>
                            <w:bookmarkEnd w:id="109"/>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ACD577" id="Text Box 18668" o:spid="_x0000_s1136" type="#_x0000_t202" style="position:absolute;margin-left:-2.6pt;margin-top:172.7pt;width:453.35pt;height:.05pt;z-index:2534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" stroked="f">
                <v:textbox style="mso-fit-shape-to-text:t" inset="0,0,0,0">
                  <w:txbxContent>
                    <w:p w:rsidR="004166BC" w:rsidRPr="00480F07" w:rsidRDefault="004166BC" w:rsidP="005354D9">
                      <w:pPr>
                        <w:pStyle w:val="Caption"/>
                        <w:jc w:val="both"/>
                        <w:rPr>
                          <w:rFonts w:ascii="Arial" w:hAnsi="Arial" w:cs="Arial"/>
                          <w:b w:val="0"/>
                          <w:noProof/>
                          <w:color w:val="auto"/>
                        </w:rPr>
                      </w:pPr>
                      <w:bookmarkStart w:id="156" w:name="_Toc422736076"/>
                      <w:bookmarkStart w:id="157" w:name="_Toc422736184"/>
                      <w:bookmarkStart w:id="158" w:name="_Toc425419520"/>
                      <w:r w:rsidRPr="00480F07">
                        <w:rPr>
                          <w:rFonts w:ascii="Arial" w:hAnsi="Arial" w:cs="Arial"/>
                          <w:b w:val="0"/>
                          <w:color w:val="auto"/>
                        </w:rPr>
                        <w:t xml:space="preserve">Figure </w:t>
                      </w:r>
                      <w:r w:rsidRPr="00480F07">
                        <w:rPr>
                          <w:rFonts w:ascii="Arial" w:hAnsi="Arial" w:cs="Arial"/>
                          <w:b w:val="0"/>
                          <w:color w:val="auto"/>
                        </w:rPr>
                        <w:fldChar w:fldCharType="begin"/>
                      </w:r>
                      <w:r w:rsidRPr="00480F07">
                        <w:rPr>
                          <w:rFonts w:ascii="Arial" w:hAnsi="Arial" w:cs="Arial"/>
                          <w:b w:val="0"/>
                          <w:color w:val="auto"/>
                        </w:rPr>
                        <w:instrText xml:space="preserve"> SEQ Figure \* ARABIC </w:instrText>
                      </w:r>
                      <w:r w:rsidRPr="00480F07">
                        <w:rPr>
                          <w:rFonts w:ascii="Arial" w:hAnsi="Arial" w:cs="Arial"/>
                          <w:b w:val="0"/>
                          <w:color w:val="auto"/>
                        </w:rPr>
                        <w:fldChar w:fldCharType="separate"/>
                      </w:r>
                      <w:r>
                        <w:rPr>
                          <w:rFonts w:ascii="Arial" w:hAnsi="Arial" w:cs="Arial"/>
                          <w:b w:val="0"/>
                          <w:noProof/>
                          <w:color w:val="auto"/>
                        </w:rPr>
                        <w:t>31</w:t>
                      </w:r>
                      <w:r w:rsidRPr="00480F07">
                        <w:rPr>
                          <w:rFonts w:ascii="Arial" w:hAnsi="Arial" w:cs="Arial"/>
                          <w:b w:val="0"/>
                          <w:noProof/>
                          <w:color w:val="auto"/>
                        </w:rPr>
                        <w:fldChar w:fldCharType="end"/>
                      </w:r>
                      <w:r w:rsidRPr="00480F07">
                        <w:rPr>
                          <w:rFonts w:ascii="Arial" w:hAnsi="Arial" w:cs="Arial"/>
                          <w:b w:val="0"/>
                          <w:noProof/>
                          <w:color w:val="auto"/>
                        </w:rPr>
                        <w:t>: Sclerostin method comparision analyses using Bland-Altman (left) and Passing and Bablok regression (right)</w:t>
                      </w:r>
                      <w:bookmarkEnd w:id="156"/>
                      <w:bookmarkEnd w:id="157"/>
                      <w:bookmarkEnd w:id="158"/>
                    </w:p>
                  </w:txbxContent>
                </v:textbox>
              </v:shape>
            </w:pict>
          </mc:Fallback>
        </mc:AlternateContent>
      </w:r>
      <w:r>
        <w:rPr>
          <w:noProof/>
          <w:lang w:eastAsia="zh-CN"/>
        </w:rPr>
        <w:drawing>
          <wp:inline distT="0" distB="0" distL="0" distR="0" wp14:anchorId="28C44CF8" wp14:editId="0DC99F09">
            <wp:extent cx="2619375" cy="2013093"/>
            <wp:effectExtent l="0" t="0" r="0" b="6350"/>
            <wp:docPr id="18661" name="Picture 1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85424" cy="2140708"/>
                    </a:xfrm>
                    <a:prstGeom prst="rect">
                      <a:avLst/>
                    </a:prstGeom>
                    <a:noFill/>
                  </pic:spPr>
                </pic:pic>
              </a:graphicData>
            </a:graphic>
          </wp:inline>
        </w:drawing>
      </w:r>
      <w:r>
        <w:rPr>
          <w:noProof/>
          <w:lang w:eastAsia="zh-CN"/>
        </w:rPr>
        <w:drawing>
          <wp:inline distT="0" distB="0" distL="0" distR="0" wp14:anchorId="0AE6E70D" wp14:editId="573A9BD6">
            <wp:extent cx="2714625" cy="2024415"/>
            <wp:effectExtent l="0" t="0" r="0" b="0"/>
            <wp:docPr id="18666" name="Picture 1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00235" cy="2088258"/>
                    </a:xfrm>
                    <a:prstGeom prst="rect">
                      <a:avLst/>
                    </a:prstGeom>
                    <a:noFill/>
                  </pic:spPr>
                </pic:pic>
              </a:graphicData>
            </a:graphic>
          </wp:inline>
        </w:drawing>
      </w:r>
    </w:p>
    <w:p w:rsidR="0006371E" w:rsidRDefault="0006371E" w:rsidP="00900F2C"/>
    <w:p w:rsidR="00853ACE" w:rsidRDefault="00853ACE" w:rsidP="00900F2C">
      <w:pPr>
        <w:spacing w:line="360" w:lineRule="auto"/>
        <w:rPr>
          <w:rFonts w:ascii="Arial" w:hAnsi="Arial" w:cs="Arial"/>
        </w:rPr>
      </w:pPr>
    </w:p>
    <w:p w:rsidR="0006371E" w:rsidRPr="00F457E2" w:rsidRDefault="0006371E" w:rsidP="003B725E">
      <w:pPr>
        <w:spacing w:line="360" w:lineRule="auto"/>
        <w:jc w:val="both"/>
        <w:rPr>
          <w:rFonts w:ascii="Arial" w:hAnsi="Arial" w:cs="Arial"/>
        </w:rPr>
      </w:pPr>
      <w:r w:rsidRPr="00F457E2">
        <w:rPr>
          <w:rFonts w:ascii="Arial" w:hAnsi="Arial" w:cs="Arial"/>
        </w:rPr>
        <w:t>Sclerostin measured by the TECOmedical Group ELISA was significant higher than that measured by the Biomedica Gruppe ELISA. This difference was comparable Costa AG et al 2014</w:t>
      </w:r>
      <w:r w:rsidR="00541111">
        <w:rPr>
          <w:rFonts w:ascii="Arial" w:hAnsi="Arial" w:cs="Arial"/>
        </w:rPr>
        <w:t xml:space="preserve"> </w:t>
      </w:r>
      <w:r w:rsidR="00541111">
        <w:rPr>
          <w:rFonts w:ascii="Arial" w:hAnsi="Arial" w:cs="Arial"/>
        </w:rPr>
        <w:fldChar w:fldCharType="begin">
          <w:fldData xml:space="preserve">PEVuZE5vdGU+PENpdGU+PEF1dGhvcj5Db3N0YTwvQXV0aG9yPjxZZWFyPjIwMTQ8L1llYXI+PFJl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PEVuZE5vdGU+PENpdGU+PEF1dGhvcj5Db3N0YTwvQXV0aG9yPjxZZWFyPjIwMTQ8L1llYXI+PFJl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541111">
        <w:rPr>
          <w:rFonts w:ascii="Arial" w:hAnsi="Arial" w:cs="Arial"/>
        </w:rPr>
      </w:r>
      <w:r w:rsidR="00541111">
        <w:rPr>
          <w:rFonts w:ascii="Arial" w:hAnsi="Arial" w:cs="Arial"/>
        </w:rPr>
        <w:fldChar w:fldCharType="separate"/>
      </w:r>
      <w:r w:rsidR="00B64C0F">
        <w:rPr>
          <w:rFonts w:ascii="Arial" w:hAnsi="Arial" w:cs="Arial"/>
          <w:noProof/>
        </w:rPr>
        <w:t>(</w:t>
      </w:r>
      <w:hyperlink w:anchor="_ENREF_351" w:tooltip="Costa, 2014 #409" w:history="1">
        <w:r w:rsidR="003B725E">
          <w:rPr>
            <w:rFonts w:ascii="Arial" w:hAnsi="Arial" w:cs="Arial"/>
            <w:noProof/>
          </w:rPr>
          <w:t>351</w:t>
        </w:r>
      </w:hyperlink>
      <w:r w:rsidR="00B64C0F">
        <w:rPr>
          <w:rFonts w:ascii="Arial" w:hAnsi="Arial" w:cs="Arial"/>
          <w:noProof/>
        </w:rPr>
        <w:t>)</w:t>
      </w:r>
      <w:r w:rsidR="00541111">
        <w:rPr>
          <w:rFonts w:ascii="Arial" w:hAnsi="Arial" w:cs="Arial"/>
        </w:rPr>
        <w:fldChar w:fldCharType="end"/>
      </w:r>
      <w:r w:rsidR="00541111">
        <w:rPr>
          <w:rFonts w:ascii="Arial" w:hAnsi="Arial" w:cs="Arial"/>
        </w:rPr>
        <w:t xml:space="preserve"> </w:t>
      </w:r>
      <w:r w:rsidRPr="00F457E2">
        <w:rPr>
          <w:rFonts w:ascii="Arial" w:hAnsi="Arial" w:cs="Arial"/>
        </w:rPr>
        <w:t>but different to others</w:t>
      </w:r>
      <w:r w:rsidR="00541111">
        <w:rPr>
          <w:rFonts w:ascii="Arial" w:hAnsi="Arial" w:cs="Arial"/>
        </w:rPr>
        <w:t xml:space="preserve"> </w:t>
      </w:r>
      <w:r w:rsidR="00541111">
        <w:rPr>
          <w:rFonts w:ascii="Arial" w:hAnsi="Arial" w:cs="Arial"/>
        </w:rPr>
        <w:fldChar w:fldCharType="begin">
          <w:fldData xml:space="preserve">PEVuZE5vdGU+PENpdGU+PEF1dGhvcj5NY051bHR5PC9BdXRob3I+PFllYXI+MjAxMTwvWWVhcj48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PEVuZE5vdGU+PENpdGU+PEF1dGhvcj5NY051bHR5PC9BdXRob3I+PFllYXI+MjAxMTwvWWVhcj48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541111">
        <w:rPr>
          <w:rFonts w:ascii="Arial" w:hAnsi="Arial" w:cs="Arial"/>
        </w:rPr>
      </w:r>
      <w:r w:rsidR="00541111">
        <w:rPr>
          <w:rFonts w:ascii="Arial" w:hAnsi="Arial" w:cs="Arial"/>
        </w:rPr>
        <w:fldChar w:fldCharType="separate"/>
      </w:r>
      <w:r w:rsidR="00B64C0F">
        <w:rPr>
          <w:rFonts w:ascii="Arial" w:hAnsi="Arial" w:cs="Arial"/>
          <w:noProof/>
        </w:rPr>
        <w:t>(</w:t>
      </w:r>
      <w:hyperlink w:anchor="_ENREF_352" w:tooltip="McNulty, 2011 #410" w:history="1">
        <w:r w:rsidR="003B725E">
          <w:rPr>
            <w:rFonts w:ascii="Arial" w:hAnsi="Arial" w:cs="Arial"/>
            <w:noProof/>
          </w:rPr>
          <w:t>352</w:t>
        </w:r>
      </w:hyperlink>
      <w:r w:rsidR="00B64C0F">
        <w:rPr>
          <w:rFonts w:ascii="Arial" w:hAnsi="Arial" w:cs="Arial"/>
          <w:noProof/>
        </w:rPr>
        <w:t xml:space="preserve">, </w:t>
      </w:r>
      <w:hyperlink w:anchor="_ENREF_353" w:tooltip="Durosier, 2013 #411" w:history="1">
        <w:r w:rsidR="003B725E">
          <w:rPr>
            <w:rFonts w:ascii="Arial" w:hAnsi="Arial" w:cs="Arial"/>
            <w:noProof/>
          </w:rPr>
          <w:t>353</w:t>
        </w:r>
      </w:hyperlink>
      <w:r w:rsidR="00B64C0F">
        <w:rPr>
          <w:rFonts w:ascii="Arial" w:hAnsi="Arial" w:cs="Arial"/>
          <w:noProof/>
        </w:rPr>
        <w:t>)</w:t>
      </w:r>
      <w:r w:rsidR="00541111">
        <w:rPr>
          <w:rFonts w:ascii="Arial" w:hAnsi="Arial" w:cs="Arial"/>
        </w:rPr>
        <w:fldChar w:fldCharType="end"/>
      </w:r>
      <w:r w:rsidR="007D2E76">
        <w:rPr>
          <w:rFonts w:ascii="Arial" w:hAnsi="Arial" w:cs="Arial"/>
        </w:rPr>
        <w:t xml:space="preserve">. </w:t>
      </w:r>
      <w:r w:rsidRPr="00F457E2">
        <w:rPr>
          <w:rFonts w:ascii="Arial" w:hAnsi="Arial" w:cs="Arial"/>
        </w:rPr>
        <w:t>The differences between the two assays may be attributable to the differences in the assay procedur</w:t>
      </w:r>
      <w:r w:rsidR="007D2E76">
        <w:rPr>
          <w:rFonts w:ascii="Arial" w:hAnsi="Arial" w:cs="Arial"/>
        </w:rPr>
        <w:t>e, d</w:t>
      </w:r>
      <w:r>
        <w:rPr>
          <w:rFonts w:ascii="Arial" w:hAnsi="Arial" w:cs="Arial"/>
        </w:rPr>
        <w:t>ifferen</w:t>
      </w:r>
      <w:r w:rsidR="007D2E76">
        <w:rPr>
          <w:rFonts w:ascii="Arial" w:hAnsi="Arial" w:cs="Arial"/>
        </w:rPr>
        <w:t>t molecular forms of the assay and cross reactivity.</w:t>
      </w:r>
    </w:p>
    <w:p w:rsidR="000934A2" w:rsidRPr="0006371E" w:rsidRDefault="0006371E" w:rsidP="005354D9">
      <w:pPr>
        <w:spacing w:line="360" w:lineRule="auto"/>
        <w:jc w:val="both"/>
        <w:rPr>
          <w:rFonts w:ascii="Arial" w:hAnsi="Arial" w:cs="Arial"/>
        </w:rPr>
      </w:pPr>
      <w:r w:rsidRPr="00F457E2">
        <w:rPr>
          <w:rFonts w:ascii="Arial" w:hAnsi="Arial" w:cs="Arial"/>
        </w:rPr>
        <w:t>For the remainder of my thesis I have measured sclerostin using the TECOmedical Group ELISA.</w:t>
      </w:r>
    </w:p>
    <w:p w:rsidR="00AA1C7C" w:rsidRDefault="000B5EA7" w:rsidP="005354D9">
      <w:pPr>
        <w:pStyle w:val="Heading3"/>
        <w:jc w:val="both"/>
      </w:pPr>
      <w:bookmarkStart w:id="111" w:name="_Toc425418910"/>
      <w:r>
        <w:t>Reducing the variability associated with BTMs</w:t>
      </w:r>
      <w:bookmarkEnd w:id="111"/>
    </w:p>
    <w:p w:rsidR="000B5EA7" w:rsidRDefault="000B5EA7" w:rsidP="005354D9">
      <w:pPr>
        <w:pStyle w:val="Heading4"/>
        <w:jc w:val="both"/>
      </w:pPr>
      <w:r>
        <w:t>Sources of</w:t>
      </w:r>
      <w:r w:rsidR="004F4A43">
        <w:t xml:space="preserve"> preanalytical and </w:t>
      </w:r>
      <w:r>
        <w:t>analytical variability</w:t>
      </w:r>
    </w:p>
    <w:p w:rsidR="000B5EA7" w:rsidRDefault="004F4A43" w:rsidP="003B725E">
      <w:pPr>
        <w:spacing w:line="360" w:lineRule="auto"/>
        <w:jc w:val="both"/>
        <w:rPr>
          <w:rFonts w:ascii="Arial" w:hAnsi="Arial" w:cs="Arial"/>
        </w:rPr>
      </w:pPr>
      <w:r w:rsidRPr="00434B5A">
        <w:rPr>
          <w:rFonts w:ascii="Arial" w:hAnsi="Arial" w:cs="Arial"/>
        </w:rPr>
        <w:t>Several biological factors coexist and contribute to the preanalytical variabi</w:t>
      </w:r>
      <w:r w:rsidR="00434B5A" w:rsidRPr="00434B5A">
        <w:rPr>
          <w:rFonts w:ascii="Arial" w:hAnsi="Arial" w:cs="Arial"/>
        </w:rPr>
        <w:t>lity of BTMs</w:t>
      </w:r>
      <w:r w:rsidR="00DF0909">
        <w:rPr>
          <w:rFonts w:ascii="Arial" w:hAnsi="Arial" w:cs="Arial"/>
        </w:rPr>
        <w:t xml:space="preserve"> </w:t>
      </w:r>
      <w:r w:rsidR="00DF0909">
        <w:rPr>
          <w:rFonts w:ascii="Arial" w:hAnsi="Arial" w:cs="Arial"/>
        </w:rPr>
        <w:fldChar w:fldCharType="begin">
          <w:fldData xml:space="preserve">PEVuZE5vdGU+PENpdGU+PEF1dGhvcj5TenVsYzwvQXV0aG9yPjxZZWFyPjIwMDg8L1llYXI+PFJl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PjwvcGVyaW9kaWNhbD48cGFnZXM+MTY4My03MDQ8L3BhZ2VzPjx2b2x1bWU+MTk8L3ZvbHVtZT48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PEVuZE5vdGU+PENpdGU+PEF1dGhvcj5TenVsYzwvQXV0aG9yPjxZZWFyPjIwMDg8L1llYXI+PFJl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PjwvcGVyaW9kaWNhbD48cGFnZXM+MTY4My03MDQ8L3BhZ2VzPjx2b2x1bWU+MTk8L3ZvbHVtZT48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DF0909">
        <w:rPr>
          <w:rFonts w:ascii="Arial" w:hAnsi="Arial" w:cs="Arial"/>
        </w:rPr>
      </w:r>
      <w:r w:rsidR="00DF0909">
        <w:rPr>
          <w:rFonts w:ascii="Arial" w:hAnsi="Arial" w:cs="Arial"/>
        </w:rPr>
        <w:fldChar w:fldCharType="separate"/>
      </w:r>
      <w:r w:rsidR="00B64C0F">
        <w:rPr>
          <w:rFonts w:ascii="Arial" w:hAnsi="Arial" w:cs="Arial"/>
          <w:noProof/>
        </w:rPr>
        <w:t>(</w:t>
      </w:r>
      <w:hyperlink w:anchor="_ENREF_354" w:tooltip="Szulc, 2008 #366" w:history="1">
        <w:r w:rsidR="003B725E">
          <w:rPr>
            <w:rFonts w:ascii="Arial" w:hAnsi="Arial" w:cs="Arial"/>
            <w:noProof/>
          </w:rPr>
          <w:t>354</w:t>
        </w:r>
      </w:hyperlink>
      <w:r w:rsidR="00B64C0F">
        <w:rPr>
          <w:rFonts w:ascii="Arial" w:hAnsi="Arial" w:cs="Arial"/>
          <w:noProof/>
        </w:rPr>
        <w:t>)</w:t>
      </w:r>
      <w:r w:rsidR="00DF0909">
        <w:rPr>
          <w:rFonts w:ascii="Arial" w:hAnsi="Arial" w:cs="Arial"/>
        </w:rPr>
        <w:fldChar w:fldCharType="end"/>
      </w:r>
      <w:r w:rsidR="004A22BD">
        <w:rPr>
          <w:rFonts w:ascii="Arial" w:hAnsi="Arial" w:cs="Arial"/>
        </w:rPr>
        <w:t>. Some of these were</w:t>
      </w:r>
      <w:r w:rsidRPr="00434B5A">
        <w:rPr>
          <w:rFonts w:ascii="Arial" w:hAnsi="Arial" w:cs="Arial"/>
        </w:rPr>
        <w:t xml:space="preserve"> controlled and modified to reduce variability observed particularly </w:t>
      </w:r>
      <w:r w:rsidR="004A22BD">
        <w:rPr>
          <w:rFonts w:ascii="Arial" w:hAnsi="Arial" w:cs="Arial"/>
        </w:rPr>
        <w:t xml:space="preserve">in </w:t>
      </w:r>
      <w:r w:rsidRPr="00434B5A">
        <w:rPr>
          <w:rFonts w:ascii="Arial" w:hAnsi="Arial" w:cs="Arial"/>
        </w:rPr>
        <w:t xml:space="preserve">one person over a period of time. </w:t>
      </w:r>
      <w:r w:rsidR="00E3533A" w:rsidRPr="00434B5A">
        <w:rPr>
          <w:rFonts w:ascii="Arial" w:hAnsi="Arial" w:cs="Arial"/>
        </w:rPr>
        <w:t xml:space="preserve">Factors such as </w:t>
      </w:r>
      <w:r w:rsidR="006556B2" w:rsidRPr="00434B5A">
        <w:rPr>
          <w:rFonts w:ascii="Arial" w:hAnsi="Arial" w:cs="Arial"/>
        </w:rPr>
        <w:t xml:space="preserve">age, gender, ethnicity, menopausal status, </w:t>
      </w:r>
      <w:r w:rsidR="00E3533A" w:rsidRPr="00434B5A">
        <w:rPr>
          <w:rFonts w:ascii="Arial" w:hAnsi="Arial" w:cs="Arial"/>
        </w:rPr>
        <w:t>circadian rhythm, food intake, menstruation and physical activity can be a source of biological</w:t>
      </w:r>
      <w:r w:rsidR="0078227B">
        <w:rPr>
          <w:rFonts w:ascii="Arial" w:hAnsi="Arial" w:cs="Arial"/>
        </w:rPr>
        <w:t xml:space="preserve"> variability</w:t>
      </w:r>
      <w:r w:rsidR="00DF0909">
        <w:rPr>
          <w:rFonts w:ascii="Arial" w:hAnsi="Arial" w:cs="Arial"/>
        </w:rPr>
        <w:t>.</w:t>
      </w:r>
      <w:r w:rsidR="00E3533A" w:rsidRPr="00434B5A">
        <w:rPr>
          <w:rFonts w:ascii="Arial" w:hAnsi="Arial" w:cs="Arial"/>
        </w:rPr>
        <w:t xml:space="preserve"> A large circadian rhythm has been related with bone turnover and has a significant impact particularly on bone resorption markers</w:t>
      </w:r>
      <w:r w:rsidR="006556B2" w:rsidRPr="00434B5A">
        <w:rPr>
          <w:rFonts w:ascii="Arial" w:hAnsi="Arial" w:cs="Arial"/>
        </w:rPr>
        <w:t xml:space="preserve"> </w:t>
      </w:r>
      <w:r w:rsidR="00CA6772">
        <w:rPr>
          <w:rFonts w:ascii="Arial" w:hAnsi="Arial" w:cs="Arial"/>
        </w:rPr>
        <w:fldChar w:fldCharType="begin">
          <w:fldData xml:space="preserve">PEVuZE5vdGU+PENpdGU+PEF1dGhvcj5XaWNoZXJzPC9BdXRob3I+PFllYXI+MTk5OTwvWWVhcj48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PEVuZE5vdGU+PENpdGU+PEF1dGhvcj5XaWNoZXJzPC9BdXRob3I+PFllYXI+MTk5OTwvWWVhcj48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CA6772">
        <w:rPr>
          <w:rFonts w:ascii="Arial" w:hAnsi="Arial" w:cs="Arial"/>
        </w:rPr>
      </w:r>
      <w:r w:rsidR="00CA6772">
        <w:rPr>
          <w:rFonts w:ascii="Arial" w:hAnsi="Arial" w:cs="Arial"/>
        </w:rPr>
        <w:fldChar w:fldCharType="separate"/>
      </w:r>
      <w:r w:rsidR="00B64C0F">
        <w:rPr>
          <w:rFonts w:ascii="Arial" w:hAnsi="Arial" w:cs="Arial"/>
          <w:noProof/>
        </w:rPr>
        <w:t>(</w:t>
      </w:r>
      <w:hyperlink w:anchor="_ENREF_355" w:tooltip="Wichers, 1999 #467" w:history="1">
        <w:r w:rsidR="003B725E">
          <w:rPr>
            <w:rFonts w:ascii="Arial" w:hAnsi="Arial" w:cs="Arial"/>
            <w:noProof/>
          </w:rPr>
          <w:t>355</w:t>
        </w:r>
      </w:hyperlink>
      <w:r w:rsidR="00B64C0F">
        <w:rPr>
          <w:rFonts w:ascii="Arial" w:hAnsi="Arial" w:cs="Arial"/>
          <w:noProof/>
        </w:rPr>
        <w:t xml:space="preserve">, </w:t>
      </w:r>
      <w:hyperlink w:anchor="_ENREF_356" w:tooltip="Hannon, 2000 #468" w:history="1">
        <w:r w:rsidR="003B725E">
          <w:rPr>
            <w:rFonts w:ascii="Arial" w:hAnsi="Arial" w:cs="Arial"/>
            <w:noProof/>
          </w:rPr>
          <w:t>356</w:t>
        </w:r>
      </w:hyperlink>
      <w:r w:rsidR="00B64C0F">
        <w:rPr>
          <w:rFonts w:ascii="Arial" w:hAnsi="Arial" w:cs="Arial"/>
          <w:noProof/>
        </w:rPr>
        <w:t>)</w:t>
      </w:r>
      <w:r w:rsidR="00CA6772">
        <w:rPr>
          <w:rFonts w:ascii="Arial" w:hAnsi="Arial" w:cs="Arial"/>
        </w:rPr>
        <w:fldChar w:fldCharType="end"/>
      </w:r>
      <w:r w:rsidR="006556B2" w:rsidRPr="00434B5A">
        <w:rPr>
          <w:rFonts w:ascii="Arial" w:hAnsi="Arial" w:cs="Arial"/>
        </w:rPr>
        <w:t>. All of the BTMs in my research are significantl</w:t>
      </w:r>
      <w:r w:rsidR="00B03DFC" w:rsidRPr="00434B5A">
        <w:rPr>
          <w:rFonts w:ascii="Arial" w:hAnsi="Arial" w:cs="Arial"/>
        </w:rPr>
        <w:t>y reduced following food intake (with the possible exception of bone ALP)</w:t>
      </w:r>
      <w:r w:rsidR="006556B2" w:rsidRPr="00434B5A">
        <w:rPr>
          <w:rFonts w:ascii="Arial" w:hAnsi="Arial" w:cs="Arial"/>
        </w:rPr>
        <w:t xml:space="preserve"> </w:t>
      </w:r>
      <w:r w:rsidR="007954B9">
        <w:rPr>
          <w:rFonts w:ascii="Arial" w:hAnsi="Arial" w:cs="Arial"/>
        </w:rPr>
        <w:fldChar w:fldCharType="begin">
          <w:fldData xml:space="preserve">PEVuZE5vdGU+PENpdGU+PEF1dGhvcj5CamFybmFzb248L0F1dGhvcj48WWVhcj4yMDAyPC9ZZWFy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PjxwYWdlcz44ODYtOTA8L3BhZ2VzPjx2b2x1bWU+MzA8L3ZvbHVtZT48bnVtYmVyPjY8L251bWJl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PEVuZE5vdGU+PENpdGU+PEF1dGhvcj5CamFybmFzb248L0F1dGhvcj48WWVhcj4yMDAyPC9ZZWFy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PjxwYWdlcz44ODYtOTA8L3BhZ2VzPjx2b2x1bWU+MzA8L3ZvbHVtZT48bnVtYmVyPjY8L251bWJl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954B9">
        <w:rPr>
          <w:rFonts w:ascii="Arial" w:hAnsi="Arial" w:cs="Arial"/>
        </w:rPr>
      </w:r>
      <w:r w:rsidR="007954B9">
        <w:rPr>
          <w:rFonts w:ascii="Arial" w:hAnsi="Arial" w:cs="Arial"/>
        </w:rPr>
        <w:fldChar w:fldCharType="separate"/>
      </w:r>
      <w:r w:rsidR="00B64C0F">
        <w:rPr>
          <w:rFonts w:ascii="Arial" w:hAnsi="Arial" w:cs="Arial"/>
          <w:noProof/>
        </w:rPr>
        <w:t>(</w:t>
      </w:r>
      <w:hyperlink w:anchor="_ENREF_357" w:tooltip="Bjarnason, 2002 #469" w:history="1">
        <w:r w:rsidR="003B725E">
          <w:rPr>
            <w:rFonts w:ascii="Arial" w:hAnsi="Arial" w:cs="Arial"/>
            <w:noProof/>
          </w:rPr>
          <w:t>357</w:t>
        </w:r>
      </w:hyperlink>
      <w:r w:rsidR="00B64C0F">
        <w:rPr>
          <w:rFonts w:ascii="Arial" w:hAnsi="Arial" w:cs="Arial"/>
          <w:noProof/>
        </w:rPr>
        <w:t xml:space="preserve">, </w:t>
      </w:r>
      <w:hyperlink w:anchor="_ENREF_358" w:tooltip="Clowes, 2002 #531" w:history="1">
        <w:r w:rsidR="003B725E">
          <w:rPr>
            <w:rFonts w:ascii="Arial" w:hAnsi="Arial" w:cs="Arial"/>
            <w:noProof/>
          </w:rPr>
          <w:t>358</w:t>
        </w:r>
      </w:hyperlink>
      <w:r w:rsidR="00B64C0F">
        <w:rPr>
          <w:rFonts w:ascii="Arial" w:hAnsi="Arial" w:cs="Arial"/>
          <w:noProof/>
        </w:rPr>
        <w:t>)</w:t>
      </w:r>
      <w:r w:rsidR="007954B9">
        <w:rPr>
          <w:rFonts w:ascii="Arial" w:hAnsi="Arial" w:cs="Arial"/>
        </w:rPr>
        <w:fldChar w:fldCharType="end"/>
      </w:r>
      <w:r w:rsidR="001B09D0" w:rsidRPr="00434B5A">
        <w:rPr>
          <w:rFonts w:ascii="Arial" w:hAnsi="Arial" w:cs="Arial"/>
        </w:rPr>
        <w:t>.</w:t>
      </w:r>
      <w:r w:rsidR="00B03DFC" w:rsidRPr="00434B5A">
        <w:rPr>
          <w:rFonts w:ascii="Arial" w:hAnsi="Arial" w:cs="Arial"/>
        </w:rPr>
        <w:t xml:space="preserve"> In order to </w:t>
      </w:r>
      <w:r w:rsidR="005373DF">
        <w:rPr>
          <w:rFonts w:ascii="Arial" w:hAnsi="Arial" w:cs="Arial"/>
        </w:rPr>
        <w:t xml:space="preserve">minimise the effect </w:t>
      </w:r>
      <w:r w:rsidR="00B03DFC" w:rsidRPr="00434B5A">
        <w:rPr>
          <w:rFonts w:ascii="Arial" w:hAnsi="Arial" w:cs="Arial"/>
        </w:rPr>
        <w:t>thi</w:t>
      </w:r>
      <w:r w:rsidR="00CA5378">
        <w:rPr>
          <w:rFonts w:ascii="Arial" w:hAnsi="Arial" w:cs="Arial"/>
        </w:rPr>
        <w:t xml:space="preserve">s </w:t>
      </w:r>
      <w:r w:rsidR="004A22BD">
        <w:rPr>
          <w:rFonts w:ascii="Arial" w:hAnsi="Arial" w:cs="Arial"/>
        </w:rPr>
        <w:t>variability</w:t>
      </w:r>
      <w:r w:rsidR="00CA5378">
        <w:rPr>
          <w:rFonts w:ascii="Arial" w:hAnsi="Arial" w:cs="Arial"/>
        </w:rPr>
        <w:t xml:space="preserve"> has on BTMs</w:t>
      </w:r>
      <w:r w:rsidR="005373DF">
        <w:rPr>
          <w:rFonts w:ascii="Arial" w:hAnsi="Arial" w:cs="Arial"/>
        </w:rPr>
        <w:t>,</w:t>
      </w:r>
      <w:r w:rsidR="00B03DFC" w:rsidRPr="00434B5A">
        <w:rPr>
          <w:rFonts w:ascii="Arial" w:hAnsi="Arial" w:cs="Arial"/>
        </w:rPr>
        <w:t xml:space="preserve"> samples from the two clinical trial</w:t>
      </w:r>
      <w:r w:rsidR="00A53F86" w:rsidRPr="00434B5A">
        <w:rPr>
          <w:rFonts w:ascii="Arial" w:hAnsi="Arial" w:cs="Arial"/>
        </w:rPr>
        <w:t>s</w:t>
      </w:r>
      <w:r w:rsidR="00B03DFC" w:rsidRPr="00434B5A">
        <w:rPr>
          <w:rFonts w:ascii="Arial" w:hAnsi="Arial" w:cs="Arial"/>
        </w:rPr>
        <w:t xml:space="preserve"> used in my thesis were collected following an overnight fast. </w:t>
      </w:r>
    </w:p>
    <w:p w:rsidR="00CA5378" w:rsidRDefault="004A22BD" w:rsidP="003B725E">
      <w:pPr>
        <w:spacing w:line="360" w:lineRule="auto"/>
        <w:jc w:val="both"/>
        <w:rPr>
          <w:rFonts w:ascii="Arial" w:hAnsi="Arial" w:cs="Arial"/>
        </w:rPr>
      </w:pPr>
      <w:r>
        <w:rPr>
          <w:rFonts w:ascii="Arial" w:hAnsi="Arial" w:cs="Arial"/>
        </w:rPr>
        <w:t xml:space="preserve">For each BTM measurement, analytical </w:t>
      </w:r>
      <w:r w:rsidR="00CA5378" w:rsidRPr="00434B5A">
        <w:rPr>
          <w:rFonts w:ascii="Arial" w:hAnsi="Arial" w:cs="Arial"/>
        </w:rPr>
        <w:t>variability</w:t>
      </w:r>
      <w:r>
        <w:rPr>
          <w:rFonts w:ascii="Arial" w:hAnsi="Arial" w:cs="Arial"/>
        </w:rPr>
        <w:t xml:space="preserve"> was assessed by the inter-assay coefficient of variation </w:t>
      </w:r>
      <w:r>
        <w:rPr>
          <w:rFonts w:ascii="Arial" w:hAnsi="Arial" w:cs="Arial"/>
        </w:rPr>
        <w:fldChar w:fldCharType="begin">
          <w:fldData xml:space="preserve">PEVuZE5vdGU+PENpdGU+PEF1dGhvcj5TY2hhZmVyPC9BdXRob3I+PFllYXI+MjAxMDwvWWVhcj48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PEVuZE5vdGU+PENpdGU+PEF1dGhvcj5TY2hhZmVyPC9BdXRob3I+PFllYXI+MjAxMDwvWWVhcj48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59" w:tooltip="Schafer, 2010 #367" w:history="1">
        <w:r w:rsidR="003B725E">
          <w:rPr>
            <w:rFonts w:ascii="Arial" w:hAnsi="Arial" w:cs="Arial"/>
            <w:noProof/>
          </w:rPr>
          <w:t>359</w:t>
        </w:r>
      </w:hyperlink>
      <w:r w:rsidR="00B64C0F">
        <w:rPr>
          <w:rFonts w:ascii="Arial" w:hAnsi="Arial" w:cs="Arial"/>
          <w:noProof/>
        </w:rPr>
        <w:t>)</w:t>
      </w:r>
      <w:r>
        <w:rPr>
          <w:rFonts w:ascii="Arial" w:hAnsi="Arial" w:cs="Arial"/>
        </w:rPr>
        <w:fldChar w:fldCharType="end"/>
      </w:r>
      <w:r>
        <w:rPr>
          <w:rFonts w:ascii="Arial" w:hAnsi="Arial" w:cs="Arial"/>
        </w:rPr>
        <w:t xml:space="preserve"> and</w:t>
      </w:r>
      <w:r w:rsidR="00CA5378" w:rsidRPr="00434B5A">
        <w:rPr>
          <w:rFonts w:ascii="Arial" w:hAnsi="Arial" w:cs="Arial"/>
        </w:rPr>
        <w:t xml:space="preserve"> were considered and co</w:t>
      </w:r>
      <w:r w:rsidR="007954B9">
        <w:rPr>
          <w:rFonts w:ascii="Arial" w:hAnsi="Arial" w:cs="Arial"/>
        </w:rPr>
        <w:t xml:space="preserve">ntrolled throughout my research, </w:t>
      </w:r>
      <w:r w:rsidR="00CA5378" w:rsidRPr="00434B5A">
        <w:rPr>
          <w:rFonts w:ascii="Arial" w:hAnsi="Arial" w:cs="Arial"/>
        </w:rPr>
        <w:t>(Table</w:t>
      </w:r>
      <w:r w:rsidR="007954B9">
        <w:rPr>
          <w:rFonts w:ascii="Arial" w:hAnsi="Arial" w:cs="Arial"/>
        </w:rPr>
        <w:t xml:space="preserve"> 11</w:t>
      </w:r>
      <w:r w:rsidR="00CA5378" w:rsidRPr="00434B5A">
        <w:rPr>
          <w:rFonts w:ascii="Arial" w:hAnsi="Arial" w:cs="Arial"/>
        </w:rPr>
        <w:t xml:space="preserve">). </w:t>
      </w:r>
      <w:r w:rsidR="00072E9C">
        <w:rPr>
          <w:rFonts w:ascii="Arial" w:hAnsi="Arial" w:cs="Arial"/>
        </w:rPr>
        <w:t xml:space="preserve">With the exception of sclerostin all other biochemical tests were measured using fully automated immunoassay analysers. </w:t>
      </w:r>
      <w:r w:rsidR="00274EBD">
        <w:rPr>
          <w:rFonts w:ascii="Arial" w:hAnsi="Arial" w:cs="Arial"/>
        </w:rPr>
        <w:t>Trained technical exp</w:t>
      </w:r>
      <w:r w:rsidR="00A90C4D">
        <w:rPr>
          <w:rFonts w:ascii="Arial" w:hAnsi="Arial" w:cs="Arial"/>
        </w:rPr>
        <w:t>erts</w:t>
      </w:r>
      <w:r w:rsidR="00274EBD">
        <w:rPr>
          <w:rFonts w:ascii="Arial" w:hAnsi="Arial" w:cs="Arial"/>
        </w:rPr>
        <w:t xml:space="preserve"> using these analysers ensured precise measurements of the BTMs throughout the </w:t>
      </w:r>
      <w:r w:rsidR="00274EBD">
        <w:rPr>
          <w:rFonts w:ascii="Arial" w:hAnsi="Arial" w:cs="Arial"/>
        </w:rPr>
        <w:lastRenderedPageBreak/>
        <w:t xml:space="preserve">thesis. The sclerostin manual assays were subject to greater variability than the BTMs due to operator error. </w:t>
      </w:r>
    </w:p>
    <w:p w:rsidR="007954B9" w:rsidRPr="007954B9" w:rsidRDefault="007954B9" w:rsidP="005354D9">
      <w:pPr>
        <w:pStyle w:val="Caption"/>
        <w:keepNext/>
        <w:jc w:val="both"/>
        <w:rPr>
          <w:rFonts w:ascii="Arial" w:hAnsi="Arial" w:cs="Arial"/>
          <w:b w:val="0"/>
          <w:color w:val="000000" w:themeColor="text1"/>
        </w:rPr>
      </w:pPr>
      <w:bookmarkStart w:id="112" w:name="_Toc424043685"/>
      <w:r w:rsidRPr="007954B9">
        <w:rPr>
          <w:rFonts w:ascii="Arial" w:hAnsi="Arial" w:cs="Arial"/>
          <w:b w:val="0"/>
          <w:color w:val="000000" w:themeColor="text1"/>
        </w:rPr>
        <w:t xml:space="preserve">Table </w:t>
      </w:r>
      <w:r w:rsidRPr="007954B9">
        <w:rPr>
          <w:rFonts w:ascii="Arial" w:hAnsi="Arial" w:cs="Arial"/>
          <w:b w:val="0"/>
          <w:color w:val="000000" w:themeColor="text1"/>
        </w:rPr>
        <w:fldChar w:fldCharType="begin"/>
      </w:r>
      <w:r w:rsidRPr="007954B9">
        <w:rPr>
          <w:rFonts w:ascii="Arial" w:hAnsi="Arial" w:cs="Arial"/>
          <w:b w:val="0"/>
          <w:color w:val="000000" w:themeColor="text1"/>
        </w:rPr>
        <w:instrText xml:space="preserve"> SEQ Table \* ARABIC </w:instrText>
      </w:r>
      <w:r w:rsidRPr="007954B9">
        <w:rPr>
          <w:rFonts w:ascii="Arial" w:hAnsi="Arial" w:cs="Arial"/>
          <w:b w:val="0"/>
          <w:color w:val="000000" w:themeColor="text1"/>
        </w:rPr>
        <w:fldChar w:fldCharType="separate"/>
      </w:r>
      <w:r w:rsidR="00DD116A">
        <w:rPr>
          <w:rFonts w:ascii="Arial" w:hAnsi="Arial" w:cs="Arial"/>
          <w:b w:val="0"/>
          <w:noProof/>
          <w:color w:val="000000" w:themeColor="text1"/>
        </w:rPr>
        <w:t>11</w:t>
      </w:r>
      <w:r w:rsidRPr="007954B9">
        <w:rPr>
          <w:rFonts w:ascii="Arial" w:hAnsi="Arial" w:cs="Arial"/>
          <w:b w:val="0"/>
          <w:color w:val="000000" w:themeColor="text1"/>
        </w:rPr>
        <w:fldChar w:fldCharType="end"/>
      </w:r>
      <w:r w:rsidRPr="007954B9">
        <w:rPr>
          <w:rFonts w:ascii="Arial" w:hAnsi="Arial" w:cs="Arial"/>
          <w:b w:val="0"/>
          <w:color w:val="000000" w:themeColor="text1"/>
        </w:rPr>
        <w:t xml:space="preserve">: Sources of variability </w:t>
      </w:r>
      <w:r>
        <w:rPr>
          <w:rFonts w:ascii="Arial" w:hAnsi="Arial" w:cs="Arial"/>
          <w:b w:val="0"/>
          <w:color w:val="000000" w:themeColor="text1"/>
        </w:rPr>
        <w:t>and how their effects</w:t>
      </w:r>
      <w:r w:rsidRPr="007954B9">
        <w:rPr>
          <w:rFonts w:ascii="Arial" w:hAnsi="Arial" w:cs="Arial"/>
          <w:b w:val="0"/>
          <w:color w:val="000000" w:themeColor="text1"/>
        </w:rPr>
        <w:t xml:space="preserve"> </w:t>
      </w:r>
      <w:r>
        <w:rPr>
          <w:rFonts w:ascii="Arial" w:hAnsi="Arial" w:cs="Arial"/>
          <w:b w:val="0"/>
          <w:color w:val="000000" w:themeColor="text1"/>
        </w:rPr>
        <w:t xml:space="preserve">on BTMs </w:t>
      </w:r>
      <w:r w:rsidRPr="007954B9">
        <w:rPr>
          <w:rFonts w:ascii="Arial" w:hAnsi="Arial" w:cs="Arial"/>
          <w:b w:val="0"/>
          <w:color w:val="000000" w:themeColor="text1"/>
        </w:rPr>
        <w:t>were controlled</w:t>
      </w:r>
      <w:r>
        <w:rPr>
          <w:rFonts w:ascii="Arial" w:hAnsi="Arial" w:cs="Arial"/>
          <w:b w:val="0"/>
          <w:color w:val="000000" w:themeColor="text1"/>
        </w:rPr>
        <w:t>/monitored</w:t>
      </w:r>
      <w:r w:rsidRPr="007954B9">
        <w:rPr>
          <w:rFonts w:ascii="Arial" w:hAnsi="Arial" w:cs="Arial"/>
          <w:b w:val="0"/>
          <w:color w:val="000000" w:themeColor="text1"/>
        </w:rPr>
        <w:t xml:space="preserve"> in the thesis</w:t>
      </w:r>
      <w:bookmarkEnd w:id="112"/>
    </w:p>
    <w:tbl>
      <w:tblPr>
        <w:tblStyle w:val="TableGrid"/>
        <w:tblW w:w="0" w:type="auto"/>
        <w:tblLook w:val="04A0" w:firstRow="1" w:lastRow="0" w:firstColumn="1" w:lastColumn="0" w:noHBand="0" w:noVBand="1"/>
      </w:tblPr>
      <w:tblGrid>
        <w:gridCol w:w="4238"/>
        <w:gridCol w:w="4256"/>
      </w:tblGrid>
      <w:tr w:rsidR="0079782B" w:rsidRPr="0079782B" w:rsidTr="0079782B">
        <w:tc>
          <w:tcPr>
            <w:tcW w:w="4360" w:type="dxa"/>
          </w:tcPr>
          <w:p w:rsidR="0079782B" w:rsidRPr="0079782B" w:rsidRDefault="0079782B" w:rsidP="00900F2C">
            <w:pPr>
              <w:spacing w:line="360" w:lineRule="auto"/>
              <w:rPr>
                <w:rFonts w:ascii="Arial" w:hAnsi="Arial" w:cs="Arial"/>
                <w:b/>
                <w:sz w:val="16"/>
                <w:szCs w:val="16"/>
              </w:rPr>
            </w:pPr>
            <w:r w:rsidRPr="0079782B">
              <w:rPr>
                <w:rFonts w:ascii="Arial" w:hAnsi="Arial" w:cs="Arial"/>
                <w:b/>
                <w:sz w:val="16"/>
                <w:szCs w:val="16"/>
              </w:rPr>
              <w:t>Sources of variability</w:t>
            </w:r>
          </w:p>
        </w:tc>
        <w:tc>
          <w:tcPr>
            <w:tcW w:w="4360" w:type="dxa"/>
          </w:tcPr>
          <w:p w:rsidR="0079782B" w:rsidRPr="0079782B" w:rsidRDefault="0079782B" w:rsidP="00900F2C">
            <w:pPr>
              <w:spacing w:line="360" w:lineRule="auto"/>
              <w:rPr>
                <w:rFonts w:ascii="Arial" w:hAnsi="Arial" w:cs="Arial"/>
                <w:b/>
                <w:sz w:val="16"/>
                <w:szCs w:val="16"/>
              </w:rPr>
            </w:pPr>
            <w:r w:rsidRPr="0079782B">
              <w:rPr>
                <w:rFonts w:ascii="Arial" w:hAnsi="Arial" w:cs="Arial"/>
                <w:b/>
                <w:sz w:val="16"/>
                <w:szCs w:val="16"/>
              </w:rPr>
              <w:t>How variability was controlled/effect minimised</w:t>
            </w:r>
          </w:p>
        </w:tc>
      </w:tr>
      <w:tr w:rsidR="0079782B" w:rsidRPr="0079782B" w:rsidTr="0079782B">
        <w:tc>
          <w:tcPr>
            <w:tcW w:w="4360" w:type="dxa"/>
          </w:tcPr>
          <w:p w:rsidR="0079782B" w:rsidRPr="0079782B" w:rsidRDefault="0079782B" w:rsidP="00900F2C">
            <w:pPr>
              <w:spacing w:line="360" w:lineRule="auto"/>
              <w:rPr>
                <w:rFonts w:ascii="Arial" w:hAnsi="Arial" w:cs="Arial"/>
                <w:b/>
                <w:sz w:val="16"/>
                <w:szCs w:val="16"/>
              </w:rPr>
            </w:pPr>
            <w:r w:rsidRPr="0079782B">
              <w:rPr>
                <w:rFonts w:ascii="Arial" w:hAnsi="Arial" w:cs="Arial"/>
                <w:b/>
                <w:sz w:val="16"/>
                <w:szCs w:val="16"/>
              </w:rPr>
              <w:t>Preanalytical variability</w:t>
            </w:r>
          </w:p>
          <w:p w:rsidR="0079782B" w:rsidRDefault="0079782B" w:rsidP="00900F2C">
            <w:pPr>
              <w:spacing w:line="360" w:lineRule="auto"/>
              <w:rPr>
                <w:rFonts w:ascii="Arial" w:hAnsi="Arial" w:cs="Arial"/>
                <w:sz w:val="16"/>
                <w:szCs w:val="16"/>
              </w:rPr>
            </w:pPr>
            <w:r>
              <w:rPr>
                <w:rFonts w:ascii="Arial" w:hAnsi="Arial" w:cs="Arial"/>
                <w:sz w:val="16"/>
                <w:szCs w:val="16"/>
              </w:rPr>
              <w:t>Circadian  rhythm</w:t>
            </w:r>
          </w:p>
          <w:p w:rsidR="0079782B" w:rsidRDefault="0079782B" w:rsidP="00900F2C">
            <w:pPr>
              <w:spacing w:line="360" w:lineRule="auto"/>
              <w:rPr>
                <w:rFonts w:ascii="Arial" w:hAnsi="Arial" w:cs="Arial"/>
                <w:sz w:val="16"/>
                <w:szCs w:val="16"/>
              </w:rPr>
            </w:pPr>
            <w:r>
              <w:rPr>
                <w:rFonts w:ascii="Arial" w:hAnsi="Arial" w:cs="Arial"/>
                <w:sz w:val="16"/>
                <w:szCs w:val="16"/>
              </w:rPr>
              <w:t>Food intake</w:t>
            </w:r>
          </w:p>
          <w:p w:rsidR="0079782B" w:rsidRDefault="0079782B" w:rsidP="00900F2C">
            <w:pPr>
              <w:spacing w:line="360" w:lineRule="auto"/>
              <w:rPr>
                <w:rFonts w:ascii="Arial" w:hAnsi="Arial" w:cs="Arial"/>
                <w:sz w:val="16"/>
                <w:szCs w:val="16"/>
              </w:rPr>
            </w:pPr>
          </w:p>
          <w:p w:rsidR="0079782B" w:rsidRDefault="0079782B" w:rsidP="00900F2C">
            <w:pPr>
              <w:spacing w:line="360" w:lineRule="auto"/>
              <w:rPr>
                <w:rFonts w:ascii="Arial" w:hAnsi="Arial" w:cs="Arial"/>
                <w:sz w:val="16"/>
                <w:szCs w:val="16"/>
              </w:rPr>
            </w:pPr>
            <w:r>
              <w:rPr>
                <w:rFonts w:ascii="Arial" w:hAnsi="Arial" w:cs="Arial"/>
                <w:sz w:val="16"/>
                <w:szCs w:val="16"/>
              </w:rPr>
              <w:t>Gender</w:t>
            </w:r>
          </w:p>
          <w:p w:rsidR="0079782B" w:rsidRDefault="0079782B" w:rsidP="00900F2C">
            <w:pPr>
              <w:spacing w:line="360" w:lineRule="auto"/>
              <w:rPr>
                <w:rFonts w:ascii="Arial" w:hAnsi="Arial" w:cs="Arial"/>
                <w:sz w:val="16"/>
                <w:szCs w:val="16"/>
              </w:rPr>
            </w:pPr>
            <w:r>
              <w:rPr>
                <w:rFonts w:ascii="Arial" w:hAnsi="Arial" w:cs="Arial"/>
                <w:sz w:val="16"/>
                <w:szCs w:val="16"/>
              </w:rPr>
              <w:t>Ethnicity</w:t>
            </w:r>
          </w:p>
          <w:p w:rsidR="0079782B" w:rsidRDefault="00D86A98" w:rsidP="00900F2C">
            <w:pPr>
              <w:spacing w:line="360" w:lineRule="auto"/>
              <w:rPr>
                <w:rFonts w:ascii="Arial" w:hAnsi="Arial" w:cs="Arial"/>
                <w:sz w:val="16"/>
                <w:szCs w:val="16"/>
              </w:rPr>
            </w:pPr>
            <w:r>
              <w:rPr>
                <w:rFonts w:ascii="Arial" w:hAnsi="Arial" w:cs="Arial"/>
                <w:sz w:val="16"/>
                <w:szCs w:val="16"/>
              </w:rPr>
              <w:t>Menopausal</w:t>
            </w:r>
            <w:r w:rsidR="0079782B">
              <w:rPr>
                <w:rFonts w:ascii="Arial" w:hAnsi="Arial" w:cs="Arial"/>
                <w:sz w:val="16"/>
                <w:szCs w:val="16"/>
              </w:rPr>
              <w:t xml:space="preserve"> status</w:t>
            </w:r>
          </w:p>
          <w:p w:rsidR="0079782B" w:rsidRDefault="0079782B" w:rsidP="00900F2C">
            <w:pPr>
              <w:spacing w:line="360" w:lineRule="auto"/>
              <w:rPr>
                <w:rFonts w:ascii="Arial" w:hAnsi="Arial" w:cs="Arial"/>
                <w:sz w:val="16"/>
                <w:szCs w:val="16"/>
              </w:rPr>
            </w:pPr>
            <w:r>
              <w:rPr>
                <w:rFonts w:ascii="Arial" w:hAnsi="Arial" w:cs="Arial"/>
                <w:sz w:val="16"/>
                <w:szCs w:val="16"/>
              </w:rPr>
              <w:t>Recent fractures (clinical trials only)</w:t>
            </w:r>
          </w:p>
          <w:p w:rsidR="00C42C4C" w:rsidRDefault="00C42C4C" w:rsidP="00900F2C">
            <w:pPr>
              <w:spacing w:line="360" w:lineRule="auto"/>
              <w:rPr>
                <w:rFonts w:ascii="Arial" w:hAnsi="Arial" w:cs="Arial"/>
                <w:sz w:val="16"/>
                <w:szCs w:val="16"/>
              </w:rPr>
            </w:pPr>
          </w:p>
          <w:p w:rsidR="00C42C4C" w:rsidRDefault="00C42C4C" w:rsidP="00900F2C">
            <w:pPr>
              <w:spacing w:line="360" w:lineRule="auto"/>
              <w:rPr>
                <w:rFonts w:ascii="Arial" w:hAnsi="Arial" w:cs="Arial"/>
                <w:sz w:val="16"/>
                <w:szCs w:val="16"/>
              </w:rPr>
            </w:pPr>
            <w:r>
              <w:rPr>
                <w:rFonts w:ascii="Arial" w:hAnsi="Arial" w:cs="Arial"/>
                <w:sz w:val="16"/>
                <w:szCs w:val="16"/>
              </w:rPr>
              <w:t>Diseases characterised by altered bone turnover (clinical trials only)</w:t>
            </w:r>
          </w:p>
          <w:p w:rsidR="00C42C4C" w:rsidRPr="0079782B" w:rsidRDefault="00C42C4C" w:rsidP="00900F2C">
            <w:pPr>
              <w:spacing w:line="360" w:lineRule="auto"/>
              <w:rPr>
                <w:rFonts w:ascii="Arial" w:hAnsi="Arial" w:cs="Arial"/>
                <w:sz w:val="16"/>
                <w:szCs w:val="16"/>
              </w:rPr>
            </w:pPr>
            <w:r>
              <w:rPr>
                <w:rFonts w:ascii="Arial" w:hAnsi="Arial" w:cs="Arial"/>
                <w:sz w:val="16"/>
                <w:szCs w:val="16"/>
              </w:rPr>
              <w:t>Medications known to effect bone remodelling (clinical trials only)</w:t>
            </w:r>
          </w:p>
        </w:tc>
        <w:tc>
          <w:tcPr>
            <w:tcW w:w="4360" w:type="dxa"/>
          </w:tcPr>
          <w:p w:rsidR="0079782B" w:rsidRDefault="0079782B" w:rsidP="00900F2C">
            <w:pPr>
              <w:spacing w:line="360" w:lineRule="auto"/>
              <w:rPr>
                <w:rFonts w:ascii="Arial" w:hAnsi="Arial" w:cs="Arial"/>
                <w:sz w:val="16"/>
                <w:szCs w:val="16"/>
              </w:rPr>
            </w:pPr>
          </w:p>
          <w:p w:rsidR="0079782B" w:rsidRDefault="0079782B" w:rsidP="00900F2C">
            <w:pPr>
              <w:spacing w:line="360" w:lineRule="auto"/>
              <w:rPr>
                <w:rFonts w:ascii="Arial" w:hAnsi="Arial" w:cs="Arial"/>
                <w:sz w:val="16"/>
                <w:szCs w:val="16"/>
              </w:rPr>
            </w:pPr>
            <w:r>
              <w:rPr>
                <w:rFonts w:ascii="Arial" w:hAnsi="Arial" w:cs="Arial"/>
                <w:sz w:val="16"/>
                <w:szCs w:val="16"/>
              </w:rPr>
              <w:t>Samples taken between 0800 to 1000 (exception OPUS)</w:t>
            </w:r>
          </w:p>
          <w:p w:rsidR="0079782B" w:rsidRDefault="0079782B" w:rsidP="00900F2C">
            <w:pPr>
              <w:spacing w:line="360" w:lineRule="auto"/>
              <w:rPr>
                <w:rFonts w:ascii="Arial" w:hAnsi="Arial" w:cs="Arial"/>
                <w:sz w:val="16"/>
                <w:szCs w:val="16"/>
              </w:rPr>
            </w:pPr>
            <w:r>
              <w:rPr>
                <w:rFonts w:ascii="Arial" w:hAnsi="Arial" w:cs="Arial"/>
                <w:sz w:val="16"/>
                <w:szCs w:val="16"/>
              </w:rPr>
              <w:t>Samples taken following an overnight fast (OPUS non-fasting</w:t>
            </w:r>
          </w:p>
          <w:p w:rsidR="0079782B" w:rsidRDefault="0079782B" w:rsidP="00900F2C">
            <w:pPr>
              <w:spacing w:line="360" w:lineRule="auto"/>
              <w:rPr>
                <w:rFonts w:ascii="Arial" w:hAnsi="Arial" w:cs="Arial"/>
                <w:sz w:val="16"/>
                <w:szCs w:val="16"/>
              </w:rPr>
            </w:pPr>
            <w:r>
              <w:rPr>
                <w:rFonts w:ascii="Arial" w:hAnsi="Arial" w:cs="Arial"/>
                <w:sz w:val="16"/>
                <w:szCs w:val="16"/>
              </w:rPr>
              <w:t xml:space="preserve">All subjects were postmenopausal or </w:t>
            </w:r>
            <w:r w:rsidR="00D86A98">
              <w:rPr>
                <w:rFonts w:ascii="Arial" w:hAnsi="Arial" w:cs="Arial"/>
                <w:sz w:val="16"/>
                <w:szCs w:val="16"/>
              </w:rPr>
              <w:t xml:space="preserve">premenopausal </w:t>
            </w:r>
          </w:p>
          <w:p w:rsidR="0079782B" w:rsidRDefault="0079782B" w:rsidP="00900F2C">
            <w:pPr>
              <w:spacing w:line="360" w:lineRule="auto"/>
              <w:rPr>
                <w:rFonts w:ascii="Arial" w:hAnsi="Arial" w:cs="Arial"/>
                <w:sz w:val="16"/>
                <w:szCs w:val="16"/>
              </w:rPr>
            </w:pPr>
            <w:r>
              <w:rPr>
                <w:rFonts w:ascii="Arial" w:hAnsi="Arial" w:cs="Arial"/>
                <w:sz w:val="16"/>
                <w:szCs w:val="16"/>
              </w:rPr>
              <w:t>All subjects were Caucasian</w:t>
            </w:r>
          </w:p>
          <w:p w:rsidR="0079782B" w:rsidRDefault="0079782B" w:rsidP="00900F2C">
            <w:pPr>
              <w:spacing w:line="360" w:lineRule="auto"/>
              <w:rPr>
                <w:rFonts w:ascii="Arial" w:hAnsi="Arial" w:cs="Arial"/>
                <w:sz w:val="16"/>
                <w:szCs w:val="16"/>
              </w:rPr>
            </w:pPr>
            <w:r>
              <w:rPr>
                <w:rFonts w:ascii="Arial" w:hAnsi="Arial" w:cs="Arial"/>
                <w:sz w:val="16"/>
                <w:szCs w:val="16"/>
              </w:rPr>
              <w:t>Older women were ≥ 5 years postmenopausal</w:t>
            </w:r>
          </w:p>
          <w:p w:rsidR="0079782B" w:rsidRDefault="00C42C4C" w:rsidP="00900F2C">
            <w:pPr>
              <w:spacing w:line="360" w:lineRule="auto"/>
              <w:rPr>
                <w:rFonts w:ascii="Arial" w:hAnsi="Arial" w:cs="Arial"/>
                <w:sz w:val="16"/>
                <w:szCs w:val="16"/>
              </w:rPr>
            </w:pPr>
            <w:r>
              <w:rPr>
                <w:rFonts w:ascii="Arial" w:hAnsi="Arial" w:cs="Arial"/>
                <w:sz w:val="16"/>
                <w:szCs w:val="16"/>
              </w:rPr>
              <w:t>Subjects who fractured within 12 months prior to recruitment were not included</w:t>
            </w:r>
          </w:p>
          <w:p w:rsidR="00C42C4C" w:rsidRDefault="00C42C4C" w:rsidP="00900F2C">
            <w:pPr>
              <w:spacing w:line="360" w:lineRule="auto"/>
              <w:rPr>
                <w:rFonts w:ascii="Arial" w:hAnsi="Arial" w:cs="Arial"/>
                <w:sz w:val="16"/>
                <w:szCs w:val="16"/>
              </w:rPr>
            </w:pPr>
            <w:r>
              <w:rPr>
                <w:rFonts w:ascii="Arial" w:hAnsi="Arial" w:cs="Arial"/>
                <w:sz w:val="16"/>
                <w:szCs w:val="16"/>
              </w:rPr>
              <w:t xml:space="preserve">e.g. Primary hyperparathyroidism, Cushing’s disease and </w:t>
            </w:r>
            <w:r w:rsidR="00D86A98">
              <w:rPr>
                <w:rFonts w:ascii="Arial" w:hAnsi="Arial" w:cs="Arial"/>
                <w:sz w:val="16"/>
                <w:szCs w:val="16"/>
              </w:rPr>
              <w:t>hypoparathyroidism</w:t>
            </w:r>
            <w:r>
              <w:rPr>
                <w:rFonts w:ascii="Arial" w:hAnsi="Arial" w:cs="Arial"/>
                <w:sz w:val="16"/>
                <w:szCs w:val="16"/>
              </w:rPr>
              <w:t xml:space="preserve"> were not included</w:t>
            </w:r>
          </w:p>
          <w:p w:rsidR="00C42C4C" w:rsidRPr="0079782B" w:rsidRDefault="00C42C4C" w:rsidP="00900F2C">
            <w:pPr>
              <w:spacing w:line="360" w:lineRule="auto"/>
              <w:rPr>
                <w:rFonts w:ascii="Arial" w:hAnsi="Arial" w:cs="Arial"/>
                <w:sz w:val="16"/>
                <w:szCs w:val="16"/>
              </w:rPr>
            </w:pPr>
            <w:r>
              <w:rPr>
                <w:rFonts w:ascii="Arial" w:hAnsi="Arial" w:cs="Arial"/>
                <w:sz w:val="16"/>
                <w:szCs w:val="16"/>
              </w:rPr>
              <w:t>Subjects who were receiving the</w:t>
            </w:r>
            <w:r w:rsidR="00D86A98">
              <w:rPr>
                <w:rFonts w:ascii="Arial" w:hAnsi="Arial" w:cs="Arial"/>
                <w:sz w:val="16"/>
                <w:szCs w:val="16"/>
              </w:rPr>
              <w:t>s</w:t>
            </w:r>
            <w:r>
              <w:rPr>
                <w:rFonts w:ascii="Arial" w:hAnsi="Arial" w:cs="Arial"/>
                <w:sz w:val="16"/>
                <w:szCs w:val="16"/>
              </w:rPr>
              <w:t>e were not included</w:t>
            </w:r>
          </w:p>
        </w:tc>
      </w:tr>
      <w:tr w:rsidR="0079782B" w:rsidRPr="0079782B" w:rsidTr="0079782B">
        <w:tc>
          <w:tcPr>
            <w:tcW w:w="4360" w:type="dxa"/>
          </w:tcPr>
          <w:p w:rsidR="0079782B" w:rsidRDefault="0079782B" w:rsidP="00900F2C">
            <w:pPr>
              <w:spacing w:line="360" w:lineRule="auto"/>
              <w:rPr>
                <w:rFonts w:ascii="Arial" w:hAnsi="Arial" w:cs="Arial"/>
                <w:b/>
                <w:sz w:val="16"/>
                <w:szCs w:val="16"/>
              </w:rPr>
            </w:pPr>
            <w:r w:rsidRPr="00C42C4C">
              <w:rPr>
                <w:rFonts w:ascii="Arial" w:hAnsi="Arial" w:cs="Arial"/>
                <w:b/>
                <w:sz w:val="16"/>
                <w:szCs w:val="16"/>
              </w:rPr>
              <w:t>Analytical variability</w:t>
            </w:r>
          </w:p>
          <w:p w:rsidR="00D86A98" w:rsidRDefault="00D86A98" w:rsidP="00900F2C">
            <w:pPr>
              <w:spacing w:line="360" w:lineRule="auto"/>
              <w:rPr>
                <w:rFonts w:ascii="Arial" w:hAnsi="Arial" w:cs="Arial"/>
                <w:sz w:val="16"/>
                <w:szCs w:val="16"/>
              </w:rPr>
            </w:pPr>
            <w:r>
              <w:rPr>
                <w:rFonts w:ascii="Arial" w:hAnsi="Arial" w:cs="Arial"/>
                <w:sz w:val="16"/>
                <w:szCs w:val="16"/>
              </w:rPr>
              <w:t>Sample storage</w:t>
            </w:r>
          </w:p>
          <w:p w:rsidR="00C42C4C" w:rsidRDefault="00C42C4C" w:rsidP="00900F2C">
            <w:pPr>
              <w:spacing w:line="360" w:lineRule="auto"/>
              <w:rPr>
                <w:rFonts w:ascii="Arial" w:hAnsi="Arial" w:cs="Arial"/>
                <w:sz w:val="16"/>
                <w:szCs w:val="16"/>
              </w:rPr>
            </w:pPr>
            <w:r w:rsidRPr="00C42C4C">
              <w:rPr>
                <w:rFonts w:ascii="Arial" w:hAnsi="Arial" w:cs="Arial"/>
                <w:sz w:val="16"/>
                <w:szCs w:val="16"/>
              </w:rPr>
              <w:t>BTM and sclerostin measurements</w:t>
            </w:r>
          </w:p>
          <w:p w:rsidR="00D1150F" w:rsidRDefault="00D1150F" w:rsidP="00900F2C">
            <w:pPr>
              <w:spacing w:line="360" w:lineRule="auto"/>
              <w:rPr>
                <w:rFonts w:ascii="Arial" w:hAnsi="Arial" w:cs="Arial"/>
                <w:sz w:val="16"/>
                <w:szCs w:val="16"/>
              </w:rPr>
            </w:pPr>
          </w:p>
          <w:p w:rsidR="00D1150F" w:rsidRDefault="00D1150F" w:rsidP="00900F2C">
            <w:pPr>
              <w:spacing w:line="360" w:lineRule="auto"/>
              <w:rPr>
                <w:rFonts w:ascii="Arial" w:hAnsi="Arial" w:cs="Arial"/>
                <w:sz w:val="16"/>
                <w:szCs w:val="16"/>
              </w:rPr>
            </w:pPr>
          </w:p>
          <w:p w:rsidR="00D1150F" w:rsidRDefault="00D1150F" w:rsidP="00900F2C">
            <w:pPr>
              <w:spacing w:line="360" w:lineRule="auto"/>
              <w:rPr>
                <w:rFonts w:ascii="Arial" w:hAnsi="Arial" w:cs="Arial"/>
                <w:sz w:val="16"/>
                <w:szCs w:val="16"/>
              </w:rPr>
            </w:pPr>
          </w:p>
          <w:p w:rsidR="00D1150F" w:rsidRDefault="00D1150F" w:rsidP="00900F2C">
            <w:pPr>
              <w:spacing w:line="360" w:lineRule="auto"/>
              <w:rPr>
                <w:rFonts w:ascii="Arial" w:hAnsi="Arial" w:cs="Arial"/>
                <w:sz w:val="16"/>
                <w:szCs w:val="16"/>
              </w:rPr>
            </w:pPr>
          </w:p>
          <w:p w:rsidR="00D1150F" w:rsidRDefault="00D1150F" w:rsidP="00900F2C">
            <w:pPr>
              <w:spacing w:line="360" w:lineRule="auto"/>
              <w:rPr>
                <w:rFonts w:ascii="Arial" w:hAnsi="Arial" w:cs="Arial"/>
                <w:sz w:val="16"/>
                <w:szCs w:val="16"/>
              </w:rPr>
            </w:pPr>
          </w:p>
          <w:p w:rsidR="000934A2" w:rsidRDefault="000934A2" w:rsidP="00900F2C">
            <w:pPr>
              <w:spacing w:line="360" w:lineRule="auto"/>
              <w:rPr>
                <w:rFonts w:ascii="Arial" w:hAnsi="Arial" w:cs="Arial"/>
                <w:sz w:val="16"/>
                <w:szCs w:val="16"/>
              </w:rPr>
            </w:pPr>
          </w:p>
          <w:p w:rsidR="000934A2" w:rsidRDefault="000934A2" w:rsidP="00900F2C">
            <w:pPr>
              <w:spacing w:line="360" w:lineRule="auto"/>
              <w:rPr>
                <w:rFonts w:ascii="Arial" w:hAnsi="Arial" w:cs="Arial"/>
                <w:sz w:val="16"/>
                <w:szCs w:val="16"/>
              </w:rPr>
            </w:pPr>
          </w:p>
          <w:p w:rsidR="00D1150F" w:rsidRPr="00C42C4C" w:rsidRDefault="00D1150F" w:rsidP="00900F2C">
            <w:pPr>
              <w:spacing w:line="360" w:lineRule="auto"/>
              <w:rPr>
                <w:rFonts w:ascii="Arial" w:hAnsi="Arial" w:cs="Arial"/>
                <w:sz w:val="16"/>
                <w:szCs w:val="16"/>
              </w:rPr>
            </w:pPr>
            <w:r>
              <w:rPr>
                <w:rFonts w:ascii="Arial" w:hAnsi="Arial" w:cs="Arial"/>
                <w:sz w:val="16"/>
                <w:szCs w:val="16"/>
              </w:rPr>
              <w:t xml:space="preserve">BTM Quality Control (QC) </w:t>
            </w:r>
          </w:p>
        </w:tc>
        <w:tc>
          <w:tcPr>
            <w:tcW w:w="4360" w:type="dxa"/>
          </w:tcPr>
          <w:p w:rsidR="0079782B" w:rsidRDefault="0079782B" w:rsidP="00900F2C">
            <w:pPr>
              <w:spacing w:line="360" w:lineRule="auto"/>
              <w:rPr>
                <w:rFonts w:ascii="Arial" w:hAnsi="Arial" w:cs="Arial"/>
                <w:sz w:val="16"/>
                <w:szCs w:val="16"/>
              </w:rPr>
            </w:pPr>
          </w:p>
          <w:p w:rsidR="00D86A98" w:rsidRDefault="00D86A98" w:rsidP="00900F2C">
            <w:pPr>
              <w:spacing w:line="360" w:lineRule="auto"/>
              <w:rPr>
                <w:rFonts w:ascii="Arial" w:hAnsi="Arial" w:cs="Arial"/>
                <w:sz w:val="16"/>
                <w:szCs w:val="16"/>
              </w:rPr>
            </w:pPr>
            <w:r>
              <w:rPr>
                <w:rFonts w:ascii="Arial" w:hAnsi="Arial" w:cs="Arial"/>
                <w:sz w:val="16"/>
                <w:szCs w:val="16"/>
              </w:rPr>
              <w:t xml:space="preserve">Stored at -80°C until time of measurement </w:t>
            </w:r>
          </w:p>
          <w:p w:rsidR="00C42C4C" w:rsidRDefault="00D1150F" w:rsidP="00900F2C">
            <w:pPr>
              <w:spacing w:line="360" w:lineRule="auto"/>
              <w:rPr>
                <w:rFonts w:ascii="Arial" w:hAnsi="Arial" w:cs="Arial"/>
                <w:sz w:val="16"/>
                <w:szCs w:val="16"/>
              </w:rPr>
            </w:pPr>
            <w:r>
              <w:rPr>
                <w:rFonts w:ascii="Arial" w:hAnsi="Arial" w:cs="Arial"/>
                <w:sz w:val="16"/>
                <w:szCs w:val="16"/>
              </w:rPr>
              <w:t>Each analyte within a study was measured using assays from the same lot number.</w:t>
            </w:r>
          </w:p>
          <w:p w:rsidR="00D1150F" w:rsidRDefault="00D1150F" w:rsidP="00900F2C">
            <w:pPr>
              <w:spacing w:line="360" w:lineRule="auto"/>
              <w:rPr>
                <w:rFonts w:ascii="Arial" w:hAnsi="Arial" w:cs="Arial"/>
                <w:sz w:val="16"/>
                <w:szCs w:val="16"/>
              </w:rPr>
            </w:pPr>
            <w:r>
              <w:rPr>
                <w:rFonts w:ascii="Arial" w:hAnsi="Arial" w:cs="Arial"/>
                <w:sz w:val="16"/>
                <w:szCs w:val="16"/>
              </w:rPr>
              <w:t>The analyte for each study were measured over the same time period</w:t>
            </w:r>
          </w:p>
          <w:p w:rsidR="00D1150F" w:rsidRDefault="00D1150F" w:rsidP="00900F2C">
            <w:pPr>
              <w:spacing w:line="360" w:lineRule="auto"/>
              <w:rPr>
                <w:rFonts w:ascii="Arial" w:hAnsi="Arial" w:cs="Arial"/>
                <w:sz w:val="16"/>
                <w:szCs w:val="16"/>
              </w:rPr>
            </w:pPr>
            <w:r>
              <w:rPr>
                <w:rFonts w:ascii="Arial" w:hAnsi="Arial" w:cs="Arial"/>
                <w:sz w:val="16"/>
                <w:szCs w:val="16"/>
              </w:rPr>
              <w:t xml:space="preserve">All </w:t>
            </w:r>
            <w:r w:rsidR="000934A2">
              <w:rPr>
                <w:rFonts w:ascii="Arial" w:hAnsi="Arial" w:cs="Arial"/>
                <w:sz w:val="16"/>
                <w:szCs w:val="16"/>
              </w:rPr>
              <w:t>analytes</w:t>
            </w:r>
            <w:r>
              <w:rPr>
                <w:rFonts w:ascii="Arial" w:hAnsi="Arial" w:cs="Arial"/>
                <w:sz w:val="16"/>
                <w:szCs w:val="16"/>
              </w:rPr>
              <w:t xml:space="preserve"> were measured using automated immunoassay analysers in the same laboratory</w:t>
            </w:r>
          </w:p>
          <w:p w:rsidR="000934A2" w:rsidRDefault="000934A2" w:rsidP="00900F2C">
            <w:pPr>
              <w:spacing w:line="360" w:lineRule="auto"/>
              <w:rPr>
                <w:rFonts w:ascii="Arial" w:hAnsi="Arial" w:cs="Arial"/>
                <w:sz w:val="16"/>
                <w:szCs w:val="16"/>
              </w:rPr>
            </w:pPr>
            <w:r>
              <w:rPr>
                <w:rFonts w:ascii="Arial" w:hAnsi="Arial" w:cs="Arial"/>
                <w:sz w:val="16"/>
                <w:szCs w:val="16"/>
              </w:rPr>
              <w:t>Sclerostin was measured in duplicates to monitor precision</w:t>
            </w:r>
          </w:p>
          <w:p w:rsidR="00D86A98" w:rsidRDefault="00D86A98" w:rsidP="00900F2C">
            <w:pPr>
              <w:spacing w:line="360" w:lineRule="auto"/>
              <w:rPr>
                <w:rFonts w:ascii="Arial" w:hAnsi="Arial" w:cs="Arial"/>
                <w:sz w:val="16"/>
                <w:szCs w:val="16"/>
              </w:rPr>
            </w:pPr>
            <w:r>
              <w:rPr>
                <w:rFonts w:ascii="Arial" w:hAnsi="Arial" w:cs="Arial"/>
                <w:sz w:val="16"/>
                <w:szCs w:val="16"/>
              </w:rPr>
              <w:t>QC assessment was performed and monitored for each analyte eac</w:t>
            </w:r>
            <w:r w:rsidR="00DD116A">
              <w:rPr>
                <w:rFonts w:ascii="Arial" w:hAnsi="Arial" w:cs="Arial"/>
                <w:sz w:val="16"/>
                <w:szCs w:val="16"/>
              </w:rPr>
              <w:t>h</w:t>
            </w:r>
            <w:r>
              <w:rPr>
                <w:rFonts w:ascii="Arial" w:hAnsi="Arial" w:cs="Arial"/>
                <w:sz w:val="16"/>
                <w:szCs w:val="16"/>
              </w:rPr>
              <w:t xml:space="preserve"> day of measurements</w:t>
            </w:r>
          </w:p>
          <w:p w:rsidR="00D1150F" w:rsidRPr="0079782B" w:rsidRDefault="00D1150F" w:rsidP="00DD116A">
            <w:pPr>
              <w:spacing w:line="360" w:lineRule="auto"/>
              <w:rPr>
                <w:rFonts w:ascii="Arial" w:hAnsi="Arial" w:cs="Arial"/>
                <w:sz w:val="16"/>
                <w:szCs w:val="16"/>
              </w:rPr>
            </w:pPr>
            <w:r>
              <w:rPr>
                <w:rFonts w:ascii="Arial" w:hAnsi="Arial" w:cs="Arial"/>
                <w:sz w:val="16"/>
                <w:szCs w:val="16"/>
              </w:rPr>
              <w:t xml:space="preserve">PINP, CTX, bone ALP and NTX/Cr were measured and monitored as part of the </w:t>
            </w:r>
            <w:r w:rsidR="00DD116A">
              <w:rPr>
                <w:rFonts w:ascii="Arial" w:hAnsi="Arial" w:cs="Arial"/>
                <w:sz w:val="16"/>
                <w:szCs w:val="16"/>
              </w:rPr>
              <w:t>UK NEQAS quality control scheme.</w:t>
            </w:r>
          </w:p>
        </w:tc>
      </w:tr>
    </w:tbl>
    <w:p w:rsidR="0079782B" w:rsidRPr="0079782B" w:rsidRDefault="0079782B" w:rsidP="00900F2C">
      <w:pPr>
        <w:spacing w:line="360" w:lineRule="auto"/>
        <w:rPr>
          <w:rFonts w:ascii="Arial" w:hAnsi="Arial" w:cs="Arial"/>
          <w:sz w:val="16"/>
          <w:szCs w:val="16"/>
        </w:rPr>
      </w:pPr>
    </w:p>
    <w:p w:rsidR="0006371E" w:rsidRDefault="0006371E" w:rsidP="005354D9">
      <w:pPr>
        <w:pStyle w:val="Heading4"/>
        <w:jc w:val="both"/>
      </w:pPr>
      <w:r>
        <w:t>Conclusion for BTMs assays</w:t>
      </w:r>
    </w:p>
    <w:p w:rsidR="0006371E" w:rsidRPr="00AE7CC5" w:rsidRDefault="0006371E" w:rsidP="003B725E">
      <w:pPr>
        <w:spacing w:line="360" w:lineRule="auto"/>
        <w:jc w:val="both"/>
        <w:rPr>
          <w:rFonts w:ascii="Arial" w:hAnsi="Arial" w:cs="Arial"/>
        </w:rPr>
      </w:pPr>
      <w:r w:rsidRPr="00452AEA">
        <w:rPr>
          <w:rFonts w:ascii="Arial" w:hAnsi="Arial" w:cs="Arial"/>
        </w:rPr>
        <w:t xml:space="preserve">All of the BTMs and other </w:t>
      </w:r>
      <w:r>
        <w:rPr>
          <w:rFonts w:ascii="Arial" w:hAnsi="Arial" w:cs="Arial"/>
        </w:rPr>
        <w:t xml:space="preserve">biochemical </w:t>
      </w:r>
      <w:r w:rsidRPr="00452AEA">
        <w:rPr>
          <w:rFonts w:ascii="Arial" w:hAnsi="Arial" w:cs="Arial"/>
        </w:rPr>
        <w:t xml:space="preserve">tests described in my thesis </w:t>
      </w:r>
      <w:r>
        <w:rPr>
          <w:rFonts w:ascii="Arial" w:hAnsi="Arial" w:cs="Arial"/>
        </w:rPr>
        <w:t xml:space="preserve">were collected, handled, stored and measured </w:t>
      </w:r>
      <w:r w:rsidRPr="00452AEA">
        <w:rPr>
          <w:rFonts w:ascii="Arial" w:hAnsi="Arial" w:cs="Arial"/>
        </w:rPr>
        <w:t xml:space="preserve">in </w:t>
      </w:r>
      <w:r>
        <w:rPr>
          <w:rFonts w:ascii="Arial" w:hAnsi="Arial" w:cs="Arial"/>
        </w:rPr>
        <w:t xml:space="preserve">the </w:t>
      </w:r>
      <w:r w:rsidRPr="00452AEA">
        <w:rPr>
          <w:rFonts w:ascii="Arial" w:hAnsi="Arial" w:cs="Arial"/>
        </w:rPr>
        <w:t xml:space="preserve">serum </w:t>
      </w:r>
      <w:r>
        <w:rPr>
          <w:rFonts w:ascii="Arial" w:hAnsi="Arial" w:cs="Arial"/>
        </w:rPr>
        <w:t xml:space="preserve">and </w:t>
      </w:r>
      <w:r w:rsidRPr="00452AEA">
        <w:rPr>
          <w:rFonts w:ascii="Arial" w:hAnsi="Arial" w:cs="Arial"/>
        </w:rPr>
        <w:t xml:space="preserve">in this manner.  It has </w:t>
      </w:r>
      <w:r>
        <w:rPr>
          <w:rFonts w:ascii="Arial" w:hAnsi="Arial" w:cs="Arial"/>
        </w:rPr>
        <w:t xml:space="preserve">previously </w:t>
      </w:r>
      <w:r w:rsidRPr="00452AEA">
        <w:rPr>
          <w:rFonts w:ascii="Arial" w:hAnsi="Arial" w:cs="Arial"/>
        </w:rPr>
        <w:t>been recommended that</w:t>
      </w:r>
      <w:r>
        <w:rPr>
          <w:rFonts w:ascii="Arial" w:hAnsi="Arial" w:cs="Arial"/>
        </w:rPr>
        <w:t>,</w:t>
      </w:r>
      <w:r w:rsidRPr="00452AEA">
        <w:rPr>
          <w:rFonts w:ascii="Arial" w:hAnsi="Arial" w:cs="Arial"/>
        </w:rPr>
        <w:t xml:space="preserve"> in particular CTX should be measured in EDTA plasma after rapid centrifugation and immediate analysis or freezing</w:t>
      </w:r>
      <w:r>
        <w:rPr>
          <w:rFonts w:ascii="Arial" w:hAnsi="Arial" w:cs="Arial"/>
        </w:rPr>
        <w:t>, in order to avoid degradation</w:t>
      </w:r>
      <w:r w:rsidRPr="00452AEA">
        <w:rPr>
          <w:rFonts w:ascii="Arial" w:hAnsi="Arial" w:cs="Arial"/>
        </w:rPr>
        <w:t xml:space="preserve"> </w:t>
      </w:r>
      <w:r>
        <w:rPr>
          <w:rFonts w:ascii="Arial" w:hAnsi="Arial" w:cs="Arial"/>
        </w:rPr>
        <w:fldChar w:fldCharType="begin"/>
      </w:r>
      <w:r w:rsidR="00B64C0F">
        <w:rPr>
          <w:rFonts w:ascii="Arial" w:hAnsi="Arial" w:cs="Arial"/>
        </w:rPr>
        <w:instrText xml:space="preserve"> ADDIN EN.CITE &lt;EndNote&gt;&lt;Cite&gt;&lt;Author&gt;Stokes&lt;/Author&gt;&lt;Year&gt;2011&lt;/Year&gt;&lt;RecNum&gt;223&lt;/RecNum&gt;&lt;DisplayText&gt;(360)&lt;/DisplayText&gt;&lt;record&gt;&lt;rec-number&gt;223&lt;/rec-number&gt;&lt;foreign-keys&gt;&lt;key app="EN" db-id="p9a5ttsvyvde9me5aw2x05fp5p55axf0wr90" timestamp="1420217659"&gt;223&lt;/key&gt;&lt;/foreign-keys&gt;&lt;ref-type name="Journal Article"&gt;17&lt;/ref-type&gt;&lt;contributors&gt;&lt;authors&gt;&lt;author&gt;Stokes, F. J.&lt;/author&gt;&lt;author&gt;Ivanov, P.&lt;/author&gt;&lt;author&gt;Bailey, L. M.&lt;/author&gt;&lt;author&gt;Fraser, W. D.&lt;/author&gt;&lt;/authors&gt;&lt;/contributors&gt;&lt;titles&gt;&lt;title&gt;The effects of sampling procedures and storage conditions on short-term stability of blood-based biochemical markers of bone metabolism&lt;/title&gt;&lt;secondary-title&gt;Clin Chem&lt;/secondary-title&gt;&lt;alt-title&gt;Clinical chemistry&lt;/alt-title&gt;&lt;/titles&gt;&lt;periodical&gt;&lt;full-title&gt;Clin Chem&lt;/full-title&gt;&lt;abbr-1&gt;Clinical chemistry&lt;/abbr-1&gt;&lt;/periodical&gt;&lt;alt-periodical&gt;&lt;full-title&gt;Clin Chem&lt;/full-title&gt;&lt;abbr-1&gt;Clinical chemistry&lt;/abbr-1&gt;&lt;/alt-periodical&gt;&lt;pages&gt;138-40&lt;/pages&gt;&lt;volume&gt;57&lt;/volume&gt;&lt;number&gt;1&lt;/number&gt;&lt;edition&gt;2010/10/27&lt;/edition&gt;&lt;keywords&gt;&lt;keyword&gt;Biological Markers/blood&lt;/keyword&gt;&lt;keyword&gt;Blood Specimen Collection/*methods&lt;/keyword&gt;&lt;keyword&gt;Bone Diseases, Metabolic/*blood&lt;/keyword&gt;&lt;keyword&gt;Bone and Bones/*metabolism&lt;/keyword&gt;&lt;keyword&gt;Humans&lt;/keyword&gt;&lt;keyword&gt;Temperature&lt;/keyword&gt;&lt;keyword&gt;Time Factors&lt;/keyword&gt;&lt;/keywords&gt;&lt;dates&gt;&lt;year&gt;2011&lt;/year&gt;&lt;pub-dates&gt;&lt;date&gt;Jan&lt;/date&gt;&lt;/pub-dates&gt;&lt;/dates&gt;&lt;isbn&gt;0009-9147&lt;/isbn&gt;&lt;accession-num&gt;20974796&lt;/accession-num&gt;&lt;urls&gt;&lt;/urls&gt;&lt;electronic-resource-num&gt;10.1373/clinchem.2010.157289&lt;/electronic-resource-num&gt;&lt;remote-database-provider&gt;NLM&lt;/remote-database-provider&gt;&lt;language&gt;eng&lt;/language&gt;&lt;/record&gt;&lt;/Cite&gt;&lt;/EndNote&gt;</w:instrText>
      </w:r>
      <w:r>
        <w:rPr>
          <w:rFonts w:ascii="Arial" w:hAnsi="Arial" w:cs="Arial"/>
        </w:rPr>
        <w:fldChar w:fldCharType="separate"/>
      </w:r>
      <w:r w:rsidR="00B64C0F">
        <w:rPr>
          <w:rFonts w:ascii="Arial" w:hAnsi="Arial" w:cs="Arial"/>
          <w:noProof/>
        </w:rPr>
        <w:t>(</w:t>
      </w:r>
      <w:hyperlink w:anchor="_ENREF_360" w:tooltip="Stokes, 2011 #223" w:history="1">
        <w:r w:rsidR="003B725E">
          <w:rPr>
            <w:rFonts w:ascii="Arial" w:hAnsi="Arial" w:cs="Arial"/>
            <w:noProof/>
          </w:rPr>
          <w:t>360</w:t>
        </w:r>
      </w:hyperlink>
      <w:r w:rsidR="00B64C0F">
        <w:rPr>
          <w:rFonts w:ascii="Arial" w:hAnsi="Arial" w:cs="Arial"/>
          <w:noProof/>
        </w:rPr>
        <w:t>)</w:t>
      </w:r>
      <w:r>
        <w:rPr>
          <w:rFonts w:ascii="Arial" w:hAnsi="Arial" w:cs="Arial"/>
        </w:rPr>
        <w:fldChar w:fldCharType="end"/>
      </w:r>
      <w:r w:rsidRPr="00452AEA">
        <w:rPr>
          <w:rFonts w:ascii="Arial" w:hAnsi="Arial" w:cs="Arial"/>
        </w:rPr>
        <w:t xml:space="preserve">. However </w:t>
      </w:r>
      <w:r>
        <w:rPr>
          <w:rFonts w:ascii="Arial" w:hAnsi="Arial" w:cs="Arial"/>
        </w:rPr>
        <w:t xml:space="preserve">these and </w:t>
      </w:r>
      <w:r w:rsidRPr="00452AEA">
        <w:rPr>
          <w:rFonts w:ascii="Arial" w:hAnsi="Arial" w:cs="Arial"/>
        </w:rPr>
        <w:t>previous stability studies performed by Rosenquist et al</w:t>
      </w:r>
      <w:r w:rsidR="00A8637D">
        <w:rPr>
          <w:rFonts w:ascii="Arial" w:hAnsi="Arial" w:cs="Arial"/>
        </w:rPr>
        <w:t xml:space="preserve"> 1998</w:t>
      </w:r>
      <w:r w:rsidRPr="00452AEA">
        <w:rPr>
          <w:rFonts w:ascii="Arial" w:hAnsi="Arial" w:cs="Arial"/>
        </w:rPr>
        <w:t xml:space="preserve"> and Okabe et al </w:t>
      </w:r>
      <w:r w:rsidR="00A8637D">
        <w:rPr>
          <w:rFonts w:ascii="Arial" w:hAnsi="Arial" w:cs="Arial"/>
        </w:rPr>
        <w:t xml:space="preserve">2001, </w:t>
      </w:r>
      <w:r w:rsidRPr="00452AEA">
        <w:rPr>
          <w:rFonts w:ascii="Arial" w:hAnsi="Arial" w:cs="Arial"/>
        </w:rPr>
        <w:t>have demonstrated that</w:t>
      </w:r>
      <w:r>
        <w:rPr>
          <w:rFonts w:ascii="Arial" w:hAnsi="Arial" w:cs="Arial"/>
        </w:rPr>
        <w:t xml:space="preserve"> there was a 14% decrease in</w:t>
      </w:r>
      <w:r w:rsidRPr="00452AEA">
        <w:rPr>
          <w:rFonts w:ascii="Arial" w:hAnsi="Arial" w:cs="Arial"/>
        </w:rPr>
        <w:t xml:space="preserve"> </w:t>
      </w:r>
      <w:r>
        <w:rPr>
          <w:rFonts w:ascii="Arial" w:hAnsi="Arial" w:cs="Arial"/>
        </w:rPr>
        <w:t xml:space="preserve">serum </w:t>
      </w:r>
      <w:r w:rsidRPr="00452AEA">
        <w:rPr>
          <w:rFonts w:ascii="Arial" w:hAnsi="Arial" w:cs="Arial"/>
        </w:rPr>
        <w:t>CTX</w:t>
      </w:r>
      <w:r>
        <w:rPr>
          <w:rFonts w:ascii="Arial" w:hAnsi="Arial" w:cs="Arial"/>
        </w:rPr>
        <w:t xml:space="preserve"> when stored at room temperature for 24 hours but remains stable </w:t>
      </w:r>
      <w:r w:rsidRPr="00452AEA">
        <w:rPr>
          <w:rFonts w:ascii="Arial" w:hAnsi="Arial" w:cs="Arial"/>
        </w:rPr>
        <w:t xml:space="preserve">after long term storage at -80°C and </w:t>
      </w:r>
      <w:r>
        <w:rPr>
          <w:rFonts w:ascii="Arial" w:hAnsi="Arial" w:cs="Arial"/>
        </w:rPr>
        <w:t>after several free-thaw cycles</w:t>
      </w:r>
      <w:r>
        <w:rPr>
          <w:rFonts w:ascii="Arial" w:hAnsi="Arial" w:cs="Arial"/>
        </w:rPr>
        <w:fldChar w:fldCharType="begin">
          <w:fldData xml:space="preserve">PEVuZE5vdGU+PENpdGU+PEF1dGhvcj5Sb3NlbnF1aXN0PC9BdXRob3I+PFllYXI+MTk5ODwvWWVh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PEVuZE5vdGU+PENpdGU+PEF1dGhvcj5Sb3NlbnF1aXN0PC9BdXRob3I+PFllYXI+MTk5ODwvWWVh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61" w:tooltip="Rosenquist, 1998 #224" w:history="1">
        <w:r w:rsidR="003B725E">
          <w:rPr>
            <w:rFonts w:ascii="Arial" w:hAnsi="Arial" w:cs="Arial"/>
            <w:noProof/>
          </w:rPr>
          <w:t>361</w:t>
        </w:r>
      </w:hyperlink>
      <w:r w:rsidR="00B64C0F">
        <w:rPr>
          <w:rFonts w:ascii="Arial" w:hAnsi="Arial" w:cs="Arial"/>
          <w:noProof/>
        </w:rPr>
        <w:t xml:space="preserve">, </w:t>
      </w:r>
      <w:hyperlink w:anchor="_ENREF_362" w:tooltip="Okabe, 2001 #225" w:history="1">
        <w:r w:rsidR="003B725E">
          <w:rPr>
            <w:rFonts w:ascii="Arial" w:hAnsi="Arial" w:cs="Arial"/>
            <w:noProof/>
          </w:rPr>
          <w:t>362</w:t>
        </w:r>
      </w:hyperlink>
      <w:r w:rsidR="00B64C0F">
        <w:rPr>
          <w:rFonts w:ascii="Arial" w:hAnsi="Arial" w:cs="Arial"/>
          <w:noProof/>
        </w:rPr>
        <w:t>)</w:t>
      </w:r>
      <w:r>
        <w:rPr>
          <w:rFonts w:ascii="Arial" w:hAnsi="Arial" w:cs="Arial"/>
        </w:rPr>
        <w:fldChar w:fldCharType="end"/>
      </w:r>
      <w:r>
        <w:rPr>
          <w:rFonts w:ascii="Arial" w:hAnsi="Arial" w:cs="Arial"/>
        </w:rPr>
        <w:t xml:space="preserve">. </w:t>
      </w:r>
      <w:r w:rsidRPr="00452AEA">
        <w:rPr>
          <w:rFonts w:ascii="Arial" w:hAnsi="Arial" w:cs="Arial"/>
        </w:rPr>
        <w:t>This is an important observation for the studies and clinical trials I have used in my thesis because the BTMs were measured</w:t>
      </w:r>
      <w:r>
        <w:rPr>
          <w:rFonts w:ascii="Arial" w:hAnsi="Arial" w:cs="Arial"/>
        </w:rPr>
        <w:t xml:space="preserve"> in serum</w:t>
      </w:r>
      <w:r w:rsidRPr="00452AEA">
        <w:rPr>
          <w:rFonts w:ascii="Arial" w:hAnsi="Arial" w:cs="Arial"/>
        </w:rPr>
        <w:t xml:space="preserve"> retrospectively fol</w:t>
      </w:r>
      <w:r>
        <w:rPr>
          <w:rFonts w:ascii="Arial" w:hAnsi="Arial" w:cs="Arial"/>
        </w:rPr>
        <w:t xml:space="preserve">lowing long term storage at </w:t>
      </w:r>
      <w:r w:rsidRPr="00452AEA">
        <w:rPr>
          <w:rFonts w:ascii="Arial" w:hAnsi="Arial" w:cs="Arial"/>
        </w:rPr>
        <w:t>-80°C</w:t>
      </w:r>
    </w:p>
    <w:p w:rsidR="0006371E" w:rsidRPr="00441D5B" w:rsidRDefault="0006371E" w:rsidP="003B725E">
      <w:pPr>
        <w:spacing w:line="360" w:lineRule="auto"/>
        <w:jc w:val="both"/>
        <w:rPr>
          <w:rFonts w:ascii="Arial" w:hAnsi="Arial" w:cs="Arial"/>
        </w:rPr>
      </w:pPr>
      <w:r w:rsidRPr="00957976">
        <w:rPr>
          <w:rFonts w:ascii="Arial" w:hAnsi="Arial" w:cs="Arial"/>
        </w:rPr>
        <w:lastRenderedPageBreak/>
        <w:t>Differences in methodologies used for measuri</w:t>
      </w:r>
      <w:r>
        <w:rPr>
          <w:rFonts w:ascii="Arial" w:hAnsi="Arial" w:cs="Arial"/>
        </w:rPr>
        <w:t>ng PINP and CTX</w:t>
      </w:r>
      <w:r w:rsidRPr="00957976">
        <w:rPr>
          <w:rFonts w:ascii="Arial" w:hAnsi="Arial" w:cs="Arial"/>
        </w:rPr>
        <w:t xml:space="preserve"> (and other BTMs</w:t>
      </w:r>
      <w:r>
        <w:rPr>
          <w:rFonts w:ascii="Arial" w:hAnsi="Arial" w:cs="Arial"/>
        </w:rPr>
        <w:t xml:space="preserve"> and hormones</w:t>
      </w:r>
      <w:r w:rsidRPr="00957976">
        <w:rPr>
          <w:rFonts w:ascii="Arial" w:hAnsi="Arial" w:cs="Arial"/>
        </w:rPr>
        <w:t>) necessitates the need for method-specific premenopausal and postmenopausal reference intervals to accurately interpret clinical trial and clinical data sets</w:t>
      </w:r>
      <w:r>
        <w:rPr>
          <w:rFonts w:ascii="Arial" w:hAnsi="Arial" w:cs="Arial"/>
        </w:rPr>
        <w:t xml:space="preserve">. </w:t>
      </w:r>
      <w:r w:rsidRPr="00957976">
        <w:rPr>
          <w:rFonts w:ascii="Arial" w:hAnsi="Arial" w:cs="Arial"/>
        </w:rPr>
        <w:t xml:space="preserve">These </w:t>
      </w:r>
      <w:r>
        <w:rPr>
          <w:rFonts w:ascii="Arial" w:hAnsi="Arial" w:cs="Arial"/>
        </w:rPr>
        <w:t xml:space="preserve">methodological </w:t>
      </w:r>
      <w:r w:rsidRPr="00957976">
        <w:rPr>
          <w:rFonts w:ascii="Arial" w:hAnsi="Arial" w:cs="Arial"/>
        </w:rPr>
        <w:t xml:space="preserve">findings </w:t>
      </w:r>
      <w:r>
        <w:rPr>
          <w:rFonts w:ascii="Arial" w:hAnsi="Arial" w:cs="Arial"/>
        </w:rPr>
        <w:t>may</w:t>
      </w:r>
      <w:r w:rsidRPr="00957976">
        <w:rPr>
          <w:rFonts w:ascii="Arial" w:hAnsi="Arial" w:cs="Arial"/>
        </w:rPr>
        <w:t xml:space="preserve"> contribute to the </w:t>
      </w:r>
      <w:r>
        <w:rPr>
          <w:rFonts w:ascii="Arial" w:hAnsi="Arial" w:cs="Arial"/>
        </w:rPr>
        <w:t xml:space="preserve">standardisation and </w:t>
      </w:r>
      <w:r w:rsidRPr="00957976">
        <w:rPr>
          <w:rFonts w:ascii="Arial" w:hAnsi="Arial" w:cs="Arial"/>
        </w:rPr>
        <w:t>harmonisation of these methods</w:t>
      </w:r>
      <w:r>
        <w:rPr>
          <w:rFonts w:ascii="Arial" w:hAnsi="Arial" w:cs="Arial"/>
        </w:rPr>
        <w:t xml:space="preserve"> in observation and intervention studies, as proposed by the IOF and IFCC </w:t>
      </w:r>
      <w:r>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Pr>
          <w:rFonts w:ascii="Arial" w:hAnsi="Arial" w:cs="Arial"/>
        </w:rPr>
      </w:r>
      <w:r>
        <w:rPr>
          <w:rFonts w:ascii="Arial" w:hAnsi="Arial" w:cs="Arial"/>
        </w:rPr>
        <w:fldChar w:fldCharType="separate"/>
      </w:r>
      <w:r w:rsidR="00B64C0F">
        <w:rPr>
          <w:rFonts w:ascii="Arial" w:hAnsi="Arial" w:cs="Arial"/>
          <w:noProof/>
        </w:rPr>
        <w:t>(</w:t>
      </w:r>
      <w:hyperlink w:anchor="_ENREF_319" w:tooltip="Vasikaran, 2011 #518" w:history="1">
        <w:r w:rsidR="003B725E">
          <w:rPr>
            <w:rFonts w:ascii="Arial" w:hAnsi="Arial" w:cs="Arial"/>
            <w:noProof/>
          </w:rPr>
          <w:t>319</w:t>
        </w:r>
      </w:hyperlink>
      <w:r w:rsidR="00B64C0F">
        <w:rPr>
          <w:rFonts w:ascii="Arial" w:hAnsi="Arial" w:cs="Arial"/>
          <w:noProof/>
        </w:rPr>
        <w:t>)</w:t>
      </w:r>
      <w:r>
        <w:rPr>
          <w:rFonts w:ascii="Arial" w:hAnsi="Arial" w:cs="Arial"/>
        </w:rPr>
        <w:fldChar w:fldCharType="end"/>
      </w:r>
      <w:r w:rsidRPr="00957976">
        <w:rPr>
          <w:rFonts w:ascii="Arial" w:hAnsi="Arial" w:cs="Arial"/>
        </w:rPr>
        <w:t>.</w:t>
      </w:r>
      <w:r>
        <w:rPr>
          <w:rFonts w:ascii="Arial" w:hAnsi="Arial" w:cs="Arial"/>
        </w:rPr>
        <w:t xml:space="preserve"> The difference between methods for measuring BTMs may be the reason why there are some differences in the reference i</w:t>
      </w:r>
      <w:r w:rsidR="00D00363">
        <w:rPr>
          <w:rFonts w:ascii="Arial" w:hAnsi="Arial" w:cs="Arial"/>
        </w:rPr>
        <w:t>ntervals previously determined.</w:t>
      </w:r>
    </w:p>
    <w:p w:rsidR="00D86A98" w:rsidRDefault="00D86A98" w:rsidP="00900F2C">
      <w:pPr>
        <w:pStyle w:val="Heading1"/>
        <w:spacing w:before="0"/>
      </w:pPr>
    </w:p>
    <w:p w:rsidR="00D86A98" w:rsidRDefault="00D86A98" w:rsidP="00900F2C">
      <w:pPr>
        <w:pStyle w:val="Heading1"/>
        <w:spacing w:before="0"/>
      </w:pPr>
    </w:p>
    <w:p w:rsidR="00D86A98" w:rsidRDefault="00D86A98" w:rsidP="00900F2C">
      <w:pPr>
        <w:pStyle w:val="Heading1"/>
        <w:spacing w:before="0"/>
      </w:pPr>
    </w:p>
    <w:p w:rsidR="00D86A98" w:rsidRDefault="00D86A98" w:rsidP="00900F2C">
      <w:pPr>
        <w:pStyle w:val="Heading1"/>
        <w:spacing w:before="0"/>
      </w:pPr>
    </w:p>
    <w:p w:rsidR="00D86A98" w:rsidRDefault="00D86A98" w:rsidP="00900F2C">
      <w:pPr>
        <w:pStyle w:val="Heading1"/>
        <w:spacing w:before="0"/>
      </w:pPr>
    </w:p>
    <w:p w:rsidR="00D86A98" w:rsidRDefault="00D86A98" w:rsidP="00900F2C">
      <w:pPr>
        <w:pStyle w:val="Heading1"/>
        <w:spacing w:before="0"/>
      </w:pPr>
    </w:p>
    <w:p w:rsidR="00D86A98" w:rsidRDefault="00D86A98" w:rsidP="00900F2C">
      <w:pPr>
        <w:pStyle w:val="Heading1"/>
        <w:spacing w:before="0"/>
      </w:pPr>
    </w:p>
    <w:p w:rsidR="00D86A98" w:rsidRPr="00D86A98" w:rsidRDefault="00D86A98" w:rsidP="00900F2C"/>
    <w:p w:rsidR="007D2E76" w:rsidRDefault="007D2E76" w:rsidP="00900F2C">
      <w:pPr>
        <w:rPr>
          <w:rFonts w:ascii="Arial" w:eastAsiaTheme="majorEastAsia" w:hAnsi="Arial" w:cstheme="majorBidi"/>
          <w:bCs/>
          <w:sz w:val="24"/>
          <w:szCs w:val="28"/>
          <w:u w:val="single"/>
        </w:rPr>
      </w:pPr>
    </w:p>
    <w:p w:rsidR="005354D9" w:rsidRDefault="005354D9" w:rsidP="00900F2C">
      <w:pPr>
        <w:rPr>
          <w:rFonts w:ascii="Arial" w:eastAsiaTheme="majorEastAsia" w:hAnsi="Arial" w:cstheme="majorBidi"/>
          <w:bCs/>
          <w:sz w:val="24"/>
          <w:szCs w:val="28"/>
          <w:u w:val="single"/>
        </w:rPr>
      </w:pPr>
    </w:p>
    <w:p w:rsidR="005354D9" w:rsidRPr="007D2E76" w:rsidRDefault="005354D9" w:rsidP="00900F2C"/>
    <w:p w:rsidR="009C11D4" w:rsidRDefault="009C11D4" w:rsidP="005354D9">
      <w:pPr>
        <w:pStyle w:val="Heading1"/>
        <w:spacing w:before="0"/>
        <w:jc w:val="both"/>
      </w:pPr>
      <w:bookmarkStart w:id="113" w:name="_Toc425418911"/>
      <w:r>
        <w:t>Chapter 3: Normative data for biochemical markers of bone turnover</w:t>
      </w:r>
      <w:bookmarkEnd w:id="113"/>
    </w:p>
    <w:p w:rsidR="00942523" w:rsidRPr="00A8637D" w:rsidRDefault="00942523" w:rsidP="005354D9">
      <w:pPr>
        <w:shd w:val="clear" w:color="auto" w:fill="FFFFFF"/>
        <w:spacing w:after="0"/>
        <w:jc w:val="both"/>
        <w:rPr>
          <w:rFonts w:ascii="Arial" w:hAnsi="Arial" w:cs="Arial"/>
          <w:color w:val="000000" w:themeColor="text1"/>
        </w:rPr>
      </w:pPr>
    </w:p>
    <w:p w:rsidR="00942523" w:rsidRPr="00A8637D" w:rsidRDefault="00A8637D" w:rsidP="005354D9">
      <w:pPr>
        <w:shd w:val="clear" w:color="auto" w:fill="FFFFFF"/>
        <w:spacing w:after="0"/>
        <w:jc w:val="both"/>
        <w:rPr>
          <w:rFonts w:ascii="Arial" w:hAnsi="Arial" w:cs="Arial"/>
          <w:color w:val="000000" w:themeColor="text1"/>
        </w:rPr>
      </w:pPr>
      <w:r>
        <w:rPr>
          <w:rFonts w:ascii="Arial" w:hAnsi="Arial" w:cs="Arial"/>
          <w:color w:val="000000" w:themeColor="text1"/>
        </w:rPr>
        <w:t>PUBLISHED PAPER:</w:t>
      </w:r>
      <w:r w:rsidR="00942523" w:rsidRPr="00A8637D">
        <w:rPr>
          <w:rFonts w:ascii="Arial" w:hAnsi="Arial" w:cs="Arial"/>
          <w:color w:val="000000" w:themeColor="text1"/>
        </w:rPr>
        <w:t xml:space="preserve"> Ownership of copyrights with the authors</w:t>
      </w:r>
    </w:p>
    <w:p w:rsidR="00942523" w:rsidRPr="00A8637D" w:rsidRDefault="008432B5" w:rsidP="005354D9">
      <w:pPr>
        <w:shd w:val="clear" w:color="auto" w:fill="FFFFFF"/>
        <w:spacing w:after="0"/>
        <w:jc w:val="both"/>
        <w:rPr>
          <w:rFonts w:ascii="Arial" w:hAnsi="Arial" w:cs="Arial"/>
          <w:color w:val="000000" w:themeColor="text1"/>
        </w:rPr>
      </w:pPr>
      <w:hyperlink r:id="rId121" w:tooltip="BoneKEy reports." w:history="1">
        <w:r w:rsidR="00201E0C" w:rsidRPr="00A8637D">
          <w:rPr>
            <w:rFonts w:ascii="Arial" w:hAnsi="Arial" w:cs="Arial"/>
            <w:color w:val="000000" w:themeColor="text1"/>
            <w:u w:val="single"/>
          </w:rPr>
          <w:t>Bonekey Rep.</w:t>
        </w:r>
      </w:hyperlink>
      <w:r w:rsidR="00201E0C" w:rsidRPr="00A8637D">
        <w:rPr>
          <w:rFonts w:ascii="Arial" w:hAnsi="Arial" w:cs="Arial"/>
          <w:color w:val="000000" w:themeColor="text1"/>
        </w:rPr>
        <w:t xml:space="preserve"> 2014 Sep 3</w:t>
      </w:r>
      <w:proofErr w:type="gramStart"/>
      <w:r w:rsidR="00201E0C" w:rsidRPr="00A8637D">
        <w:rPr>
          <w:rFonts w:ascii="Arial" w:hAnsi="Arial" w:cs="Arial"/>
          <w:color w:val="000000" w:themeColor="text1"/>
        </w:rPr>
        <w:t>;3:573</w:t>
      </w:r>
      <w:proofErr w:type="gramEnd"/>
      <w:r w:rsidR="00201E0C" w:rsidRPr="00A8637D">
        <w:rPr>
          <w:rFonts w:ascii="Arial" w:hAnsi="Arial" w:cs="Arial"/>
          <w:color w:val="000000" w:themeColor="text1"/>
        </w:rPr>
        <w:t xml:space="preserve">. </w:t>
      </w:r>
      <w:proofErr w:type="gramStart"/>
      <w:r w:rsidR="00201E0C" w:rsidRPr="00A8637D">
        <w:rPr>
          <w:rFonts w:ascii="Arial" w:hAnsi="Arial" w:cs="Arial"/>
          <w:color w:val="000000" w:themeColor="text1"/>
        </w:rPr>
        <w:t>doi</w:t>
      </w:r>
      <w:proofErr w:type="gramEnd"/>
      <w:r w:rsidR="00201E0C" w:rsidRPr="00A8637D">
        <w:rPr>
          <w:rFonts w:ascii="Arial" w:hAnsi="Arial" w:cs="Arial"/>
          <w:color w:val="000000" w:themeColor="text1"/>
        </w:rPr>
        <w:t xml:space="preserve">: 10.1038/bonekey.2014.68. </w:t>
      </w:r>
      <w:proofErr w:type="gramStart"/>
      <w:r w:rsidR="00201E0C" w:rsidRPr="00A8637D">
        <w:rPr>
          <w:rFonts w:ascii="Arial" w:hAnsi="Arial" w:cs="Arial"/>
          <w:color w:val="000000" w:themeColor="text1"/>
        </w:rPr>
        <w:t>eCollection</w:t>
      </w:r>
      <w:proofErr w:type="gramEnd"/>
      <w:r w:rsidR="00201E0C" w:rsidRPr="00A8637D">
        <w:rPr>
          <w:rFonts w:ascii="Arial" w:hAnsi="Arial" w:cs="Arial"/>
          <w:color w:val="000000" w:themeColor="text1"/>
        </w:rPr>
        <w:t xml:space="preserve"> 2014.</w:t>
      </w:r>
      <w:r w:rsidR="00A8637D">
        <w:rPr>
          <w:rFonts w:ascii="Arial" w:hAnsi="Arial" w:cs="Arial"/>
          <w:color w:val="000000" w:themeColor="text1"/>
        </w:rPr>
        <w:t xml:space="preserve"> </w:t>
      </w:r>
      <w:r w:rsidR="00201E0C" w:rsidRPr="00A8637D">
        <w:rPr>
          <w:rFonts w:ascii="Arial" w:hAnsi="Arial" w:cs="Arial"/>
          <w:color w:val="000000" w:themeColor="text1"/>
        </w:rPr>
        <w:t>Establishing reference intervals for bone turnover markers in healthy postmenopausal women in a non</w:t>
      </w:r>
      <w:r w:rsidR="00A8637D">
        <w:rPr>
          <w:rFonts w:ascii="Arial" w:hAnsi="Arial" w:cs="Arial"/>
          <w:color w:val="000000" w:themeColor="text1"/>
        </w:rPr>
        <w:t>-</w:t>
      </w:r>
      <w:r w:rsidR="00201E0C" w:rsidRPr="00A8637D">
        <w:rPr>
          <w:rFonts w:ascii="Arial" w:hAnsi="Arial" w:cs="Arial"/>
          <w:color w:val="000000" w:themeColor="text1"/>
        </w:rPr>
        <w:t>fasting state.</w:t>
      </w:r>
    </w:p>
    <w:p w:rsidR="00201E0C" w:rsidRPr="00A8637D" w:rsidRDefault="008432B5" w:rsidP="005354D9">
      <w:pPr>
        <w:shd w:val="clear" w:color="auto" w:fill="FFFFFF"/>
        <w:jc w:val="both"/>
        <w:rPr>
          <w:rFonts w:ascii="Arial" w:hAnsi="Arial" w:cs="Arial"/>
          <w:color w:val="000000" w:themeColor="text1"/>
          <w:sz w:val="16"/>
          <w:szCs w:val="16"/>
        </w:rPr>
      </w:pPr>
      <w:hyperlink r:id="rId122" w:history="1">
        <w:r w:rsidR="00201E0C" w:rsidRPr="00A8637D">
          <w:rPr>
            <w:rStyle w:val="highlight2"/>
            <w:rFonts w:ascii="Arial" w:hAnsi="Arial" w:cs="Arial"/>
            <w:color w:val="000000" w:themeColor="text1"/>
            <w:sz w:val="16"/>
            <w:szCs w:val="16"/>
            <w:u w:val="single"/>
          </w:rPr>
          <w:t>Gossiel F</w:t>
        </w:r>
      </w:hyperlink>
      <w:r w:rsidR="00201E0C" w:rsidRPr="00A8637D">
        <w:rPr>
          <w:rFonts w:ascii="Arial" w:hAnsi="Arial" w:cs="Arial"/>
          <w:color w:val="000000" w:themeColor="text1"/>
          <w:sz w:val="16"/>
          <w:szCs w:val="16"/>
        </w:rPr>
        <w:t xml:space="preserve">, </w:t>
      </w:r>
      <w:hyperlink r:id="rId123" w:history="1">
        <w:r w:rsidR="00201E0C" w:rsidRPr="00A8637D">
          <w:rPr>
            <w:rFonts w:ascii="Arial" w:hAnsi="Arial" w:cs="Arial"/>
            <w:color w:val="000000" w:themeColor="text1"/>
            <w:sz w:val="16"/>
            <w:szCs w:val="16"/>
            <w:u w:val="single"/>
          </w:rPr>
          <w:t>Finigan J</w:t>
        </w:r>
      </w:hyperlink>
      <w:r w:rsidR="00201E0C" w:rsidRPr="00A8637D">
        <w:rPr>
          <w:rFonts w:ascii="Arial" w:hAnsi="Arial" w:cs="Arial"/>
          <w:color w:val="000000" w:themeColor="text1"/>
          <w:sz w:val="16"/>
          <w:szCs w:val="16"/>
        </w:rPr>
        <w:t xml:space="preserve">, </w:t>
      </w:r>
      <w:hyperlink r:id="rId124" w:history="1">
        <w:r w:rsidR="00201E0C" w:rsidRPr="00A8637D">
          <w:rPr>
            <w:rFonts w:ascii="Arial" w:hAnsi="Arial" w:cs="Arial"/>
            <w:color w:val="000000" w:themeColor="text1"/>
            <w:sz w:val="16"/>
            <w:szCs w:val="16"/>
            <w:u w:val="single"/>
          </w:rPr>
          <w:t>Jacques R</w:t>
        </w:r>
      </w:hyperlink>
      <w:r w:rsidR="00201E0C" w:rsidRPr="00A8637D">
        <w:rPr>
          <w:rFonts w:ascii="Arial" w:hAnsi="Arial" w:cs="Arial"/>
          <w:color w:val="000000" w:themeColor="text1"/>
          <w:sz w:val="16"/>
          <w:szCs w:val="16"/>
        </w:rPr>
        <w:t xml:space="preserve">, </w:t>
      </w:r>
      <w:hyperlink r:id="rId125" w:history="1">
        <w:r w:rsidR="00201E0C" w:rsidRPr="00A8637D">
          <w:rPr>
            <w:rFonts w:ascii="Arial" w:hAnsi="Arial" w:cs="Arial"/>
            <w:color w:val="000000" w:themeColor="text1"/>
            <w:sz w:val="16"/>
            <w:szCs w:val="16"/>
            <w:u w:val="single"/>
          </w:rPr>
          <w:t>Reid D</w:t>
        </w:r>
      </w:hyperlink>
      <w:r w:rsidR="00201E0C" w:rsidRPr="00A8637D">
        <w:rPr>
          <w:rFonts w:ascii="Arial" w:hAnsi="Arial" w:cs="Arial"/>
          <w:color w:val="000000" w:themeColor="text1"/>
          <w:sz w:val="16"/>
          <w:szCs w:val="16"/>
        </w:rPr>
        <w:t xml:space="preserve">, </w:t>
      </w:r>
      <w:hyperlink r:id="rId126" w:history="1">
        <w:r w:rsidR="00201E0C" w:rsidRPr="00A8637D">
          <w:rPr>
            <w:rFonts w:ascii="Arial" w:hAnsi="Arial" w:cs="Arial"/>
            <w:color w:val="000000" w:themeColor="text1"/>
            <w:sz w:val="16"/>
            <w:szCs w:val="16"/>
            <w:u w:val="single"/>
          </w:rPr>
          <w:t>Felsenberg D</w:t>
        </w:r>
      </w:hyperlink>
      <w:r w:rsidR="00201E0C" w:rsidRPr="00A8637D">
        <w:rPr>
          <w:rFonts w:ascii="Arial" w:hAnsi="Arial" w:cs="Arial"/>
          <w:color w:val="000000" w:themeColor="text1"/>
          <w:sz w:val="16"/>
          <w:szCs w:val="16"/>
        </w:rPr>
        <w:t xml:space="preserve">, </w:t>
      </w:r>
      <w:hyperlink r:id="rId127" w:history="1">
        <w:r w:rsidR="00201E0C" w:rsidRPr="00A8637D">
          <w:rPr>
            <w:rFonts w:ascii="Arial" w:hAnsi="Arial" w:cs="Arial"/>
            <w:color w:val="000000" w:themeColor="text1"/>
            <w:sz w:val="16"/>
            <w:szCs w:val="16"/>
            <w:u w:val="single"/>
          </w:rPr>
          <w:t>Roux C</w:t>
        </w:r>
      </w:hyperlink>
      <w:r w:rsidR="00201E0C" w:rsidRPr="00A8637D">
        <w:rPr>
          <w:rFonts w:ascii="Arial" w:hAnsi="Arial" w:cs="Arial"/>
          <w:color w:val="000000" w:themeColor="text1"/>
          <w:sz w:val="16"/>
          <w:szCs w:val="16"/>
        </w:rPr>
        <w:t xml:space="preserve">, </w:t>
      </w:r>
      <w:hyperlink r:id="rId128" w:history="1">
        <w:r w:rsidR="00201E0C" w:rsidRPr="00A8637D">
          <w:rPr>
            <w:rFonts w:ascii="Arial" w:hAnsi="Arial" w:cs="Arial"/>
            <w:color w:val="000000" w:themeColor="text1"/>
            <w:sz w:val="16"/>
            <w:szCs w:val="16"/>
            <w:u w:val="single"/>
          </w:rPr>
          <w:t>Glueer C</w:t>
        </w:r>
      </w:hyperlink>
      <w:r w:rsidR="00201E0C" w:rsidRPr="00A8637D">
        <w:rPr>
          <w:rFonts w:ascii="Arial" w:hAnsi="Arial" w:cs="Arial"/>
          <w:color w:val="000000" w:themeColor="text1"/>
          <w:sz w:val="16"/>
          <w:szCs w:val="16"/>
        </w:rPr>
        <w:t xml:space="preserve">, </w:t>
      </w:r>
      <w:hyperlink r:id="rId129" w:history="1">
        <w:r w:rsidR="00201E0C" w:rsidRPr="00A8637D">
          <w:rPr>
            <w:rFonts w:ascii="Arial" w:hAnsi="Arial" w:cs="Arial"/>
            <w:color w:val="000000" w:themeColor="text1"/>
            <w:sz w:val="16"/>
            <w:szCs w:val="16"/>
            <w:u w:val="single"/>
          </w:rPr>
          <w:t>Eastell R</w:t>
        </w:r>
      </w:hyperlink>
      <w:r w:rsidR="00201E0C" w:rsidRPr="00A8637D">
        <w:rPr>
          <w:rFonts w:ascii="Arial" w:hAnsi="Arial" w:cs="Arial"/>
          <w:sz w:val="16"/>
          <w:szCs w:val="16"/>
        </w:rPr>
        <w:t>.</w:t>
      </w:r>
    </w:p>
    <w:p w:rsidR="00942523" w:rsidRPr="00942523" w:rsidRDefault="00942523" w:rsidP="005354D9">
      <w:pPr>
        <w:shd w:val="clear" w:color="auto" w:fill="FFFFFF"/>
        <w:jc w:val="both"/>
        <w:rPr>
          <w:rFonts w:ascii="Arial" w:hAnsi="Arial" w:cs="Arial"/>
          <w:color w:val="000000" w:themeColor="text1"/>
          <w:sz w:val="16"/>
          <w:szCs w:val="16"/>
        </w:rPr>
      </w:pPr>
    </w:p>
    <w:p w:rsidR="00402191" w:rsidRDefault="009C11D4" w:rsidP="005354D9">
      <w:pPr>
        <w:pStyle w:val="Heading2"/>
        <w:jc w:val="both"/>
      </w:pPr>
      <w:bookmarkStart w:id="114" w:name="_Toc425418912"/>
      <w:r>
        <w:t>Introduction</w:t>
      </w:r>
      <w:bookmarkEnd w:id="114"/>
    </w:p>
    <w:p w:rsidR="00594340" w:rsidRPr="00415FE9" w:rsidRDefault="00594340" w:rsidP="003B725E">
      <w:pPr>
        <w:spacing w:line="360" w:lineRule="auto"/>
        <w:jc w:val="both"/>
        <w:rPr>
          <w:rFonts w:ascii="Arial" w:hAnsi="Arial" w:cs="Arial"/>
        </w:rPr>
      </w:pPr>
      <w:r w:rsidRPr="00415FE9">
        <w:rPr>
          <w:rFonts w:ascii="Arial" w:hAnsi="Arial" w:cs="Arial"/>
        </w:rPr>
        <w:t>Bone remodelling can be assessed non-invasively by the me</w:t>
      </w:r>
      <w:r w:rsidR="008F0A83">
        <w:rPr>
          <w:rFonts w:ascii="Arial" w:hAnsi="Arial" w:cs="Arial"/>
        </w:rPr>
        <w:t>asurement of serum and urinary BTMs</w:t>
      </w:r>
      <w:r w:rsidR="00CE0FB3">
        <w:rPr>
          <w:rFonts w:ascii="Arial" w:hAnsi="Arial" w:cs="Arial"/>
        </w:rPr>
        <w:t>. BTMs may be</w:t>
      </w:r>
      <w:r w:rsidRPr="00415FE9">
        <w:rPr>
          <w:rFonts w:ascii="Arial" w:hAnsi="Arial" w:cs="Arial"/>
        </w:rPr>
        <w:t xml:space="preserve"> increased in metabolic bone diseases such as osteoporosis wher</w:t>
      </w:r>
      <w:r w:rsidR="00100481" w:rsidRPr="00415FE9">
        <w:rPr>
          <w:rFonts w:ascii="Arial" w:hAnsi="Arial" w:cs="Arial"/>
        </w:rPr>
        <w:t xml:space="preserve">e there is accelerated bone loss </w:t>
      </w:r>
      <w:r w:rsidR="00100481" w:rsidRPr="00415FE9">
        <w:rPr>
          <w:rFonts w:ascii="Arial" w:hAnsi="Arial" w:cs="Arial"/>
        </w:rPr>
        <w:fldChar w:fldCharType="begin">
          <w:fldData xml:space="preserve">PEVuZE5vdGU+PENpdGU+PEF1dGhvcj5HYXJuZXJvPC9BdXRob3I+PFllYXI+MTk5NjwvWWVhcj48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bHQtcGVyaW9kaWNhbD48cGFnZXM+MzM3LTQ5PC9wYWdlcz48dm9sdW1lPjExPC92b2x1bWU+PG51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PEVuZE5vdGU+PENpdGU+PEF1dGhvcj5HYXJuZXJvPC9BdXRob3I+PFllYXI+MTk5NjwvWWVhcj48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bHQtcGVyaW9kaWNhbD48cGFnZXM+MzM3LTQ5PC9wYWdlcz48dm9sdW1lPjExPC92b2x1bWU+PG51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63" w:tooltip="Garnero, 1996 #162" w:history="1">
        <w:r w:rsidR="003B725E">
          <w:rPr>
            <w:rFonts w:ascii="Arial" w:hAnsi="Arial" w:cs="Arial"/>
            <w:noProof/>
          </w:rPr>
          <w:t>363</w:t>
        </w:r>
      </w:hyperlink>
      <w:r w:rsidR="00B64C0F">
        <w:rPr>
          <w:rFonts w:ascii="Arial" w:hAnsi="Arial" w:cs="Arial"/>
          <w:noProof/>
        </w:rPr>
        <w:t>)</w:t>
      </w:r>
      <w:r w:rsidR="00100481" w:rsidRPr="00415FE9">
        <w:rPr>
          <w:rFonts w:ascii="Arial" w:hAnsi="Arial" w:cs="Arial"/>
        </w:rPr>
        <w:fldChar w:fldCharType="end"/>
      </w:r>
      <w:r w:rsidRPr="00415FE9">
        <w:rPr>
          <w:rFonts w:ascii="Arial" w:hAnsi="Arial" w:cs="Arial"/>
        </w:rPr>
        <w:t>. In some studies, high BTMs are associated with major osteoporotic fractures, for example bone resorption markers were pr</w:t>
      </w:r>
      <w:r w:rsidR="007600B5">
        <w:rPr>
          <w:rFonts w:ascii="Arial" w:hAnsi="Arial" w:cs="Arial"/>
        </w:rPr>
        <w:t xml:space="preserve">edictive of hip fracture </w:t>
      </w:r>
      <w:r w:rsidR="007954B9">
        <w:rPr>
          <w:rFonts w:ascii="Arial" w:hAnsi="Arial" w:cs="Arial"/>
        </w:rPr>
        <w:t>(</w:t>
      </w:r>
      <w:r w:rsidR="007600B5">
        <w:rPr>
          <w:rFonts w:ascii="Arial" w:hAnsi="Arial" w:cs="Arial"/>
        </w:rPr>
        <w:t>(Epidemiologie de l’Osteoporose (EPIDOS study</w:t>
      </w:r>
      <w:r w:rsidRPr="00415FE9">
        <w:rPr>
          <w:rFonts w:ascii="Arial" w:hAnsi="Arial" w:cs="Arial"/>
        </w:rPr>
        <w:t>)</w:t>
      </w:r>
      <w:r w:rsidR="007600B5">
        <w:rPr>
          <w:rFonts w:ascii="Arial" w:hAnsi="Arial" w:cs="Arial"/>
        </w:rPr>
        <w:t>)</w:t>
      </w:r>
      <w:r w:rsidRPr="00415FE9">
        <w:rPr>
          <w:rFonts w:ascii="Arial" w:hAnsi="Arial" w:cs="Arial"/>
        </w:rPr>
        <w:t xml:space="preserve"> </w:t>
      </w:r>
      <w:r w:rsidR="00100481" w:rsidRPr="00415FE9">
        <w:rPr>
          <w:rFonts w:ascii="Arial" w:hAnsi="Arial" w:cs="Arial"/>
        </w:rPr>
        <w:fldChar w:fldCharType="begin">
          <w:fldData xml:space="preserve">PEVuZE5vdGU+PENpdGU+PEF1dGhvcj5HYXJuZXJvPC9BdXRob3I+PFllYXI+MTk5NjwvWWVhcj48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bHQtcGVyaW9kaWNhbD48cGFnZXM+MTUzMS04PC9wYWdlcz48dm9sdW1lPjExPC92b2x1bWU+PG51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PEVuZE5vdGU+PENpdGU+PEF1dGhvcj5HYXJuZXJvPC9BdXRob3I+PFllYXI+MTk5NjwvWWVhcj48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bHQtcGVyaW9kaWNhbD48cGFnZXM+MTUzMS04PC9wYWdlcz48dm9sdW1lPjExPC92b2x1bWU+PG51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64" w:tooltip="Garnero, 1996 #163" w:history="1">
        <w:r w:rsidR="003B725E">
          <w:rPr>
            <w:rFonts w:ascii="Arial" w:hAnsi="Arial" w:cs="Arial"/>
            <w:noProof/>
          </w:rPr>
          <w:t>364</w:t>
        </w:r>
      </w:hyperlink>
      <w:r w:rsidR="00B64C0F">
        <w:rPr>
          <w:rFonts w:ascii="Arial" w:hAnsi="Arial" w:cs="Arial"/>
          <w:noProof/>
        </w:rPr>
        <w:t>)</w:t>
      </w:r>
      <w:r w:rsidR="00100481" w:rsidRPr="00415FE9">
        <w:rPr>
          <w:rFonts w:ascii="Arial" w:hAnsi="Arial" w:cs="Arial"/>
        </w:rPr>
        <w:fldChar w:fldCharType="end"/>
      </w:r>
      <w:r w:rsidR="00100481" w:rsidRPr="00415FE9">
        <w:rPr>
          <w:rFonts w:ascii="Arial" w:hAnsi="Arial" w:cs="Arial"/>
        </w:rPr>
        <w:t xml:space="preserve"> </w:t>
      </w:r>
      <w:r w:rsidRPr="00415FE9">
        <w:rPr>
          <w:rFonts w:ascii="Arial" w:hAnsi="Arial" w:cs="Arial"/>
        </w:rPr>
        <w:t>and with bone loss</w:t>
      </w:r>
      <w:r w:rsidR="00100481" w:rsidRPr="00415FE9">
        <w:rPr>
          <w:rFonts w:ascii="Arial" w:hAnsi="Arial" w:cs="Arial"/>
        </w:rPr>
        <w:t xml:space="preserve"> </w:t>
      </w:r>
      <w:r w:rsidR="00100481" w:rsidRPr="00415FE9">
        <w:rPr>
          <w:rFonts w:ascii="Arial" w:hAnsi="Arial" w:cs="Arial"/>
        </w:rPr>
        <w:fldChar w:fldCharType="begin">
          <w:fldData xml:space="preserve">PEVuZE5vdGU+PENpdGU+PEF1dGhvcj5Mb2ZtYW48L0F1dGhvcj48WWVhcj4yMDA1PC9ZZWFyPjxS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PEVuZE5vdGU+PENpdGU+PEF1dGhvcj5Mb2ZtYW48L0F1dGhvcj48WWVhcj4yMDA1PC9ZZWFyPjxS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40" w:tooltip="Rogers, 2000 #165" w:history="1">
        <w:r w:rsidR="003B725E">
          <w:rPr>
            <w:rFonts w:ascii="Arial" w:hAnsi="Arial" w:cs="Arial"/>
            <w:noProof/>
          </w:rPr>
          <w:t>340</w:t>
        </w:r>
      </w:hyperlink>
      <w:r w:rsidR="00B64C0F">
        <w:rPr>
          <w:rFonts w:ascii="Arial" w:hAnsi="Arial" w:cs="Arial"/>
          <w:noProof/>
        </w:rPr>
        <w:t xml:space="preserve">, </w:t>
      </w:r>
      <w:hyperlink w:anchor="_ENREF_365" w:tooltip="Lofman, 2005 #164" w:history="1">
        <w:r w:rsidR="003B725E">
          <w:rPr>
            <w:rFonts w:ascii="Arial" w:hAnsi="Arial" w:cs="Arial"/>
            <w:noProof/>
          </w:rPr>
          <w:t>365</w:t>
        </w:r>
      </w:hyperlink>
      <w:r w:rsidR="00B64C0F">
        <w:rPr>
          <w:rFonts w:ascii="Arial" w:hAnsi="Arial" w:cs="Arial"/>
          <w:noProof/>
        </w:rPr>
        <w:t>)</w:t>
      </w:r>
      <w:r w:rsidR="00100481" w:rsidRPr="00415FE9">
        <w:rPr>
          <w:rFonts w:ascii="Arial" w:hAnsi="Arial" w:cs="Arial"/>
        </w:rPr>
        <w:fldChar w:fldCharType="end"/>
      </w:r>
      <w:r w:rsidR="00100481" w:rsidRPr="00415FE9">
        <w:rPr>
          <w:rFonts w:ascii="Arial" w:hAnsi="Arial" w:cs="Arial"/>
        </w:rPr>
        <w:t>.</w:t>
      </w:r>
    </w:p>
    <w:p w:rsidR="00594340" w:rsidRPr="00415FE9" w:rsidRDefault="00594340" w:rsidP="003B725E">
      <w:pPr>
        <w:spacing w:line="360" w:lineRule="auto"/>
        <w:jc w:val="both"/>
        <w:rPr>
          <w:rFonts w:ascii="Arial" w:hAnsi="Arial" w:cs="Arial"/>
        </w:rPr>
      </w:pPr>
      <w:r w:rsidRPr="00415FE9">
        <w:rPr>
          <w:rFonts w:ascii="Arial" w:hAnsi="Arial" w:cs="Arial"/>
        </w:rPr>
        <w:t xml:space="preserve">Several BTM reference intervals for healthy premenopausal women have previously been established </w:t>
      </w:r>
      <w:r w:rsidR="00100481" w:rsidRPr="00415FE9">
        <w:rPr>
          <w:rFonts w:ascii="Arial" w:hAnsi="Arial" w:cs="Arial"/>
        </w:rPr>
        <w:fldChar w:fldCharType="begin">
          <w:fldData xml:space="preserve">PEVuZE5vdGU+PENpdGU+PEF1dGhvcj5HbG92ZXI8L0F1dGhvcj48WWVhcj4yMDA5PC9ZZWFyPjxS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b2RpY2FsPjxwYWdlcz42MjMtMzA8L3BhZ2VzPjx2b2x1bWU+NDI8L3ZvbHVtZT48bnVtYmVyPjQ8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PEVuZE5vdGU+PENpdGU+PEF1dGhvcj5HbG92ZXI8L0F1dGhvcj48WWVhcj4yMDA5PC9ZZWFyPjxS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b2RpY2FsPjxwYWdlcz42MjMtMzA8L3BhZ2VzPjx2b2x1bWU+NDI8L3ZvbHVtZT48bnVtYmVyPjQ8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46" w:tooltip="Eastell, 2012 #169" w:history="1">
        <w:r w:rsidR="003B725E">
          <w:rPr>
            <w:rFonts w:ascii="Arial" w:hAnsi="Arial" w:cs="Arial"/>
            <w:noProof/>
          </w:rPr>
          <w:t>346</w:t>
        </w:r>
      </w:hyperlink>
      <w:r w:rsidR="00B64C0F">
        <w:rPr>
          <w:rFonts w:ascii="Arial" w:hAnsi="Arial" w:cs="Arial"/>
          <w:noProof/>
        </w:rPr>
        <w:t xml:space="preserve">, </w:t>
      </w:r>
      <w:hyperlink w:anchor="_ENREF_366" w:tooltip="Glover, 2009 #536" w:history="1">
        <w:r w:rsidR="003B725E">
          <w:rPr>
            <w:rFonts w:ascii="Arial" w:hAnsi="Arial" w:cs="Arial"/>
            <w:noProof/>
          </w:rPr>
          <w:t>366-368</w:t>
        </w:r>
      </w:hyperlink>
      <w:r w:rsidR="00B64C0F">
        <w:rPr>
          <w:rFonts w:ascii="Arial" w:hAnsi="Arial" w:cs="Arial"/>
          <w:noProof/>
        </w:rPr>
        <w:t>)</w:t>
      </w:r>
      <w:r w:rsidR="00100481" w:rsidRPr="00415FE9">
        <w:rPr>
          <w:rFonts w:ascii="Arial" w:hAnsi="Arial" w:cs="Arial"/>
        </w:rPr>
        <w:fldChar w:fldCharType="end"/>
      </w:r>
      <w:r w:rsidRPr="00415FE9">
        <w:rPr>
          <w:rFonts w:ascii="Arial" w:hAnsi="Arial" w:cs="Arial"/>
        </w:rPr>
        <w:t xml:space="preserve">. It has been proposed that the purpose of these is to monitor the response of osteoporotic patients to treatments. The proposed goal of anti-resorptive treatments is to reduce BTMs to the lower part of the healthy premenopausal </w:t>
      </w:r>
      <w:r w:rsidRPr="00415FE9">
        <w:rPr>
          <w:rFonts w:ascii="Arial" w:hAnsi="Arial" w:cs="Arial"/>
        </w:rPr>
        <w:lastRenderedPageBreak/>
        <w:t xml:space="preserve">reference interval </w:t>
      </w:r>
      <w:r w:rsidR="00100481" w:rsidRPr="00415FE9">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8E761B">
        <w:rPr>
          <w:rFonts w:ascii="Arial" w:hAnsi="Arial" w:cs="Arial"/>
          <w:noProof/>
        </w:rPr>
        <w:t>(</w:t>
      </w:r>
      <w:hyperlink w:anchor="_ENREF_310" w:tooltip="Eastell, 2003 #170" w:history="1">
        <w:r w:rsidR="003B725E">
          <w:rPr>
            <w:rFonts w:ascii="Arial" w:hAnsi="Arial" w:cs="Arial"/>
            <w:noProof/>
          </w:rPr>
          <w:t>310</w:t>
        </w:r>
      </w:hyperlink>
      <w:r w:rsidR="008E761B">
        <w:rPr>
          <w:rFonts w:ascii="Arial" w:hAnsi="Arial" w:cs="Arial"/>
          <w:noProof/>
        </w:rPr>
        <w:t>)</w:t>
      </w:r>
      <w:r w:rsidR="00100481" w:rsidRPr="00415FE9">
        <w:rPr>
          <w:rFonts w:ascii="Arial" w:hAnsi="Arial" w:cs="Arial"/>
        </w:rPr>
        <w:fldChar w:fldCharType="end"/>
      </w:r>
      <w:r w:rsidRPr="00415FE9">
        <w:rPr>
          <w:rFonts w:ascii="Arial" w:hAnsi="Arial" w:cs="Arial"/>
        </w:rPr>
        <w:t>. It is therefore essential to have a valid and robust reference interval.</w:t>
      </w:r>
    </w:p>
    <w:p w:rsidR="00594340" w:rsidRPr="00415FE9" w:rsidRDefault="00594340" w:rsidP="003B725E">
      <w:pPr>
        <w:spacing w:line="360" w:lineRule="auto"/>
        <w:jc w:val="both"/>
        <w:rPr>
          <w:rFonts w:ascii="Arial" w:hAnsi="Arial" w:cs="Arial"/>
        </w:rPr>
      </w:pPr>
      <w:r w:rsidRPr="00415FE9">
        <w:rPr>
          <w:rFonts w:ascii="Arial" w:hAnsi="Arial" w:cs="Arial"/>
        </w:rPr>
        <w:t>BTM reference intervals for healthy postmenopausal women would also be useful. They may help clinicians to identify patients who may have secondary osteoporosis.</w:t>
      </w:r>
      <w:r w:rsidR="001D279E">
        <w:rPr>
          <w:rFonts w:ascii="Arial" w:hAnsi="Arial" w:cs="Arial"/>
        </w:rPr>
        <w:t xml:space="preserve"> There are increased levels of BTMs in osteomalacia, Paget’s disease</w:t>
      </w:r>
      <w:r w:rsidR="00A901D9">
        <w:rPr>
          <w:rFonts w:ascii="Arial" w:hAnsi="Arial" w:cs="Arial"/>
        </w:rPr>
        <w:t xml:space="preserve">, primary hyperparathyroidism, thyrotoxicosis and multiple myeloma and low levels </w:t>
      </w:r>
      <w:r w:rsidR="0078227B">
        <w:rPr>
          <w:rFonts w:ascii="Arial" w:hAnsi="Arial" w:cs="Arial"/>
        </w:rPr>
        <w:t xml:space="preserve">of osteocalcin </w:t>
      </w:r>
      <w:r w:rsidR="00A901D9">
        <w:rPr>
          <w:rFonts w:ascii="Arial" w:hAnsi="Arial" w:cs="Arial"/>
        </w:rPr>
        <w:t>in glucocorticoid-induced osteoporosis.</w:t>
      </w:r>
      <w:r w:rsidR="001D279E">
        <w:rPr>
          <w:rFonts w:ascii="Arial" w:hAnsi="Arial" w:cs="Arial"/>
        </w:rPr>
        <w:t xml:space="preserve"> </w:t>
      </w:r>
      <w:r w:rsidRPr="00415FE9">
        <w:rPr>
          <w:rFonts w:ascii="Arial" w:hAnsi="Arial" w:cs="Arial"/>
        </w:rPr>
        <w:t xml:space="preserve"> However</w:t>
      </w:r>
      <w:r w:rsidR="00A901D9">
        <w:rPr>
          <w:rFonts w:ascii="Arial" w:hAnsi="Arial" w:cs="Arial"/>
        </w:rPr>
        <w:t>, healthy levels of BTMs</w:t>
      </w:r>
      <w:r w:rsidRPr="00415FE9">
        <w:rPr>
          <w:rFonts w:ascii="Arial" w:hAnsi="Arial" w:cs="Arial"/>
        </w:rPr>
        <w:t xml:space="preserve"> are difficult to establish because older women commonly suffer from disease or take medications that are known to affect bone metabolism and therefore there are limited data </w:t>
      </w:r>
      <w:r w:rsidR="00100481" w:rsidRPr="00415FE9">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69" w:tooltip="Martinez, 2009 #171" w:history="1">
        <w:r w:rsidR="003B725E">
          <w:rPr>
            <w:rFonts w:ascii="Arial" w:hAnsi="Arial" w:cs="Arial"/>
            <w:noProof/>
          </w:rPr>
          <w:t>369</w:t>
        </w:r>
      </w:hyperlink>
      <w:r w:rsidR="00B64C0F">
        <w:rPr>
          <w:rFonts w:ascii="Arial" w:hAnsi="Arial" w:cs="Arial"/>
          <w:noProof/>
        </w:rPr>
        <w:t>)</w:t>
      </w:r>
      <w:r w:rsidR="00100481" w:rsidRPr="00415FE9">
        <w:rPr>
          <w:rFonts w:ascii="Arial" w:hAnsi="Arial" w:cs="Arial"/>
        </w:rPr>
        <w:fldChar w:fldCharType="end"/>
      </w:r>
      <w:r w:rsidR="00100481" w:rsidRPr="00415FE9">
        <w:rPr>
          <w:rFonts w:ascii="Arial" w:hAnsi="Arial" w:cs="Arial"/>
        </w:rPr>
        <w:t xml:space="preserve">. </w:t>
      </w:r>
      <w:r w:rsidRPr="00415FE9">
        <w:rPr>
          <w:rFonts w:ascii="Arial" w:hAnsi="Arial" w:cs="Arial"/>
        </w:rPr>
        <w:t xml:space="preserve">It has been demonstrated that severe vitamin D deficiency as defined by 25 hydroxy vitamin D (25(OH)D) serum levels below 12.5 nmol/L causes osteomalacia in adults </w:t>
      </w:r>
      <w:r w:rsidR="00100481" w:rsidRPr="00415FE9">
        <w:rPr>
          <w:rFonts w:ascii="Arial" w:hAnsi="Arial" w:cs="Arial"/>
        </w:rPr>
        <w:fldChar w:fldCharType="begin">
          <w:fldData xml:space="preserve">PEVuZE5vdGU+PENpdGU+PEF1dGhvcj5CaGFuPC9BdXRob3I+PFllYXI+MjAxMjwvWWVhcj48UmVj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=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PEVuZE5vdGU+PENpdGU+PEF1dGhvcj5CaGFuPC9BdXRob3I+PFllYXI+MjAxMjwvWWVhcj48UmVj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=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70" w:tooltip="Bhan, 2012 #172" w:history="1">
        <w:r w:rsidR="003B725E">
          <w:rPr>
            <w:rFonts w:ascii="Arial" w:hAnsi="Arial" w:cs="Arial"/>
            <w:noProof/>
          </w:rPr>
          <w:t>370-372</w:t>
        </w:r>
      </w:hyperlink>
      <w:r w:rsidR="00B64C0F">
        <w:rPr>
          <w:rFonts w:ascii="Arial" w:hAnsi="Arial" w:cs="Arial"/>
          <w:noProof/>
        </w:rPr>
        <w:t>)</w:t>
      </w:r>
      <w:r w:rsidR="00100481" w:rsidRPr="00415FE9">
        <w:rPr>
          <w:rFonts w:ascii="Arial" w:hAnsi="Arial" w:cs="Arial"/>
        </w:rPr>
        <w:fldChar w:fldCharType="end"/>
      </w:r>
      <w:r w:rsidR="00100481" w:rsidRPr="00415FE9">
        <w:rPr>
          <w:rFonts w:ascii="Arial" w:hAnsi="Arial" w:cs="Arial"/>
        </w:rPr>
        <w:t>.</w:t>
      </w:r>
      <w:r w:rsidRPr="00415FE9">
        <w:rPr>
          <w:rFonts w:ascii="Arial" w:hAnsi="Arial" w:cs="Arial"/>
        </w:rPr>
        <w:t xml:space="preserve"> This is associated with hypocalcaemia, impaired mineralisation of bone, accelerated bone loss, lower BMD and increased bone turnover </w:t>
      </w:r>
      <w:r w:rsidR="00100481" w:rsidRPr="00415FE9">
        <w:rPr>
          <w:rFonts w:ascii="Arial" w:hAnsi="Arial" w:cs="Arial"/>
        </w:rPr>
        <w:fldChar w:fldCharType="begin"/>
      </w:r>
      <w:r w:rsidR="00B64C0F">
        <w:rPr>
          <w:rFonts w:ascii="Arial" w:hAnsi="Arial" w:cs="Arial"/>
        </w:rPr>
        <w:instrText xml:space="preserve"> ADDIN EN.CITE &lt;EndNote&gt;&lt;Cite&gt;&lt;Author&gt;Jesudason&lt;/Author&gt;&lt;Year&gt;2002&lt;/Year&gt;&lt;RecNum&gt;175&lt;/RecNum&gt;&lt;DisplayText&gt;(373)&lt;/DisplayText&gt;&lt;record&gt;&lt;rec-number&gt;175&lt;/rec-number&gt;&lt;foreign-keys&gt;&lt;key app="EN" db-id="p9a5ttsvyvde9me5aw2x05fp5p55axf0wr90" timestamp="1417715015"&gt;175&lt;/key&gt;&lt;/foreign-keys&gt;&lt;ref-type name="Journal Article"&gt;17&lt;/ref-type&gt;&lt;contributors&gt;&lt;authors&gt;&lt;author&gt;Jesudason, D.&lt;/author&gt;&lt;author&gt;Need, A. G.&lt;/author&gt;&lt;author&gt;Horowitz, M.&lt;/author&gt;&lt;author&gt;O&amp;apos;Loughlin, P. D.&lt;/author&gt;&lt;author&gt;Morris, H. A.&lt;/author&gt;&lt;author&gt;Nordin, B. E.&lt;/author&gt;&lt;/authors&gt;&lt;/contributors&gt;&lt;auth-address&gt;Clinical Biochemistry, Institute of Medical and Veterinary Science, Adelaide, SA, Australia.&lt;/auth-address&gt;&lt;titles&gt;&lt;title&gt;Relationship between serum 25-hydroxyvitamin D and bone resorption markers in vitamin D insufficiency&lt;/title&gt;&lt;secondary-title&gt;Bone&lt;/secondary-title&gt;&lt;alt-title&gt;Bone&lt;/alt-title&gt;&lt;/titles&gt;&lt;periodical&gt;&lt;full-title&gt;Bone&lt;/full-title&gt;&lt;abbr-1&gt;Bone&lt;/abbr-1&gt;&lt;/periodical&gt;&lt;alt-periodical&gt;&lt;full-title&gt;Bone&lt;/full-title&gt;&lt;abbr-1&gt;Bone&lt;/abbr-1&gt;&lt;/alt-periodical&gt;&lt;pages&gt;626-30&lt;/pages&gt;&lt;volume&gt;31&lt;/volume&gt;&lt;number&gt;5&lt;/number&gt;&lt;edition&gt;2002/12/13&lt;/edition&gt;&lt;keywords&gt;&lt;keyword&gt;Adult&lt;/keyword&gt;&lt;keyword&gt;Aged&lt;/keyword&gt;&lt;keyword&gt;Aged, 80 and over&lt;/keyword&gt;&lt;keyword&gt;Alkaline Phosphatase/blood&lt;/keyword&gt;&lt;keyword&gt;Analysis of Variance&lt;/keyword&gt;&lt;keyword&gt;Biological Markers/blood&lt;/keyword&gt;&lt;keyword&gt;Bone Resorption/ blood/diagnosis&lt;/keyword&gt;&lt;keyword&gt;Cross-Sectional Studies&lt;/keyword&gt;&lt;keyword&gt;Female&lt;/keyword&gt;&lt;keyword&gt;Humans&lt;/keyword&gt;&lt;keyword&gt;Middle Aged&lt;/keyword&gt;&lt;keyword&gt;Osteoporosis, Postmenopausal/blood/diagnosis&lt;/keyword&gt;&lt;keyword&gt;Parathyroid Hormone/blood&lt;/keyword&gt;&lt;keyword&gt;Vitamin D/ analogs &amp;amp; derivatives/ blood&lt;/keyword&gt;&lt;keyword&gt;Vitamin D Deficiency/ blood&lt;/keyword&gt;&lt;/keywords&gt;&lt;dates&gt;&lt;year&gt;2002&lt;/year&gt;&lt;pub-dates&gt;&lt;date&gt;Nov&lt;/date&gt;&lt;/pub-dates&gt;&lt;/dates&gt;&lt;isbn&gt;8756-3282 (Print)&amp;#xD;1873-2763 (Linking)&lt;/isbn&gt;&lt;accession-num&gt;12477579&lt;/accession-num&gt;&lt;urls&gt;&lt;/urls&gt;&lt;remote-database-provider&gt;NLM&lt;/remote-database-provider&gt;&lt;language&gt;eng&lt;/language&gt;&lt;/record&gt;&lt;/Cite&gt;&lt;/EndNote&gt;</w:instrText>
      </w:r>
      <w:r w:rsidR="00100481" w:rsidRPr="00415FE9">
        <w:rPr>
          <w:rFonts w:ascii="Arial" w:hAnsi="Arial" w:cs="Arial"/>
        </w:rPr>
        <w:fldChar w:fldCharType="separate"/>
      </w:r>
      <w:r w:rsidR="00B64C0F">
        <w:rPr>
          <w:rFonts w:ascii="Arial" w:hAnsi="Arial" w:cs="Arial"/>
          <w:noProof/>
        </w:rPr>
        <w:t>(</w:t>
      </w:r>
      <w:hyperlink w:anchor="_ENREF_373" w:tooltip="Jesudason, 2002 #175" w:history="1">
        <w:r w:rsidR="003B725E">
          <w:rPr>
            <w:rFonts w:ascii="Arial" w:hAnsi="Arial" w:cs="Arial"/>
            <w:noProof/>
          </w:rPr>
          <w:t>373</w:t>
        </w:r>
      </w:hyperlink>
      <w:r w:rsidR="00B64C0F">
        <w:rPr>
          <w:rFonts w:ascii="Arial" w:hAnsi="Arial" w:cs="Arial"/>
          <w:noProof/>
        </w:rPr>
        <w:t>)</w:t>
      </w:r>
      <w:r w:rsidR="00100481" w:rsidRPr="00415FE9">
        <w:rPr>
          <w:rFonts w:ascii="Arial" w:hAnsi="Arial" w:cs="Arial"/>
        </w:rPr>
        <w:fldChar w:fldCharType="end"/>
      </w:r>
      <w:r w:rsidRPr="00415FE9">
        <w:rPr>
          <w:rFonts w:ascii="Arial" w:hAnsi="Arial" w:cs="Arial"/>
        </w:rPr>
        <w:t>. Vitamin D insufficiency as defin</w:t>
      </w:r>
      <w:r w:rsidR="00100481" w:rsidRPr="00415FE9">
        <w:rPr>
          <w:rFonts w:ascii="Arial" w:hAnsi="Arial" w:cs="Arial"/>
        </w:rPr>
        <w:t xml:space="preserve">ed by 25 (OH) D levels between </w:t>
      </w:r>
      <w:r w:rsidRPr="00415FE9">
        <w:rPr>
          <w:rFonts w:ascii="Arial" w:hAnsi="Arial" w:cs="Arial"/>
        </w:rPr>
        <w:t xml:space="preserve">30 and 50 nmol/L is associated with an increase in parathyroid hormone (PTH) levels which is attributed to the decreased calcium absorption. This may indicate secondary hyperparathyroidism in postmenopausal women </w:t>
      </w:r>
      <w:r w:rsidR="00100481" w:rsidRPr="00415FE9">
        <w:rPr>
          <w:rFonts w:ascii="Arial" w:hAnsi="Arial" w:cs="Arial"/>
        </w:rPr>
        <w:fldChar w:fldCharType="begin">
          <w:fldData xml:space="preserve">PEVuZE5vdGU+PENpdGU+PEF1dGhvcj5TYWhvdGE8L0F1dGhvcj48WWVhcj4yMDA0PC9ZZWFyPjxS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PEVuZE5vdGU+PENpdGU+PEF1dGhvcj5TYWhvdGE8L0F1dGhvcj48WWVhcj4yMDA0PC9ZZWFyPjxS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74" w:tooltip="Sahota, 2004 #176" w:history="1">
        <w:r w:rsidR="003B725E">
          <w:rPr>
            <w:rFonts w:ascii="Arial" w:hAnsi="Arial" w:cs="Arial"/>
            <w:noProof/>
          </w:rPr>
          <w:t>374</w:t>
        </w:r>
      </w:hyperlink>
      <w:r w:rsidR="00B64C0F">
        <w:rPr>
          <w:rFonts w:ascii="Arial" w:hAnsi="Arial" w:cs="Arial"/>
          <w:noProof/>
        </w:rPr>
        <w:t xml:space="preserve">, </w:t>
      </w:r>
      <w:hyperlink w:anchor="_ENREF_375" w:tooltip="Seeman, 2002 #177" w:history="1">
        <w:r w:rsidR="003B725E">
          <w:rPr>
            <w:rFonts w:ascii="Arial" w:hAnsi="Arial" w:cs="Arial"/>
            <w:noProof/>
          </w:rPr>
          <w:t>375</w:t>
        </w:r>
      </w:hyperlink>
      <w:r w:rsidR="00B64C0F">
        <w:rPr>
          <w:rFonts w:ascii="Arial" w:hAnsi="Arial" w:cs="Arial"/>
          <w:noProof/>
        </w:rPr>
        <w:t>)</w:t>
      </w:r>
      <w:r w:rsidR="00100481" w:rsidRPr="00415FE9">
        <w:rPr>
          <w:rFonts w:ascii="Arial" w:hAnsi="Arial" w:cs="Arial"/>
        </w:rPr>
        <w:fldChar w:fldCharType="end"/>
      </w:r>
      <w:r w:rsidRPr="00415FE9">
        <w:rPr>
          <w:rFonts w:ascii="Arial" w:hAnsi="Arial" w:cs="Arial"/>
        </w:rPr>
        <w:t xml:space="preserve"> </w:t>
      </w:r>
    </w:p>
    <w:p w:rsidR="00CE0FB3" w:rsidRDefault="00594340" w:rsidP="003B725E">
      <w:pPr>
        <w:spacing w:line="360" w:lineRule="auto"/>
        <w:jc w:val="both"/>
        <w:rPr>
          <w:rFonts w:ascii="Arial" w:hAnsi="Arial" w:cs="Arial"/>
        </w:rPr>
      </w:pPr>
      <w:r w:rsidRPr="00415FE9">
        <w:rPr>
          <w:rFonts w:ascii="Arial" w:hAnsi="Arial" w:cs="Arial"/>
        </w:rPr>
        <w:t>Chronic kidney di</w:t>
      </w:r>
      <w:r w:rsidR="00CE0FB3">
        <w:rPr>
          <w:rFonts w:ascii="Arial" w:hAnsi="Arial" w:cs="Arial"/>
        </w:rPr>
        <w:t>sease is also associated with abnormal</w:t>
      </w:r>
      <w:r w:rsidRPr="00415FE9">
        <w:rPr>
          <w:rFonts w:ascii="Arial" w:hAnsi="Arial" w:cs="Arial"/>
        </w:rPr>
        <w:t xml:space="preserve"> bone remodelling causing disorders such as osteitis fibrosa </w:t>
      </w:r>
      <w:r w:rsidR="00CE0FB3">
        <w:rPr>
          <w:rFonts w:ascii="Arial" w:hAnsi="Arial" w:cs="Arial"/>
        </w:rPr>
        <w:t xml:space="preserve">cystica </w:t>
      </w:r>
      <w:r w:rsidRPr="00415FE9">
        <w:rPr>
          <w:rFonts w:ascii="Arial" w:hAnsi="Arial" w:cs="Arial"/>
        </w:rPr>
        <w:t xml:space="preserve">characterised by high bone turnover. Previous studies have reported elevated bone turnover markers in patients with </w:t>
      </w:r>
      <w:r w:rsidR="0078227B">
        <w:rPr>
          <w:rFonts w:ascii="Arial" w:hAnsi="Arial" w:cs="Arial"/>
        </w:rPr>
        <w:t>renal failure</w:t>
      </w:r>
      <w:r w:rsidR="00CE0FB3">
        <w:rPr>
          <w:rFonts w:ascii="Arial" w:hAnsi="Arial" w:cs="Arial"/>
        </w:rPr>
        <w:t xml:space="preserve">, due to high bone turnover and reduced rate of excretion of BTMs </w:t>
      </w:r>
      <w:r w:rsidR="00100481" w:rsidRPr="00415FE9">
        <w:rPr>
          <w:rFonts w:ascii="Arial" w:hAnsi="Arial" w:cs="Arial"/>
        </w:rPr>
        <w:fldChar w:fldCharType="begin">
          <w:fldData xml:space="preserve">PEVuZE5vdGU+PENpdGU+PEF1dGhvcj5NYWdudXNzb248L0F1dGhvcj48WWVhcj4yMDAxPC9ZZWFy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=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PEVuZE5vdGU+PENpdGU+PEF1dGhvcj5NYWdudXNzb248L0F1dGhvcj48WWVhcj4yMDAxPC9ZZWFy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=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100481" w:rsidRPr="00415FE9">
        <w:rPr>
          <w:rFonts w:ascii="Arial" w:hAnsi="Arial" w:cs="Arial"/>
        </w:rPr>
      </w:r>
      <w:r w:rsidR="00100481" w:rsidRPr="00415FE9">
        <w:rPr>
          <w:rFonts w:ascii="Arial" w:hAnsi="Arial" w:cs="Arial"/>
        </w:rPr>
        <w:fldChar w:fldCharType="separate"/>
      </w:r>
      <w:r w:rsidR="00B64C0F">
        <w:rPr>
          <w:rFonts w:ascii="Arial" w:hAnsi="Arial" w:cs="Arial"/>
          <w:noProof/>
        </w:rPr>
        <w:t>(</w:t>
      </w:r>
      <w:hyperlink w:anchor="_ENREF_376" w:tooltip="Magnusson, 2001 #178" w:history="1">
        <w:r w:rsidR="003B725E">
          <w:rPr>
            <w:rFonts w:ascii="Arial" w:hAnsi="Arial" w:cs="Arial"/>
            <w:noProof/>
          </w:rPr>
          <w:t>376</w:t>
        </w:r>
      </w:hyperlink>
      <w:r w:rsidR="00B64C0F">
        <w:rPr>
          <w:rFonts w:ascii="Arial" w:hAnsi="Arial" w:cs="Arial"/>
          <w:noProof/>
        </w:rPr>
        <w:t xml:space="preserve">, </w:t>
      </w:r>
      <w:hyperlink w:anchor="_ENREF_377" w:tooltip="Iimori, 2012 #179" w:history="1">
        <w:r w:rsidR="003B725E">
          <w:rPr>
            <w:rFonts w:ascii="Arial" w:hAnsi="Arial" w:cs="Arial"/>
            <w:noProof/>
          </w:rPr>
          <w:t>377</w:t>
        </w:r>
      </w:hyperlink>
      <w:r w:rsidR="00B64C0F">
        <w:rPr>
          <w:rFonts w:ascii="Arial" w:hAnsi="Arial" w:cs="Arial"/>
          <w:noProof/>
        </w:rPr>
        <w:t>)</w:t>
      </w:r>
      <w:r w:rsidR="00100481" w:rsidRPr="00415FE9">
        <w:rPr>
          <w:rFonts w:ascii="Arial" w:hAnsi="Arial" w:cs="Arial"/>
        </w:rPr>
        <w:fldChar w:fldCharType="end"/>
      </w:r>
      <w:r w:rsidR="00100481" w:rsidRPr="00415FE9">
        <w:rPr>
          <w:rFonts w:ascii="Arial" w:hAnsi="Arial" w:cs="Arial"/>
        </w:rPr>
        <w:t>.</w:t>
      </w:r>
      <w:r w:rsidRPr="00415FE9">
        <w:rPr>
          <w:rFonts w:ascii="Arial" w:hAnsi="Arial" w:cs="Arial"/>
        </w:rPr>
        <w:t xml:space="preserve"> </w:t>
      </w:r>
    </w:p>
    <w:p w:rsidR="00594340" w:rsidRPr="00415FE9" w:rsidRDefault="00594340" w:rsidP="003B725E">
      <w:pPr>
        <w:spacing w:line="360" w:lineRule="auto"/>
        <w:jc w:val="both"/>
        <w:rPr>
          <w:rFonts w:ascii="Arial" w:hAnsi="Arial" w:cs="Arial"/>
        </w:rPr>
      </w:pPr>
      <w:r w:rsidRPr="00415FE9">
        <w:rPr>
          <w:rFonts w:ascii="Arial" w:hAnsi="Arial" w:cs="Arial"/>
        </w:rPr>
        <w:t>Osteoporo</w:t>
      </w:r>
      <w:r w:rsidR="00CE0FB3">
        <w:rPr>
          <w:rFonts w:ascii="Arial" w:hAnsi="Arial" w:cs="Arial"/>
        </w:rPr>
        <w:t>tic postmenopausal women may be tre</w:t>
      </w:r>
      <w:r w:rsidRPr="00415FE9">
        <w:rPr>
          <w:rFonts w:ascii="Arial" w:hAnsi="Arial" w:cs="Arial"/>
        </w:rPr>
        <w:t>ated with antiresorptive therapies and</w:t>
      </w:r>
      <w:r w:rsidR="00CE0FB3">
        <w:rPr>
          <w:rFonts w:ascii="Arial" w:hAnsi="Arial" w:cs="Arial"/>
        </w:rPr>
        <w:t xml:space="preserve"> these have a significant reduction</w:t>
      </w:r>
      <w:r w:rsidRPr="00415FE9">
        <w:rPr>
          <w:rFonts w:ascii="Arial" w:hAnsi="Arial" w:cs="Arial"/>
        </w:rPr>
        <w:t xml:space="preserve"> on bone remodelling</w:t>
      </w:r>
      <w:r w:rsidR="0078227B">
        <w:rPr>
          <w:rFonts w:ascii="Arial" w:hAnsi="Arial" w:cs="Arial"/>
        </w:rPr>
        <w:t xml:space="preserve"> and impaired catabolism</w:t>
      </w:r>
      <w:r w:rsidRPr="00415FE9">
        <w:rPr>
          <w:rFonts w:ascii="Arial" w:hAnsi="Arial" w:cs="Arial"/>
        </w:rPr>
        <w:t xml:space="preserve">. The reduction in bone turnover markers can be used to assess </w:t>
      </w:r>
      <w:r w:rsidR="00CE0FB3">
        <w:rPr>
          <w:rFonts w:ascii="Arial" w:hAnsi="Arial" w:cs="Arial"/>
        </w:rPr>
        <w:t>their bone effect. These reduction</w:t>
      </w:r>
      <w:r w:rsidR="00BF7D29">
        <w:rPr>
          <w:rFonts w:ascii="Arial" w:hAnsi="Arial" w:cs="Arial"/>
        </w:rPr>
        <w:t>s</w:t>
      </w:r>
      <w:r w:rsidRPr="00415FE9">
        <w:rPr>
          <w:rFonts w:ascii="Arial" w:hAnsi="Arial" w:cs="Arial"/>
        </w:rPr>
        <w:t xml:space="preserve"> are associated with increased bone mass and fracture risk reduction. For example, a 3-year trial of risedronate demonstrated a significant association between a reduction in vertebral fracture risk and decreased levels of bone resorption markers, and increased BMD </w:t>
      </w:r>
      <w:r w:rsidR="00415FE9" w:rsidRPr="00415FE9">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415FE9" w:rsidRPr="00415FE9">
        <w:rPr>
          <w:rFonts w:ascii="Arial" w:hAnsi="Arial" w:cs="Arial"/>
        </w:rPr>
      </w:r>
      <w:r w:rsidR="00415FE9" w:rsidRPr="00415FE9">
        <w:rPr>
          <w:rFonts w:ascii="Arial" w:hAnsi="Arial" w:cs="Arial"/>
        </w:rPr>
        <w:fldChar w:fldCharType="separate"/>
      </w:r>
      <w:r w:rsidR="008E761B">
        <w:rPr>
          <w:rFonts w:ascii="Arial" w:hAnsi="Arial" w:cs="Arial"/>
          <w:noProof/>
        </w:rPr>
        <w:t>(</w:t>
      </w:r>
      <w:hyperlink w:anchor="_ENREF_310" w:tooltip="Eastell, 2003 #170" w:history="1">
        <w:r w:rsidR="003B725E">
          <w:rPr>
            <w:rFonts w:ascii="Arial" w:hAnsi="Arial" w:cs="Arial"/>
            <w:noProof/>
          </w:rPr>
          <w:t>310</w:t>
        </w:r>
      </w:hyperlink>
      <w:r w:rsidR="008E761B">
        <w:rPr>
          <w:rFonts w:ascii="Arial" w:hAnsi="Arial" w:cs="Arial"/>
          <w:noProof/>
        </w:rPr>
        <w:t>)</w:t>
      </w:r>
      <w:r w:rsidR="00415FE9" w:rsidRPr="00415FE9">
        <w:rPr>
          <w:rFonts w:ascii="Arial" w:hAnsi="Arial" w:cs="Arial"/>
        </w:rPr>
        <w:fldChar w:fldCharType="end"/>
      </w:r>
      <w:r w:rsidR="00415FE9" w:rsidRPr="00415FE9">
        <w:rPr>
          <w:rFonts w:ascii="Arial" w:hAnsi="Arial" w:cs="Arial"/>
        </w:rPr>
        <w:t xml:space="preserve">. </w:t>
      </w:r>
      <w:r w:rsidR="00252A73">
        <w:rPr>
          <w:rFonts w:ascii="Arial" w:hAnsi="Arial" w:cs="Arial"/>
        </w:rPr>
        <w:t>Several other studies have shown that a greater short-term decrease in BTMs is associated with a higher increase in BMD long term, and a greater reduction in fracture risk</w:t>
      </w:r>
      <w:r w:rsidR="00415FE9" w:rsidRPr="00415FE9">
        <w:rPr>
          <w:rFonts w:ascii="Arial" w:hAnsi="Arial" w:cs="Arial"/>
        </w:rPr>
        <w:t xml:space="preserve"> </w:t>
      </w:r>
      <w:r w:rsidR="00415FE9" w:rsidRPr="00415FE9">
        <w:rPr>
          <w:rFonts w:ascii="Arial" w:hAnsi="Arial" w:cs="Arial"/>
        </w:rPr>
        <w:fldChar w:fldCharType="begin">
          <w:fldData xml:space="preserve">PEVuZE5vdGU+PENpdGU+PEF1dGhvcj5SZWdpbnN0ZXI8L0F1dGhvcj48WWVhcj4yMDA2PC9ZZWFy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ZWNvcmQ+PC9DaXRlPjxDaXRlPjxBdXRob3I+QmxhY2s8L0F1dGhvcj48WWVhcj4yMDA3PC9ZZWFy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PEVuZE5vdGU+PENpdGU+PEF1dGhvcj5SZWdpbnN0ZXI8L0F1dGhvcj48WWVhcj4yMDA2PC9ZZWFy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ZWNvcmQ+PC9DaXRlPjxDaXRlPjxBdXRob3I+QmxhY2s8L0F1dGhvcj48WWVhcj4yMDA3PC9ZZWFy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415FE9" w:rsidRPr="00415FE9">
        <w:rPr>
          <w:rFonts w:ascii="Arial" w:hAnsi="Arial" w:cs="Arial"/>
        </w:rPr>
      </w:r>
      <w:r w:rsidR="00415FE9" w:rsidRPr="00415FE9">
        <w:rPr>
          <w:rFonts w:ascii="Arial" w:hAnsi="Arial" w:cs="Arial"/>
        </w:rPr>
        <w:fldChar w:fldCharType="separate"/>
      </w:r>
      <w:r w:rsidR="00B64C0F">
        <w:rPr>
          <w:rFonts w:ascii="Arial" w:hAnsi="Arial" w:cs="Arial"/>
          <w:noProof/>
        </w:rPr>
        <w:t>(</w:t>
      </w:r>
      <w:hyperlink w:anchor="_ENREF_278" w:tooltip="Black, 2007 #182" w:history="1">
        <w:r w:rsidR="003B725E">
          <w:rPr>
            <w:rFonts w:ascii="Arial" w:hAnsi="Arial" w:cs="Arial"/>
            <w:noProof/>
          </w:rPr>
          <w:t>278</w:t>
        </w:r>
      </w:hyperlink>
      <w:proofErr w:type="gramStart"/>
      <w:r w:rsidR="00B64C0F">
        <w:rPr>
          <w:rFonts w:ascii="Arial" w:hAnsi="Arial" w:cs="Arial"/>
          <w:noProof/>
        </w:rPr>
        <w:t xml:space="preserve">, </w:t>
      </w:r>
      <w:hyperlink w:anchor="_ENREF_316" w:tooltip="Bauer, 2006 #181" w:history="1">
        <w:r w:rsidR="003B725E">
          <w:rPr>
            <w:rFonts w:ascii="Arial" w:hAnsi="Arial" w:cs="Arial"/>
            <w:noProof/>
          </w:rPr>
          <w:t>316</w:t>
        </w:r>
      </w:hyperlink>
      <w:r w:rsidR="00B64C0F">
        <w:rPr>
          <w:rFonts w:ascii="Arial" w:hAnsi="Arial" w:cs="Arial"/>
          <w:noProof/>
        </w:rPr>
        <w:t>,</w:t>
      </w:r>
      <w:proofErr w:type="gramEnd"/>
      <w:r w:rsidR="00B64C0F">
        <w:rPr>
          <w:rFonts w:ascii="Arial" w:hAnsi="Arial" w:cs="Arial"/>
          <w:noProof/>
        </w:rPr>
        <w:t xml:space="preserve"> </w:t>
      </w:r>
      <w:hyperlink w:anchor="_ENREF_378" w:tooltip="Reginster, 2006 #180" w:history="1">
        <w:r w:rsidR="003B725E">
          <w:rPr>
            <w:rFonts w:ascii="Arial" w:hAnsi="Arial" w:cs="Arial"/>
            <w:noProof/>
          </w:rPr>
          <w:t>378</w:t>
        </w:r>
      </w:hyperlink>
      <w:r w:rsidR="00B64C0F">
        <w:rPr>
          <w:rFonts w:ascii="Arial" w:hAnsi="Arial" w:cs="Arial"/>
          <w:noProof/>
        </w:rPr>
        <w:t>)</w:t>
      </w:r>
      <w:r w:rsidR="00415FE9" w:rsidRPr="00415FE9">
        <w:rPr>
          <w:rFonts w:ascii="Arial" w:hAnsi="Arial" w:cs="Arial"/>
        </w:rPr>
        <w:fldChar w:fldCharType="end"/>
      </w:r>
      <w:r w:rsidRPr="00415FE9">
        <w:rPr>
          <w:rFonts w:ascii="Arial" w:hAnsi="Arial" w:cs="Arial"/>
        </w:rPr>
        <w:t xml:space="preserve"> </w:t>
      </w:r>
    </w:p>
    <w:p w:rsidR="00594340" w:rsidRPr="00415FE9" w:rsidRDefault="00594340" w:rsidP="005354D9">
      <w:pPr>
        <w:spacing w:line="360" w:lineRule="auto"/>
        <w:jc w:val="both"/>
        <w:rPr>
          <w:rFonts w:ascii="Arial" w:hAnsi="Arial" w:cs="Arial"/>
        </w:rPr>
      </w:pPr>
      <w:r w:rsidRPr="00415FE9">
        <w:rPr>
          <w:rFonts w:ascii="Arial" w:hAnsi="Arial" w:cs="Arial"/>
        </w:rPr>
        <w:t xml:space="preserve">The usual approach to establish reference intervals is to define exclusion criteria. We have taken a different approach; we have measured BTMs in the whole population and examined whether the exclusion criteria are valid. </w:t>
      </w:r>
    </w:p>
    <w:p w:rsidR="00594340" w:rsidRPr="00415FE9" w:rsidRDefault="00594340" w:rsidP="005354D9">
      <w:pPr>
        <w:spacing w:line="360" w:lineRule="auto"/>
        <w:jc w:val="both"/>
        <w:rPr>
          <w:rFonts w:ascii="Arial" w:hAnsi="Arial" w:cs="Arial"/>
        </w:rPr>
      </w:pPr>
      <w:r w:rsidRPr="00415FE9">
        <w:rPr>
          <w:rFonts w:ascii="Arial" w:hAnsi="Arial" w:cs="Arial"/>
        </w:rPr>
        <w:t xml:space="preserve">Comparisons between BTM reference intervals for healthy postmenopausal and premenopausal women can also be performed. This has previously been done in a fasting state. However patients are usually in a non-fasting state at the time of their </w:t>
      </w:r>
      <w:r w:rsidRPr="00415FE9">
        <w:rPr>
          <w:rFonts w:ascii="Arial" w:hAnsi="Arial" w:cs="Arial"/>
        </w:rPr>
        <w:lastRenderedPageBreak/>
        <w:t>clinical visit. Therefore non-fasti</w:t>
      </w:r>
      <w:r w:rsidR="00CE0FB3">
        <w:rPr>
          <w:rFonts w:ascii="Arial" w:hAnsi="Arial" w:cs="Arial"/>
        </w:rPr>
        <w:t>ng BTM reference intervals may</w:t>
      </w:r>
      <w:r w:rsidR="00252A73">
        <w:rPr>
          <w:rFonts w:ascii="Arial" w:hAnsi="Arial" w:cs="Arial"/>
        </w:rPr>
        <w:t xml:space="preserve"> be more relevant</w:t>
      </w:r>
      <w:r w:rsidRPr="00415FE9">
        <w:rPr>
          <w:rFonts w:ascii="Arial" w:hAnsi="Arial" w:cs="Arial"/>
        </w:rPr>
        <w:t xml:space="preserve"> in a clinical practice.</w:t>
      </w:r>
    </w:p>
    <w:p w:rsidR="00594340" w:rsidRPr="00415FE9" w:rsidRDefault="00594340" w:rsidP="005354D9">
      <w:pPr>
        <w:spacing w:line="360" w:lineRule="auto"/>
        <w:jc w:val="both"/>
        <w:rPr>
          <w:rFonts w:ascii="Arial" w:hAnsi="Arial" w:cs="Arial"/>
        </w:rPr>
      </w:pPr>
      <w:r w:rsidRPr="00415FE9">
        <w:rPr>
          <w:rFonts w:ascii="Arial" w:hAnsi="Arial" w:cs="Arial"/>
        </w:rPr>
        <w:t>The aims of this work were 1) to identify diseases and drugs that have a substantial effect on bone turnover markers so that they can be used as exclusion criteria; 2) to establish reference intervals for premenopausal and postmenopausal women, in a non-fasting state and determine whether they are different; 3) examine the effects of life style and geographical differences on bone turnover markers in healthy postmenopausal women.</w:t>
      </w:r>
    </w:p>
    <w:p w:rsidR="009C11D4" w:rsidRDefault="00135F96" w:rsidP="005354D9">
      <w:pPr>
        <w:pStyle w:val="Heading2"/>
        <w:jc w:val="both"/>
      </w:pPr>
      <w:bookmarkStart w:id="115" w:name="_Toc425418913"/>
      <w:r>
        <w:t xml:space="preserve">Subjects and </w:t>
      </w:r>
      <w:r w:rsidR="009C11D4">
        <w:t>Methods</w:t>
      </w:r>
      <w:bookmarkEnd w:id="115"/>
    </w:p>
    <w:p w:rsidR="00775DF7" w:rsidRPr="00775DF7" w:rsidRDefault="00775DF7" w:rsidP="005354D9">
      <w:pPr>
        <w:pStyle w:val="Heading3"/>
        <w:jc w:val="both"/>
      </w:pPr>
      <w:bookmarkStart w:id="116" w:name="_Toc425418914"/>
      <w:r>
        <w:t>Subjects</w:t>
      </w:r>
      <w:bookmarkEnd w:id="116"/>
    </w:p>
    <w:p w:rsidR="00FF6E13" w:rsidRPr="004A65DA" w:rsidRDefault="00FF6E13" w:rsidP="003B725E">
      <w:pPr>
        <w:spacing w:line="360" w:lineRule="auto"/>
        <w:jc w:val="both"/>
        <w:rPr>
          <w:rFonts w:ascii="Arial" w:hAnsi="Arial" w:cs="Arial"/>
        </w:rPr>
      </w:pPr>
      <w:r w:rsidRPr="00FF6E13">
        <w:rPr>
          <w:rFonts w:ascii="Arial" w:hAnsi="Arial" w:cs="Arial"/>
        </w:rPr>
        <w:t xml:space="preserve">For </w:t>
      </w:r>
      <w:r w:rsidR="00625851" w:rsidRPr="00FF6E13">
        <w:rPr>
          <w:rFonts w:ascii="Arial" w:hAnsi="Arial" w:cs="Arial"/>
        </w:rPr>
        <w:t>this analysis</w:t>
      </w:r>
      <w:r w:rsidR="00CE0FB3">
        <w:rPr>
          <w:rFonts w:ascii="Arial" w:hAnsi="Arial" w:cs="Arial"/>
        </w:rPr>
        <w:t xml:space="preserve"> the subjects</w:t>
      </w:r>
      <w:r w:rsidRPr="00FF6E13">
        <w:rPr>
          <w:rFonts w:ascii="Arial" w:hAnsi="Arial" w:cs="Arial"/>
        </w:rPr>
        <w:t xml:space="preserve"> </w:t>
      </w:r>
      <w:r w:rsidR="00BF7D29">
        <w:rPr>
          <w:rFonts w:ascii="Arial" w:hAnsi="Arial" w:cs="Arial"/>
        </w:rPr>
        <w:t xml:space="preserve">studied </w:t>
      </w:r>
      <w:r w:rsidRPr="00FF6E13">
        <w:rPr>
          <w:rFonts w:ascii="Arial" w:hAnsi="Arial" w:cs="Arial"/>
        </w:rPr>
        <w:t>were from the Osteoporosis and Ultrasound (OPUS) study. The OPUS was a population based study involving five European centres namely Aberdeen (UK), Berlin (Germany), Kiel (Germany), Paris (France) and Sheffield (UK). During April 1999 and April 2001 subjects were randomly selected from government provided registers, population health registers and general practices. The overall aim of the study was to assess quantitative ultrasound methods and their association with prevalent vertebral fractures and compare these to</w:t>
      </w:r>
      <w:r w:rsidR="00BB5B54">
        <w:rPr>
          <w:rFonts w:ascii="Arial" w:hAnsi="Arial" w:cs="Arial"/>
        </w:rPr>
        <w:t xml:space="preserve"> bone mineral density. T</w:t>
      </w:r>
      <w:r w:rsidRPr="00FF6E13">
        <w:rPr>
          <w:rFonts w:ascii="Arial" w:hAnsi="Arial" w:cs="Arial"/>
        </w:rPr>
        <w:t>he baseline visit involved several examinations including ultrasound measurements</w:t>
      </w:r>
      <w:r w:rsidR="00BB5B54">
        <w:rPr>
          <w:rFonts w:ascii="Arial" w:hAnsi="Arial" w:cs="Arial"/>
        </w:rPr>
        <w:t>, blood and urine collections</w:t>
      </w:r>
      <w:r w:rsidRPr="00FF6E13">
        <w:rPr>
          <w:rFonts w:ascii="Arial" w:hAnsi="Arial" w:cs="Arial"/>
        </w:rPr>
        <w:t xml:space="preserve">, bone mineral density using DXA, radiography assessments and </w:t>
      </w:r>
      <w:r w:rsidR="00D30017" w:rsidRPr="00FF6E13">
        <w:rPr>
          <w:rFonts w:ascii="Arial" w:hAnsi="Arial" w:cs="Arial"/>
        </w:rPr>
        <w:t xml:space="preserve">questionnaires </w:t>
      </w:r>
      <w:r w:rsidR="00625851">
        <w:rPr>
          <w:rFonts w:ascii="Arial" w:hAnsi="Arial" w:cs="Arial"/>
        </w:rPr>
        <w:fldChar w:fldCharType="begin">
          <w:fldData xml:space="preserve">PEVuZE5vdGU+PENpdGU+PEF1dGhvcj5HbHVlcjwvQXV0aG9yPjxZZWFyPjIwMDQ8L1llYXI+PFJl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IE1pbmVyYWwgUmVzZWFyY2g8L2FiYnItMT48L3BlcmlvZGljYWw+PGFsdC1wZXJpb2RpY2FsPjxm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PEVuZE5vdGU+PENpdGU+PEF1dGhvcj5HbHVlcjwvQXV0aG9yPjxZZWFyPjIwMDQ8L1llYXI+PFJl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IE1pbmVyYWwgUmVzZWFyY2g8L2FiYnItMT48L3BlcmlvZGljYWw+PGFsdC1wZXJpb2RpY2FsPjxm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625851">
        <w:rPr>
          <w:rFonts w:ascii="Arial" w:hAnsi="Arial" w:cs="Arial"/>
        </w:rPr>
      </w:r>
      <w:r w:rsidR="00625851">
        <w:rPr>
          <w:rFonts w:ascii="Arial" w:hAnsi="Arial" w:cs="Arial"/>
        </w:rPr>
        <w:fldChar w:fldCharType="separate"/>
      </w:r>
      <w:r w:rsidR="00B64C0F">
        <w:rPr>
          <w:rFonts w:ascii="Arial" w:hAnsi="Arial" w:cs="Arial"/>
          <w:noProof/>
        </w:rPr>
        <w:t>(</w:t>
      </w:r>
      <w:hyperlink w:anchor="_ENREF_341" w:tooltip="Gluer, 2004 #183" w:history="1">
        <w:r w:rsidR="003B725E">
          <w:rPr>
            <w:rFonts w:ascii="Arial" w:hAnsi="Arial" w:cs="Arial"/>
            <w:noProof/>
          </w:rPr>
          <w:t>341</w:t>
        </w:r>
      </w:hyperlink>
      <w:r w:rsidR="00B64C0F">
        <w:rPr>
          <w:rFonts w:ascii="Arial" w:hAnsi="Arial" w:cs="Arial"/>
          <w:noProof/>
        </w:rPr>
        <w:t>)</w:t>
      </w:r>
      <w:r w:rsidR="00625851">
        <w:rPr>
          <w:rFonts w:ascii="Arial" w:hAnsi="Arial" w:cs="Arial"/>
        </w:rPr>
        <w:fldChar w:fldCharType="end"/>
      </w:r>
      <w:r w:rsidR="00625851">
        <w:rPr>
          <w:rFonts w:ascii="Arial" w:hAnsi="Arial" w:cs="Arial"/>
        </w:rPr>
        <w:t>.</w:t>
      </w:r>
      <w:r w:rsidRPr="00FF6E13">
        <w:rPr>
          <w:rFonts w:ascii="Arial" w:hAnsi="Arial" w:cs="Arial"/>
        </w:rPr>
        <w:t xml:space="preserve"> </w:t>
      </w:r>
      <w:r w:rsidR="004A65DA" w:rsidRPr="004A65DA">
        <w:rPr>
          <w:rFonts w:ascii="Arial" w:hAnsi="Arial" w:cs="Arial"/>
          <w:bCs/>
        </w:rPr>
        <w:t>The study was co-ordinated by the “Medizinische Physik” in Kiel. All investigations were conducted in accordance with the Declaration of Helsinki and ethical approval was obtained from the local ethics committees and written informed consent was obtained from each subject.</w:t>
      </w:r>
    </w:p>
    <w:p w:rsidR="00FF6E13" w:rsidRPr="002653B8" w:rsidRDefault="00FF6E13" w:rsidP="003B725E">
      <w:pPr>
        <w:spacing w:line="360" w:lineRule="auto"/>
        <w:jc w:val="both"/>
        <w:rPr>
          <w:sz w:val="24"/>
          <w:szCs w:val="24"/>
        </w:rPr>
      </w:pPr>
      <w:r>
        <w:rPr>
          <w:rFonts w:ascii="Arial" w:hAnsi="Arial" w:cs="Arial"/>
          <w:bCs/>
        </w:rPr>
        <w:t>For this wor</w:t>
      </w:r>
      <w:r w:rsidR="003A6DB1">
        <w:rPr>
          <w:rFonts w:ascii="Arial" w:hAnsi="Arial" w:cs="Arial"/>
          <w:bCs/>
        </w:rPr>
        <w:t>k</w:t>
      </w:r>
      <w:r w:rsidR="00765DEA">
        <w:rPr>
          <w:rFonts w:ascii="Arial" w:hAnsi="Arial" w:cs="Arial"/>
          <w:bCs/>
        </w:rPr>
        <w:t xml:space="preserve"> I</w:t>
      </w:r>
      <w:r w:rsidR="003A6DB1">
        <w:rPr>
          <w:rFonts w:ascii="Arial" w:hAnsi="Arial" w:cs="Arial"/>
          <w:bCs/>
        </w:rPr>
        <w:t xml:space="preserve"> used</w:t>
      </w:r>
      <w:r w:rsidRPr="00FF6E13">
        <w:rPr>
          <w:rFonts w:ascii="Arial" w:hAnsi="Arial" w:cs="Arial"/>
          <w:bCs/>
        </w:rPr>
        <w:t xml:space="preserve"> </w:t>
      </w:r>
      <w:r w:rsidR="00E4069A">
        <w:rPr>
          <w:rFonts w:ascii="Arial" w:hAnsi="Arial" w:cs="Arial"/>
          <w:bCs/>
        </w:rPr>
        <w:t xml:space="preserve">2419 which was </w:t>
      </w:r>
      <w:r w:rsidR="00CE0FB3">
        <w:rPr>
          <w:rFonts w:ascii="Arial" w:hAnsi="Arial" w:cs="Arial"/>
          <w:bCs/>
        </w:rPr>
        <w:t xml:space="preserve">the entire population of </w:t>
      </w:r>
      <w:r w:rsidRPr="00FF6E13">
        <w:rPr>
          <w:rFonts w:ascii="Arial" w:hAnsi="Arial" w:cs="Arial"/>
          <w:bCs/>
        </w:rPr>
        <w:t xml:space="preserve">older women aged 55 to 80 years and 258 younger women aged 30 to 39 years from the OPUS study population. A modified version of the European Vertebral Osteoporosis Study (EVOS) risk factor questionnaire </w:t>
      </w:r>
      <w:r w:rsidR="007F7CD5">
        <w:rPr>
          <w:rFonts w:ascii="Arial" w:hAnsi="Arial" w:cs="Arial"/>
          <w:bCs/>
        </w:rPr>
        <w:fldChar w:fldCharType="begin">
          <w:fldData xml:space="preserve">PEVuZE5vdGU+PENpdGU+PEF1dGhvcj5PJmFwb3M7TmVpbGw8L0F1dGhvcj48WWVhcj4xOTk0PC9Z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</w:fldData>
        </w:fldChar>
      </w:r>
      <w:r w:rsidR="00B64C0F">
        <w:rPr>
          <w:rFonts w:ascii="Arial" w:hAnsi="Arial" w:cs="Arial"/>
          <w:bCs/>
        </w:rPr>
        <w:instrText xml:space="preserve"> ADDIN EN.CITE </w:instrText>
      </w:r>
      <w:r w:rsidR="00B64C0F">
        <w:rPr>
          <w:rFonts w:ascii="Arial" w:hAnsi="Arial" w:cs="Arial"/>
          <w:bCs/>
        </w:rPr>
        <w:fldChar w:fldCharType="begin">
          <w:fldData xml:space="preserve">PEVuZE5vdGU+PENpdGU+PEF1dGhvcj5PJmFwb3M7TmVpbGw8L0F1dGhvcj48WWVhcj4xOTk0PC9Z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</w:fldData>
        </w:fldChar>
      </w:r>
      <w:r w:rsidR="00B64C0F">
        <w:rPr>
          <w:rFonts w:ascii="Arial" w:hAnsi="Arial" w:cs="Arial"/>
          <w:bCs/>
        </w:rPr>
        <w:instrText xml:space="preserve"> ADDIN EN.CITE.DATA </w:instrText>
      </w:r>
      <w:r w:rsidR="00B64C0F">
        <w:rPr>
          <w:rFonts w:ascii="Arial" w:hAnsi="Arial" w:cs="Arial"/>
          <w:bCs/>
        </w:rPr>
      </w:r>
      <w:r w:rsidR="00B64C0F">
        <w:rPr>
          <w:rFonts w:ascii="Arial" w:hAnsi="Arial" w:cs="Arial"/>
          <w:bCs/>
        </w:rPr>
        <w:fldChar w:fldCharType="end"/>
      </w:r>
      <w:r w:rsidR="007F7CD5">
        <w:rPr>
          <w:rFonts w:ascii="Arial" w:hAnsi="Arial" w:cs="Arial"/>
          <w:bCs/>
        </w:rPr>
      </w:r>
      <w:r w:rsidR="007F7CD5">
        <w:rPr>
          <w:rFonts w:ascii="Arial" w:hAnsi="Arial" w:cs="Arial"/>
          <w:bCs/>
        </w:rPr>
        <w:fldChar w:fldCharType="separate"/>
      </w:r>
      <w:r w:rsidR="00B64C0F">
        <w:rPr>
          <w:rFonts w:ascii="Arial" w:hAnsi="Arial" w:cs="Arial"/>
          <w:bCs/>
          <w:noProof/>
        </w:rPr>
        <w:t>(</w:t>
      </w:r>
      <w:hyperlink w:anchor="_ENREF_379" w:tooltip="O'Neill, 1994 #184" w:history="1">
        <w:r w:rsidR="003B725E">
          <w:rPr>
            <w:rFonts w:ascii="Arial" w:hAnsi="Arial" w:cs="Arial"/>
            <w:bCs/>
            <w:noProof/>
          </w:rPr>
          <w:t>379</w:t>
        </w:r>
      </w:hyperlink>
      <w:r w:rsidR="00B64C0F">
        <w:rPr>
          <w:rFonts w:ascii="Arial" w:hAnsi="Arial" w:cs="Arial"/>
          <w:bCs/>
          <w:noProof/>
        </w:rPr>
        <w:t>)</w:t>
      </w:r>
      <w:r w:rsidR="007F7CD5">
        <w:rPr>
          <w:rFonts w:ascii="Arial" w:hAnsi="Arial" w:cs="Arial"/>
          <w:bCs/>
        </w:rPr>
        <w:fldChar w:fldCharType="end"/>
      </w:r>
      <w:r w:rsidR="007A29F7">
        <w:rPr>
          <w:rFonts w:ascii="Arial" w:hAnsi="Arial" w:cs="Arial"/>
          <w:bCs/>
        </w:rPr>
        <w:t xml:space="preserve"> </w:t>
      </w:r>
      <w:r w:rsidRPr="00FF6E13">
        <w:rPr>
          <w:rFonts w:ascii="Arial" w:hAnsi="Arial" w:cs="Arial"/>
          <w:bCs/>
        </w:rPr>
        <w:t>was administered to each subject</w:t>
      </w:r>
      <w:r w:rsidR="002653B8">
        <w:rPr>
          <w:rFonts w:ascii="Arial" w:hAnsi="Arial" w:cs="Arial"/>
          <w:bCs/>
        </w:rPr>
        <w:t xml:space="preserve"> at baseline and 6 years </w:t>
      </w:r>
      <w:r w:rsidR="002653B8" w:rsidRPr="002653B8">
        <w:rPr>
          <w:rFonts w:ascii="Arial" w:hAnsi="Arial" w:cs="Arial"/>
          <w:bCs/>
        </w:rPr>
        <w:t>later.</w:t>
      </w:r>
      <w:r w:rsidR="004A65DA" w:rsidRPr="002653B8">
        <w:rPr>
          <w:rFonts w:ascii="Arial" w:hAnsi="Arial" w:cs="Arial"/>
          <w:bCs/>
        </w:rPr>
        <w:t xml:space="preserve"> </w:t>
      </w:r>
      <w:r w:rsidR="002653B8" w:rsidRPr="002653B8">
        <w:rPr>
          <w:rFonts w:ascii="Arial" w:hAnsi="Arial" w:cs="Arial"/>
        </w:rPr>
        <w:t xml:space="preserve">The questionnaire collected information on possible confounding factors. </w:t>
      </w:r>
      <w:r w:rsidR="004A65DA">
        <w:rPr>
          <w:rFonts w:ascii="Arial" w:hAnsi="Arial" w:cs="Arial"/>
          <w:bCs/>
        </w:rPr>
        <w:t>From this I was</w:t>
      </w:r>
      <w:r w:rsidRPr="00FF6E13">
        <w:rPr>
          <w:rFonts w:ascii="Arial" w:hAnsi="Arial" w:cs="Arial"/>
          <w:bCs/>
        </w:rPr>
        <w:t xml:space="preserve"> able to </w:t>
      </w:r>
      <w:r w:rsidR="004A65DA">
        <w:rPr>
          <w:rFonts w:ascii="Arial" w:hAnsi="Arial" w:cs="Arial"/>
          <w:bCs/>
        </w:rPr>
        <w:t>use the</w:t>
      </w:r>
      <w:r w:rsidR="002653B8">
        <w:rPr>
          <w:rFonts w:ascii="Arial" w:hAnsi="Arial" w:cs="Arial"/>
          <w:bCs/>
        </w:rPr>
        <w:t xml:space="preserve"> m</w:t>
      </w:r>
      <w:r w:rsidRPr="00FF6E13">
        <w:rPr>
          <w:rFonts w:ascii="Arial" w:hAnsi="Arial" w:cs="Arial"/>
          <w:bCs/>
        </w:rPr>
        <w:t>edical his</w:t>
      </w:r>
      <w:r w:rsidR="002653B8">
        <w:rPr>
          <w:rFonts w:ascii="Arial" w:hAnsi="Arial" w:cs="Arial"/>
          <w:bCs/>
        </w:rPr>
        <w:t xml:space="preserve">tory of diseases and treatments, </w:t>
      </w:r>
      <w:r w:rsidRPr="00FF6E13">
        <w:rPr>
          <w:rFonts w:ascii="Arial" w:hAnsi="Arial" w:cs="Arial"/>
          <w:bCs/>
        </w:rPr>
        <w:t xml:space="preserve">subjects were classified as smokers if they were current smokers and alcohol intake </w:t>
      </w:r>
      <w:r w:rsidR="00BF7D29">
        <w:rPr>
          <w:rFonts w:ascii="Arial" w:hAnsi="Arial" w:cs="Arial"/>
          <w:bCs/>
        </w:rPr>
        <w:t>was recorded as number of units</w:t>
      </w:r>
      <w:r w:rsidRPr="00FF6E13">
        <w:rPr>
          <w:rFonts w:ascii="Arial" w:hAnsi="Arial" w:cs="Arial"/>
          <w:bCs/>
        </w:rPr>
        <w:t xml:space="preserve"> </w:t>
      </w:r>
      <w:r w:rsidR="008F0A83">
        <w:rPr>
          <w:rFonts w:ascii="Arial" w:hAnsi="Arial" w:cs="Arial"/>
          <w:bCs/>
        </w:rPr>
        <w:t xml:space="preserve">per week. BMD </w:t>
      </w:r>
      <w:r w:rsidRPr="00FF6E13">
        <w:rPr>
          <w:rFonts w:ascii="Arial" w:hAnsi="Arial" w:cs="Arial"/>
          <w:bCs/>
        </w:rPr>
        <w:t>was measured at the spine and total h</w:t>
      </w:r>
      <w:r w:rsidR="008F0A83">
        <w:rPr>
          <w:rFonts w:ascii="Arial" w:hAnsi="Arial" w:cs="Arial"/>
          <w:bCs/>
        </w:rPr>
        <w:t xml:space="preserve">ip using DXA. </w:t>
      </w:r>
      <w:r w:rsidR="000D155C" w:rsidRPr="00C41067">
        <w:rPr>
          <w:rFonts w:ascii="Arial" w:hAnsi="Arial" w:cs="Arial"/>
          <w:highlight w:val="yellow"/>
        </w:rPr>
        <w:t xml:space="preserve">Further </w:t>
      </w:r>
      <w:r w:rsidR="000D155C">
        <w:rPr>
          <w:rFonts w:ascii="Arial" w:hAnsi="Arial" w:cs="Arial"/>
          <w:highlight w:val="yellow"/>
        </w:rPr>
        <w:t xml:space="preserve">details regarding </w:t>
      </w:r>
      <w:r w:rsidR="000D155C" w:rsidRPr="00C41067">
        <w:rPr>
          <w:rFonts w:ascii="Arial" w:hAnsi="Arial" w:cs="Arial"/>
          <w:highlight w:val="yellow"/>
        </w:rPr>
        <w:t>clinical features of the subjects have been published, (</w:t>
      </w:r>
      <w:r w:rsidR="000D155C" w:rsidRPr="000D155C">
        <w:rPr>
          <w:rFonts w:ascii="Arial" w:hAnsi="Arial" w:cs="Arial"/>
          <w:highlight w:val="yellow"/>
        </w:rPr>
        <w:t xml:space="preserve">Appendices 2), </w:t>
      </w:r>
      <w:r w:rsidR="000D155C" w:rsidRPr="000D155C">
        <w:rPr>
          <w:rFonts w:ascii="Arial" w:hAnsi="Arial" w:cs="Arial"/>
          <w:highlight w:val="yellow"/>
        </w:rPr>
        <w:fldChar w:fldCharType="begin"/>
      </w:r>
      <w:r w:rsidR="000D155C" w:rsidRPr="000D155C">
        <w:rPr>
          <w:rFonts w:ascii="Arial" w:hAnsi="Arial" w:cs="Arial"/>
          <w:highlight w:val="yellow"/>
        </w:rPr>
        <w:instrText xml:space="preserve"> ADDIN EN.CITE &lt;EndNote&gt;&lt;Cite&gt;&lt;Author&gt;Gossiel&lt;/Author&gt;&lt;Year&gt;2014&lt;/Year&gt;&lt;RecNum&gt;535&lt;/RecNum&gt;&lt;DisplayText&gt;(380)&lt;/DisplayText&gt;&lt;record&gt;&lt;rec-number&gt;535&lt;/rec-number&gt;&lt;foreign-keys&gt;&lt;key app="EN" db-id="999pfvae505tsbee9eapvxv0srxdfv2ttr5e" timestamp="1576842409"&gt;535&lt;/key&gt;&lt;/foreign-keys&gt;&lt;ref-type name="Journal Article"&gt;17&lt;/ref-type&gt;&lt;contributors&gt;&lt;authors&gt;&lt;author&gt;Gossiel, F.&lt;/author&gt;&lt;author&gt;Finigan, J.&lt;/author&gt;&lt;author&gt;Jacques, R.&lt;/author&gt;&lt;author&gt;Reid, D.&lt;/author&gt;&lt;author&gt;Felsenberg, D.&lt;/author&gt;&lt;author&gt;Roux, C.&lt;/author&gt;&lt;author&gt;Glueer, C.&lt;/author&gt;&lt;author&gt;Eastell, R.&lt;/author&gt;&lt;/authors&gt;&lt;/contributors&gt;&lt;auth-address&gt;Department of Human Metabolism, University of Sheffield , Sheffield, UK.&amp;#xD;Univerity of Aberdeen , Aberdeen, UK.&amp;#xD;Charite Universitatsmedizin , Berlin, Germany.&amp;#xD;Rene Descartes Universite , Paris, France.&amp;#xD;Universitatsklinikum Schleswig-Holstein , Kiel, Germany.&lt;/auth-address&gt;&lt;titles&gt;&lt;title&gt;Establishing reference intervals for bone turnover markers in healthy postmenopausal women in a nonfasting state&lt;/title&gt;&lt;secondary-title&gt;Bonekey Rep&lt;/secondary-title&gt;&lt;alt-title&gt;BoneKEy reports&lt;/alt-title&gt;&lt;/titles&gt;&lt;periodical&gt;&lt;full-title&gt;Bonekey Rep&lt;/full-title&gt;&lt;abbr-1&gt;BoneKEy reports&lt;/abbr-1&gt;&lt;/periodical&gt;&lt;alt-periodical&gt;&lt;full-title&gt;Bonekey Rep&lt;/full-title&gt;&lt;abbr-1&gt;BoneKEy reports&lt;/abbr-1&gt;&lt;/alt-periodical&gt;&lt;pages&gt;573&lt;/pages&gt;&lt;volume&gt;3&lt;/volume&gt;&lt;edition&gt;2014/09/18&lt;/edition&gt;&lt;dates&gt;&lt;year&gt;2014&lt;/year&gt;&lt;/dates&gt;&lt;isbn&gt;2047-6396 (Print)&amp;#xD;2047-6396&lt;/isbn&gt;&lt;accession-num&gt;25228986&lt;/accession-num&gt;&lt;urls&gt;&lt;/urls&gt;&lt;custom2&gt;PMC4162466&lt;/custom2&gt;&lt;electronic-resource-num&gt;10.1038/bonekey.2014.68&lt;/electronic-resource-num&gt;&lt;remote-database-provider&gt;NLM&lt;/remote-database-provider&gt;&lt;language&gt;eng&lt;/language&gt;&lt;/record&gt;&lt;/Cite&gt;&lt;/EndNote&gt;</w:instrText>
      </w:r>
      <w:r w:rsidR="000D155C" w:rsidRPr="000D155C">
        <w:rPr>
          <w:rFonts w:ascii="Arial" w:hAnsi="Arial" w:cs="Arial"/>
          <w:highlight w:val="yellow"/>
        </w:rPr>
        <w:fldChar w:fldCharType="separate"/>
      </w:r>
      <w:r w:rsidR="000D155C" w:rsidRPr="000D155C">
        <w:rPr>
          <w:rFonts w:ascii="Arial" w:hAnsi="Arial" w:cs="Arial"/>
          <w:noProof/>
          <w:highlight w:val="yellow"/>
        </w:rPr>
        <w:t>(</w:t>
      </w:r>
      <w:hyperlink w:anchor="_ENREF_380" w:tooltip="Gossiel, 2014 #535" w:history="1">
        <w:r w:rsidR="003B725E" w:rsidRPr="000D155C">
          <w:rPr>
            <w:rFonts w:ascii="Arial" w:hAnsi="Arial" w:cs="Arial"/>
            <w:noProof/>
            <w:highlight w:val="yellow"/>
          </w:rPr>
          <w:t>380</w:t>
        </w:r>
      </w:hyperlink>
      <w:r w:rsidR="000D155C" w:rsidRPr="000D155C">
        <w:rPr>
          <w:rFonts w:ascii="Arial" w:hAnsi="Arial" w:cs="Arial"/>
          <w:noProof/>
          <w:highlight w:val="yellow"/>
        </w:rPr>
        <w:t>)</w:t>
      </w:r>
      <w:r w:rsidR="000D155C" w:rsidRPr="000D155C">
        <w:rPr>
          <w:rFonts w:ascii="Arial" w:hAnsi="Arial" w:cs="Arial"/>
          <w:highlight w:val="yellow"/>
        </w:rPr>
        <w:fldChar w:fldCharType="end"/>
      </w:r>
      <w:r w:rsidR="000D155C" w:rsidRPr="000D155C">
        <w:rPr>
          <w:rFonts w:ascii="Arial" w:hAnsi="Arial" w:cs="Arial"/>
          <w:highlight w:val="yellow"/>
        </w:rPr>
        <w:t>.</w:t>
      </w:r>
    </w:p>
    <w:p w:rsidR="004A65DA" w:rsidRPr="00C37352" w:rsidRDefault="00775DF7" w:rsidP="005354D9">
      <w:pPr>
        <w:pStyle w:val="Heading3"/>
        <w:jc w:val="both"/>
      </w:pPr>
      <w:bookmarkStart w:id="117" w:name="_Toc425418915"/>
      <w:r>
        <w:t>Laboratory methods</w:t>
      </w:r>
      <w:bookmarkEnd w:id="117"/>
    </w:p>
    <w:p w:rsidR="00E4069A" w:rsidRDefault="00E4069A" w:rsidP="005354D9">
      <w:pPr>
        <w:spacing w:line="360" w:lineRule="auto"/>
        <w:jc w:val="both"/>
        <w:rPr>
          <w:rFonts w:ascii="Arial" w:hAnsi="Arial" w:cs="Arial"/>
          <w:lang w:val="en-US"/>
        </w:rPr>
      </w:pPr>
      <w:r>
        <w:rPr>
          <w:rFonts w:ascii="Arial" w:hAnsi="Arial" w:cs="Arial"/>
          <w:lang w:val="en-US"/>
        </w:rPr>
        <w:t xml:space="preserve">From the non-fasting venous blood samples collected at baseline, </w:t>
      </w:r>
      <w:r w:rsidRPr="004A65DA">
        <w:rPr>
          <w:rFonts w:ascii="Arial" w:hAnsi="Arial" w:cs="Arial"/>
          <w:lang w:val="en-US"/>
        </w:rPr>
        <w:t xml:space="preserve">CTX, intact PINP, bone ALP and 25 OH D were measured in serum using the IDS-iSYS automated immunoassays (Immunodiagnostic Systems, Boldon, United Kingdom). The inter assay coefficients of variation (CV) were 6.5%, 7.2%, 3.5% and 6.7% respectively. N-Mid osteocalcin was measured in serum using the Elecsys 2010 automated immunoassay </w:t>
      </w:r>
      <w:r w:rsidRPr="004A65DA">
        <w:rPr>
          <w:rFonts w:ascii="Arial" w:hAnsi="Arial" w:cs="Arial"/>
          <w:lang w:val="en-US"/>
        </w:rPr>
        <w:lastRenderedPageBreak/>
        <w:t>(Roche Diagnostics, Germany). The inter assay CV was 6.3%. NTX was measured using the Ortho Clinical Diagnostics automated immunoassay (High Wycombe, United Kingdom). The inter assay CV was 6.4%. NTX was expressed as a ratio to creatinine and the inter assay CV for creatinine was 1.8%.</w:t>
      </w:r>
      <w:r>
        <w:rPr>
          <w:rFonts w:ascii="Arial" w:hAnsi="Arial" w:cs="Arial"/>
          <w:lang w:val="en-US"/>
        </w:rPr>
        <w:t xml:space="preserve"> These methods have been described in more detail in chapter 2.</w:t>
      </w:r>
    </w:p>
    <w:p w:rsidR="004A65DA" w:rsidRDefault="004A65DA" w:rsidP="003B725E">
      <w:pPr>
        <w:spacing w:after="0" w:line="360" w:lineRule="auto"/>
        <w:jc w:val="both"/>
        <w:rPr>
          <w:rFonts w:ascii="Arial" w:hAnsi="Arial" w:cs="Arial"/>
          <w:lang w:val="en-US"/>
        </w:rPr>
      </w:pPr>
      <w:r w:rsidRPr="004A65DA">
        <w:rPr>
          <w:rFonts w:ascii="Arial" w:hAnsi="Arial" w:cs="Arial"/>
          <w:lang w:val="en-US"/>
        </w:rPr>
        <w:t>Serum cre</w:t>
      </w:r>
      <w:r w:rsidR="004009E5">
        <w:rPr>
          <w:rFonts w:ascii="Arial" w:hAnsi="Arial" w:cs="Arial"/>
          <w:lang w:val="en-US"/>
        </w:rPr>
        <w:t>atinine was measured using the C</w:t>
      </w:r>
      <w:r w:rsidRPr="004A65DA">
        <w:rPr>
          <w:rFonts w:ascii="Arial" w:hAnsi="Arial" w:cs="Arial"/>
          <w:lang w:val="en-US"/>
        </w:rPr>
        <w:t>obas c 311 automated analyser (Roche Diagnostics, Germany). This was used to calculate the estimated glomerular filtration rate (eGFR) using the formula based on the modification of diet and renal disease (MDRD)</w:t>
      </w:r>
      <w:r w:rsidR="001F1CA4">
        <w:rPr>
          <w:rFonts w:ascii="Arial" w:hAnsi="Arial" w:cs="Arial"/>
          <w:lang w:val="en-US"/>
        </w:rPr>
        <w:t xml:space="preserve"> </w:t>
      </w:r>
      <w:r w:rsidR="001F1CA4">
        <w:rPr>
          <w:rFonts w:ascii="Arial" w:hAnsi="Arial" w:cs="Arial"/>
          <w:lang w:val="en-US"/>
        </w:rPr>
        <w:fldChar w:fldCharType="begin">
          <w:fldData xml:space="preserve">PEVuZE5vdGU+PENpdGU+PEF1dGhvcj5MZXZleTwvQXV0aG9yPjxZZWFyPjIwMDc8L1llYXI+PFJl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</w:fldData>
        </w:fldChar>
      </w:r>
      <w:r w:rsidR="000D155C">
        <w:rPr>
          <w:rFonts w:ascii="Arial" w:hAnsi="Arial" w:cs="Arial"/>
          <w:lang w:val="en-US"/>
        </w:rPr>
        <w:instrText xml:space="preserve"> ADDIN EN.CITE </w:instrText>
      </w:r>
      <w:r w:rsidR="000D155C">
        <w:rPr>
          <w:rFonts w:ascii="Arial" w:hAnsi="Arial" w:cs="Arial"/>
          <w:lang w:val="en-US"/>
        </w:rPr>
        <w:fldChar w:fldCharType="begin">
          <w:fldData xml:space="preserve">PEVuZE5vdGU+PENpdGU+PEF1dGhvcj5MZXZleTwvQXV0aG9yPjxZZWFyPjIwMDc8L1llYXI+PFJl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</w:fldData>
        </w:fldChar>
      </w:r>
      <w:r w:rsidR="000D155C">
        <w:rPr>
          <w:rFonts w:ascii="Arial" w:hAnsi="Arial" w:cs="Arial"/>
          <w:lang w:val="en-US"/>
        </w:rPr>
        <w:instrText xml:space="preserve"> ADDIN EN.CITE.DATA </w:instrText>
      </w:r>
      <w:r w:rsidR="000D155C">
        <w:rPr>
          <w:rFonts w:ascii="Arial" w:hAnsi="Arial" w:cs="Arial"/>
          <w:lang w:val="en-US"/>
        </w:rPr>
      </w:r>
      <w:r w:rsidR="000D155C">
        <w:rPr>
          <w:rFonts w:ascii="Arial" w:hAnsi="Arial" w:cs="Arial"/>
          <w:lang w:val="en-US"/>
        </w:rPr>
        <w:fldChar w:fldCharType="end"/>
      </w:r>
      <w:r w:rsidR="001F1CA4">
        <w:rPr>
          <w:rFonts w:ascii="Arial" w:hAnsi="Arial" w:cs="Arial"/>
          <w:lang w:val="en-US"/>
        </w:rPr>
      </w:r>
      <w:r w:rsidR="001F1CA4">
        <w:rPr>
          <w:rFonts w:ascii="Arial" w:hAnsi="Arial" w:cs="Arial"/>
          <w:lang w:val="en-US"/>
        </w:rPr>
        <w:fldChar w:fldCharType="separate"/>
      </w:r>
      <w:r w:rsidR="000D155C">
        <w:rPr>
          <w:rFonts w:ascii="Arial" w:hAnsi="Arial" w:cs="Arial"/>
          <w:noProof/>
          <w:lang w:val="en-US"/>
        </w:rPr>
        <w:t>(</w:t>
      </w:r>
      <w:hyperlink w:anchor="_ENREF_381" w:tooltip="Levey, 2007 #185" w:history="1">
        <w:r w:rsidR="003B725E">
          <w:rPr>
            <w:rFonts w:ascii="Arial" w:hAnsi="Arial" w:cs="Arial"/>
            <w:noProof/>
            <w:lang w:val="en-US"/>
          </w:rPr>
          <w:t>381</w:t>
        </w:r>
      </w:hyperlink>
      <w:r w:rsidR="000D155C">
        <w:rPr>
          <w:rFonts w:ascii="Arial" w:hAnsi="Arial" w:cs="Arial"/>
          <w:noProof/>
          <w:lang w:val="en-US"/>
        </w:rPr>
        <w:t>)</w:t>
      </w:r>
      <w:r w:rsidR="001F1CA4">
        <w:rPr>
          <w:rFonts w:ascii="Arial" w:hAnsi="Arial" w:cs="Arial"/>
          <w:lang w:val="en-US"/>
        </w:rPr>
        <w:fldChar w:fldCharType="end"/>
      </w:r>
      <w:r w:rsidR="001F1CA4">
        <w:rPr>
          <w:rFonts w:ascii="Arial" w:hAnsi="Arial" w:cs="Arial"/>
          <w:lang w:val="en-US"/>
        </w:rPr>
        <w:t>.</w:t>
      </w:r>
    </w:p>
    <w:p w:rsidR="00571992" w:rsidRDefault="00571992" w:rsidP="005354D9">
      <w:pPr>
        <w:pStyle w:val="Heading3"/>
        <w:jc w:val="both"/>
        <w:rPr>
          <w:lang w:val="en-US"/>
        </w:rPr>
      </w:pPr>
      <w:bookmarkStart w:id="118" w:name="_Toc425418916"/>
      <w:r w:rsidRPr="00C37352">
        <w:rPr>
          <w:lang w:val="en-US"/>
        </w:rPr>
        <w:t>Medical conditions and treatments</w:t>
      </w:r>
      <w:bookmarkEnd w:id="118"/>
      <w:r w:rsidRPr="00C37352">
        <w:rPr>
          <w:lang w:val="en-US"/>
        </w:rPr>
        <w:t xml:space="preserve"> </w:t>
      </w:r>
    </w:p>
    <w:p w:rsidR="00571992" w:rsidRPr="00625851" w:rsidRDefault="00CE0FB3" w:rsidP="003B725E">
      <w:pPr>
        <w:spacing w:after="0" w:line="360" w:lineRule="auto"/>
        <w:jc w:val="both"/>
        <w:rPr>
          <w:rFonts w:ascii="Arial" w:hAnsi="Arial" w:cs="Arial"/>
          <w:lang w:val="en-US"/>
        </w:rPr>
      </w:pPr>
      <w:r>
        <w:rPr>
          <w:rFonts w:ascii="Arial" w:hAnsi="Arial" w:cs="Arial"/>
          <w:lang w:val="en-US"/>
        </w:rPr>
        <w:t>From previous publications</w:t>
      </w:r>
      <w:r w:rsidR="00571992" w:rsidRPr="00571992">
        <w:rPr>
          <w:rFonts w:ascii="Arial" w:hAnsi="Arial" w:cs="Arial"/>
          <w:lang w:val="en-US"/>
        </w:rPr>
        <w:t xml:space="preserve"> I identified several diseases and treatments that may have an effect on bone remodeling. These were i) vitamin D deficiency if 25 (OH)D &lt; 30 nmol/L</w:t>
      </w:r>
      <w:r>
        <w:rPr>
          <w:rFonts w:ascii="Arial" w:hAnsi="Arial" w:cs="Arial"/>
          <w:lang w:val="en-US"/>
        </w:rPr>
        <w:t xml:space="preserve"> as defined by the Institute of Medicine</w:t>
      </w:r>
      <w:r w:rsidR="00571992" w:rsidRPr="00571992">
        <w:rPr>
          <w:rFonts w:ascii="Arial" w:hAnsi="Arial" w:cs="Arial"/>
          <w:lang w:val="en-US"/>
        </w:rPr>
        <w:t xml:space="preserve">, ii) renal </w:t>
      </w:r>
      <w:r w:rsidR="00EC0786" w:rsidRPr="00571992">
        <w:rPr>
          <w:rFonts w:ascii="Arial" w:hAnsi="Arial" w:cs="Arial"/>
          <w:lang w:val="en-US"/>
        </w:rPr>
        <w:t>impairment</w:t>
      </w:r>
      <w:r w:rsidR="00571992" w:rsidRPr="00571992">
        <w:rPr>
          <w:rFonts w:ascii="Arial" w:hAnsi="Arial" w:cs="Arial"/>
          <w:lang w:val="en-US"/>
        </w:rPr>
        <w:t xml:space="preserve"> if eGFR &lt; 30 mL/minute/1.73m</w:t>
      </w:r>
      <w:r w:rsidR="00571992" w:rsidRPr="00571992">
        <w:rPr>
          <w:rFonts w:ascii="Arial" w:hAnsi="Arial" w:cs="Arial"/>
          <w:vertAlign w:val="superscript"/>
          <w:lang w:val="en-US"/>
        </w:rPr>
        <w:t>2</w:t>
      </w:r>
      <w:r w:rsidR="00571992" w:rsidRPr="00571992">
        <w:rPr>
          <w:rFonts w:ascii="Arial" w:hAnsi="Arial" w:cs="Arial"/>
          <w:lang w:val="en-US"/>
        </w:rPr>
        <w:t xml:space="preserve"> (CKD stages 4 and 5) as categorised by </w:t>
      </w:r>
      <w:r w:rsidR="000339E6">
        <w:rPr>
          <w:rFonts w:ascii="Arial" w:hAnsi="Arial" w:cs="Arial"/>
          <w:lang w:val="en-US"/>
        </w:rPr>
        <w:t>guideline set by; Kidney disease improving global outcome (</w:t>
      </w:r>
      <w:r w:rsidR="00571992" w:rsidRPr="00571992">
        <w:rPr>
          <w:rFonts w:ascii="Arial" w:hAnsi="Arial" w:cs="Arial"/>
          <w:lang w:val="en-US"/>
        </w:rPr>
        <w:t>KDIGO</w:t>
      </w:r>
      <w:r w:rsidR="000339E6">
        <w:rPr>
          <w:rFonts w:ascii="Arial" w:hAnsi="Arial" w:cs="Arial"/>
          <w:lang w:val="en-US"/>
        </w:rPr>
        <w:t>)</w:t>
      </w:r>
      <w:r w:rsidR="00625851">
        <w:rPr>
          <w:rFonts w:ascii="Arial" w:hAnsi="Arial" w:cs="Arial"/>
          <w:lang w:val="en-US"/>
        </w:rPr>
        <w:t xml:space="preserve"> </w:t>
      </w:r>
      <w:r w:rsidR="00625851">
        <w:rPr>
          <w:rFonts w:ascii="Arial" w:hAnsi="Arial" w:cs="Arial"/>
          <w:lang w:val="en-US"/>
        </w:rPr>
        <w:fldChar w:fldCharType="begin">
          <w:fldData xml:space="preserve">PEVuZE5vdGU+PENpdGU+PEF1dGhvcj5NYXR1c3praWV3aWN6LVJvd2luc2thPC9BdXRob3I+PFll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</w:fldData>
        </w:fldChar>
      </w:r>
      <w:r w:rsidR="000D155C">
        <w:rPr>
          <w:rFonts w:ascii="Arial" w:hAnsi="Arial" w:cs="Arial"/>
          <w:lang w:val="en-US"/>
        </w:rPr>
        <w:instrText xml:space="preserve"> ADDIN EN.CITE </w:instrText>
      </w:r>
      <w:r w:rsidR="000D155C">
        <w:rPr>
          <w:rFonts w:ascii="Arial" w:hAnsi="Arial" w:cs="Arial"/>
          <w:lang w:val="en-US"/>
        </w:rPr>
        <w:fldChar w:fldCharType="begin">
          <w:fldData xml:space="preserve">PEVuZE5vdGU+PENpdGU+PEF1dGhvcj5NYXR1c3praWV3aWN6LVJvd2luc2thPC9BdXRob3I+PFll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</w:fldData>
        </w:fldChar>
      </w:r>
      <w:r w:rsidR="000D155C">
        <w:rPr>
          <w:rFonts w:ascii="Arial" w:hAnsi="Arial" w:cs="Arial"/>
          <w:lang w:val="en-US"/>
        </w:rPr>
        <w:instrText xml:space="preserve"> ADDIN EN.CITE.DATA </w:instrText>
      </w:r>
      <w:r w:rsidR="000D155C">
        <w:rPr>
          <w:rFonts w:ascii="Arial" w:hAnsi="Arial" w:cs="Arial"/>
          <w:lang w:val="en-US"/>
        </w:rPr>
      </w:r>
      <w:r w:rsidR="000D155C">
        <w:rPr>
          <w:rFonts w:ascii="Arial" w:hAnsi="Arial" w:cs="Arial"/>
          <w:lang w:val="en-US"/>
        </w:rPr>
        <w:fldChar w:fldCharType="end"/>
      </w:r>
      <w:r w:rsidR="00625851">
        <w:rPr>
          <w:rFonts w:ascii="Arial" w:hAnsi="Arial" w:cs="Arial"/>
          <w:lang w:val="en-US"/>
        </w:rPr>
      </w:r>
      <w:r w:rsidR="00625851">
        <w:rPr>
          <w:rFonts w:ascii="Arial" w:hAnsi="Arial" w:cs="Arial"/>
          <w:lang w:val="en-US"/>
        </w:rPr>
        <w:fldChar w:fldCharType="separate"/>
      </w:r>
      <w:r w:rsidR="000D155C">
        <w:rPr>
          <w:rFonts w:ascii="Arial" w:hAnsi="Arial" w:cs="Arial"/>
          <w:noProof/>
          <w:lang w:val="en-US"/>
        </w:rPr>
        <w:t>(</w:t>
      </w:r>
      <w:hyperlink w:anchor="_ENREF_382" w:tooltip="Matuszkiewicz-Rowinska, 2010 #186" w:history="1">
        <w:r w:rsidR="003B725E">
          <w:rPr>
            <w:rFonts w:ascii="Arial" w:hAnsi="Arial" w:cs="Arial"/>
            <w:noProof/>
            <w:lang w:val="en-US"/>
          </w:rPr>
          <w:t>382</w:t>
        </w:r>
      </w:hyperlink>
      <w:r w:rsidR="000D155C">
        <w:rPr>
          <w:rFonts w:ascii="Arial" w:hAnsi="Arial" w:cs="Arial"/>
          <w:noProof/>
          <w:lang w:val="en-US"/>
        </w:rPr>
        <w:t xml:space="preserve">, </w:t>
      </w:r>
      <w:hyperlink w:anchor="_ENREF_383" w:tooltip=", 2009 #187" w:history="1">
        <w:r w:rsidR="003B725E">
          <w:rPr>
            <w:rFonts w:ascii="Arial" w:hAnsi="Arial" w:cs="Arial"/>
            <w:noProof/>
            <w:lang w:val="en-US"/>
          </w:rPr>
          <w:t>383</w:t>
        </w:r>
      </w:hyperlink>
      <w:r w:rsidR="000D155C">
        <w:rPr>
          <w:rFonts w:ascii="Arial" w:hAnsi="Arial" w:cs="Arial"/>
          <w:noProof/>
          <w:lang w:val="en-US"/>
        </w:rPr>
        <w:t>)</w:t>
      </w:r>
      <w:r w:rsidR="00625851">
        <w:rPr>
          <w:rFonts w:ascii="Arial" w:hAnsi="Arial" w:cs="Arial"/>
          <w:lang w:val="en-US"/>
        </w:rPr>
        <w:fldChar w:fldCharType="end"/>
      </w:r>
      <w:r w:rsidR="00571992" w:rsidRPr="00571992">
        <w:rPr>
          <w:rFonts w:ascii="Arial" w:hAnsi="Arial" w:cs="Arial"/>
          <w:lang w:val="en-US"/>
        </w:rPr>
        <w:t>, iii) osteoporosis at the spine or total hip if the BMD T-score ≤ -2.5, iv) other adverse conditions identified in the questionnaire: inflammatory bowel disease, rheumatoid arthritis, bone diseases other than osteoporosis, gastric surgery, hyperthyroidism, diabetes, liver disease, glucocorticoids (≥ 7.5 mg prednisolone equivalent,  ≥ 6 months) or alcohol</w:t>
      </w:r>
      <w:r w:rsidR="00625851">
        <w:rPr>
          <w:rFonts w:ascii="Arial" w:hAnsi="Arial" w:cs="Arial"/>
          <w:lang w:val="en-US"/>
        </w:rPr>
        <w:t xml:space="preserve"> </w:t>
      </w:r>
      <w:r w:rsidR="00571992" w:rsidRPr="00571992">
        <w:rPr>
          <w:rFonts w:ascii="Arial" w:hAnsi="Arial" w:cs="Arial"/>
          <w:lang w:val="en-US"/>
        </w:rPr>
        <w:t>intake &gt; 14 units/week and v) estrogen replete i.e. still premenopausal,</w:t>
      </w:r>
      <w:r w:rsidR="00571992">
        <w:rPr>
          <w:rFonts w:ascii="Arial" w:hAnsi="Arial" w:cs="Arial"/>
          <w:lang w:val="en-US"/>
        </w:rPr>
        <w:t xml:space="preserve"> or current/recent anti</w:t>
      </w:r>
      <w:r w:rsidR="00571992" w:rsidRPr="00571992">
        <w:rPr>
          <w:rFonts w:ascii="Arial" w:hAnsi="Arial" w:cs="Arial"/>
          <w:lang w:val="en-US"/>
        </w:rPr>
        <w:t>resorptive treatments.</w:t>
      </w:r>
    </w:p>
    <w:p w:rsidR="00571992" w:rsidRPr="00C37352" w:rsidRDefault="00571992" w:rsidP="005354D9">
      <w:pPr>
        <w:pStyle w:val="Heading3"/>
        <w:jc w:val="both"/>
        <w:rPr>
          <w:lang w:val="en-US"/>
        </w:rPr>
      </w:pPr>
      <w:bookmarkStart w:id="119" w:name="_Toc425418917"/>
      <w:r w:rsidRPr="00C37352">
        <w:rPr>
          <w:lang w:val="en-US"/>
        </w:rPr>
        <w:t>Statistical analyses</w:t>
      </w:r>
      <w:bookmarkEnd w:id="119"/>
    </w:p>
    <w:p w:rsidR="00571992" w:rsidRPr="00571992" w:rsidRDefault="00571992" w:rsidP="005354D9">
      <w:pPr>
        <w:pStyle w:val="CM12"/>
        <w:spacing w:line="360" w:lineRule="auto"/>
        <w:jc w:val="both"/>
        <w:rPr>
          <w:rFonts w:ascii="Arial" w:hAnsi="Arial" w:cs="Arial"/>
          <w:sz w:val="22"/>
          <w:szCs w:val="22"/>
        </w:rPr>
      </w:pPr>
      <w:r w:rsidRPr="00571992">
        <w:rPr>
          <w:rFonts w:ascii="Arial" w:hAnsi="Arial" w:cs="Arial"/>
          <w:bCs/>
          <w:sz w:val="22"/>
          <w:szCs w:val="22"/>
        </w:rPr>
        <w:t>The data for CTX, NTX, bone ALP and osteocalcin had a skewed distribution and were therefore log</w:t>
      </w:r>
      <w:r w:rsidRPr="00571992">
        <w:rPr>
          <w:rFonts w:ascii="Arial" w:hAnsi="Arial" w:cs="Arial"/>
          <w:bCs/>
          <w:sz w:val="22"/>
          <w:szCs w:val="22"/>
          <w:vertAlign w:val="subscript"/>
        </w:rPr>
        <w:t xml:space="preserve">10 </w:t>
      </w:r>
      <w:r w:rsidRPr="00571992">
        <w:rPr>
          <w:rFonts w:ascii="Arial" w:hAnsi="Arial" w:cs="Arial"/>
          <w:bCs/>
          <w:sz w:val="22"/>
          <w:szCs w:val="22"/>
        </w:rPr>
        <w:t xml:space="preserve">transformed to achieve normality. Multiple linear regression coefficients were used to determine the association between BTMs and diseases and treatments. Subjects were categorized by the absence (0) or presence (1) of disease or treatment. The coefficients were the percentage difference in the geometric mean of the BTM associated with the presence of disease. </w:t>
      </w:r>
    </w:p>
    <w:p w:rsidR="00571992" w:rsidRPr="00571992" w:rsidRDefault="00571992" w:rsidP="005354D9">
      <w:pPr>
        <w:spacing w:line="360" w:lineRule="auto"/>
        <w:jc w:val="both"/>
        <w:rPr>
          <w:rFonts w:ascii="Arial" w:hAnsi="Arial" w:cs="Arial"/>
          <w:lang w:val="en-US"/>
        </w:rPr>
      </w:pPr>
      <w:r w:rsidRPr="00571992">
        <w:rPr>
          <w:rFonts w:ascii="Arial" w:hAnsi="Arial" w:cs="Arial"/>
          <w:lang w:val="en-US"/>
        </w:rPr>
        <w:t>A 95% reference interval was calculated for each BTM as a mean ± 1.96 SD. The confidence intervals for the upper and lower bounds of the reference interval were calculated as boundary ± 1.96 SE where:</w:t>
      </w:r>
    </w:p>
    <w:p w:rsidR="00571992" w:rsidRPr="00571992" w:rsidRDefault="00571992" w:rsidP="005354D9">
      <w:pPr>
        <w:spacing w:after="0" w:line="480" w:lineRule="auto"/>
        <w:jc w:val="both"/>
        <w:rPr>
          <w:rFonts w:ascii="Arial" w:hAnsi="Arial" w:cs="Arial"/>
        </w:rPr>
      </w:pPr>
      <m:oMathPara>
        <m:oMathParaPr>
          <m:jc m:val="left"/>
        </m:oMathParaPr>
        <m:oMath>
          <m:r>
            <w:rPr>
              <w:rFonts w:ascii="Cambria Math" w:hAnsi="Cambria Math" w:cs="Arial"/>
            </w:rPr>
            <m:t>SE=</m:t>
          </m:r>
          <m:rad>
            <m:radPr>
              <m:degHide m:val="1"/>
              <m:ctrlPr>
                <w:rPr>
                  <w:rFonts w:ascii="Cambria Math" w:hAnsi="Cambria Math" w:cs="Arial"/>
                  <w:i/>
                </w:rPr>
              </m:ctrlPr>
            </m:radPr>
            <m:deg/>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SD</m:t>
                      </m:r>
                    </m:e>
                    <m:sup>
                      <m:r>
                        <w:rPr>
                          <w:rFonts w:ascii="Cambria Math" w:hAnsi="Cambria Math" w:cs="Arial"/>
                        </w:rPr>
                        <m:t>2</m:t>
                      </m:r>
                    </m:sup>
                  </m:sSup>
                </m:num>
                <m:den>
                  <m:r>
                    <w:rPr>
                      <w:rFonts w:ascii="Cambria Math" w:hAnsi="Cambria Math" w:cs="Arial"/>
                    </w:rPr>
                    <m:t>N</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sSup>
                    <m:sSupPr>
                      <m:ctrlPr>
                        <w:rPr>
                          <w:rFonts w:ascii="Cambria Math" w:hAnsi="Cambria Math" w:cs="Arial"/>
                          <w:i/>
                        </w:rPr>
                      </m:ctrlPr>
                    </m:sSupPr>
                    <m:e>
                      <m:r>
                        <w:rPr>
                          <w:rFonts w:ascii="Cambria Math" w:hAnsi="Cambria Math" w:cs="Arial"/>
                        </w:rPr>
                        <m:t>SD</m:t>
                      </m:r>
                    </m:e>
                    <m:sup>
                      <m:r>
                        <w:rPr>
                          <w:rFonts w:ascii="Cambria Math" w:hAnsi="Cambria Math" w:cs="Arial"/>
                        </w:rPr>
                        <m:t>2</m:t>
                      </m:r>
                    </m:sup>
                  </m:sSup>
                </m:num>
                <m:den>
                  <m:r>
                    <w:rPr>
                      <w:rFonts w:ascii="Cambria Math" w:hAnsi="Cambria Math" w:cs="Arial"/>
                    </w:rPr>
                    <m:t>2</m:t>
                  </m:r>
                  <m:d>
                    <m:dPr>
                      <m:ctrlPr>
                        <w:rPr>
                          <w:rFonts w:ascii="Cambria Math" w:hAnsi="Cambria Math" w:cs="Arial"/>
                          <w:i/>
                        </w:rPr>
                      </m:ctrlPr>
                    </m:dPr>
                    <m:e>
                      <m:r>
                        <w:rPr>
                          <w:rFonts w:ascii="Cambria Math" w:hAnsi="Cambria Math" w:cs="Arial"/>
                        </w:rPr>
                        <m:t>N-1</m:t>
                      </m:r>
                    </m:e>
                  </m:d>
                </m:den>
              </m:f>
            </m:e>
          </m:rad>
        </m:oMath>
      </m:oMathPara>
    </w:p>
    <w:p w:rsidR="00571992" w:rsidRPr="00571992" w:rsidRDefault="00571992" w:rsidP="005354D9">
      <w:pPr>
        <w:spacing w:after="0" w:line="360" w:lineRule="auto"/>
        <w:jc w:val="both"/>
        <w:rPr>
          <w:rFonts w:ascii="Arial" w:hAnsi="Arial" w:cs="Arial"/>
        </w:rPr>
      </w:pPr>
      <w:r w:rsidRPr="00571992">
        <w:rPr>
          <w:rFonts w:ascii="Arial" w:hAnsi="Arial" w:cs="Arial"/>
        </w:rPr>
        <w:t>SD = Standard deviation</w:t>
      </w:r>
    </w:p>
    <w:p w:rsidR="00571992" w:rsidRPr="00571992" w:rsidRDefault="00571992" w:rsidP="005354D9">
      <w:pPr>
        <w:spacing w:after="0" w:line="360" w:lineRule="auto"/>
        <w:jc w:val="both"/>
        <w:rPr>
          <w:rFonts w:ascii="Arial" w:hAnsi="Arial" w:cs="Arial"/>
        </w:rPr>
      </w:pPr>
      <w:r w:rsidRPr="00571992">
        <w:rPr>
          <w:rFonts w:ascii="Arial" w:hAnsi="Arial" w:cs="Arial"/>
        </w:rPr>
        <w:t>SE = Standard error of the estimate of the boundaries</w:t>
      </w:r>
    </w:p>
    <w:p w:rsidR="00571992" w:rsidRPr="00571992" w:rsidRDefault="00571992" w:rsidP="005354D9">
      <w:pPr>
        <w:spacing w:after="0" w:line="360" w:lineRule="auto"/>
        <w:jc w:val="both"/>
        <w:rPr>
          <w:rFonts w:ascii="Arial" w:hAnsi="Arial" w:cs="Arial"/>
        </w:rPr>
      </w:pPr>
      <w:r w:rsidRPr="00571992">
        <w:rPr>
          <w:rFonts w:ascii="Arial" w:hAnsi="Arial" w:cs="Arial"/>
        </w:rPr>
        <w:t>N = Number of subjects</w:t>
      </w:r>
    </w:p>
    <w:p w:rsidR="00571992" w:rsidRPr="008759E7" w:rsidRDefault="00571992" w:rsidP="005354D9">
      <w:pPr>
        <w:spacing w:line="360" w:lineRule="auto"/>
        <w:jc w:val="both"/>
        <w:rPr>
          <w:rFonts w:ascii="Arial" w:hAnsi="Arial" w:cs="Arial"/>
          <w:color w:val="000000"/>
          <w:sz w:val="20"/>
          <w:szCs w:val="20"/>
        </w:rPr>
      </w:pPr>
      <w:r w:rsidRPr="00571992">
        <w:rPr>
          <w:rFonts w:ascii="Arial" w:hAnsi="Arial" w:cs="Arial"/>
          <w:color w:val="000000"/>
          <w:sz w:val="20"/>
          <w:szCs w:val="20"/>
        </w:rPr>
        <w:lastRenderedPageBreak/>
        <w:t xml:space="preserve">M Bland (2000) </w:t>
      </w:r>
      <w:r w:rsidR="00212637" w:rsidRPr="00571992">
        <w:rPr>
          <w:rFonts w:ascii="Arial" w:hAnsi="Arial" w:cs="Arial"/>
          <w:color w:val="000000"/>
          <w:sz w:val="20"/>
          <w:szCs w:val="20"/>
        </w:rPr>
        <w:t>an</w:t>
      </w:r>
      <w:r w:rsidRPr="00571992">
        <w:rPr>
          <w:rFonts w:ascii="Arial" w:hAnsi="Arial" w:cs="Arial"/>
          <w:color w:val="000000"/>
          <w:sz w:val="20"/>
          <w:szCs w:val="20"/>
        </w:rPr>
        <w:t xml:space="preserve"> introduction to medical statistics (third edition) </w:t>
      </w:r>
      <w:r w:rsidR="008759E7">
        <w:rPr>
          <w:rFonts w:ascii="Arial" w:hAnsi="Arial" w:cs="Arial"/>
          <w:color w:val="000000"/>
          <w:sz w:val="20"/>
          <w:szCs w:val="20"/>
        </w:rPr>
        <w:t>Oxford University Press, Oxford</w:t>
      </w:r>
    </w:p>
    <w:p w:rsidR="00571992" w:rsidRPr="00571992" w:rsidRDefault="00571992" w:rsidP="005354D9">
      <w:pPr>
        <w:spacing w:line="360" w:lineRule="auto"/>
        <w:jc w:val="both"/>
        <w:rPr>
          <w:rFonts w:ascii="Arial" w:hAnsi="Arial" w:cs="Arial"/>
          <w:lang w:val="en-US"/>
        </w:rPr>
      </w:pPr>
      <w:r w:rsidRPr="00571992">
        <w:rPr>
          <w:rFonts w:ascii="Arial" w:hAnsi="Arial" w:cs="Arial"/>
          <w:lang w:val="en-US"/>
        </w:rPr>
        <w:t>PINP was not normally distributed after log</w:t>
      </w:r>
      <w:r w:rsidRPr="00571992">
        <w:rPr>
          <w:rFonts w:ascii="Arial" w:hAnsi="Arial" w:cs="Arial"/>
          <w:vertAlign w:val="subscript"/>
          <w:lang w:val="en-US"/>
        </w:rPr>
        <w:t>10</w:t>
      </w:r>
      <w:r w:rsidRPr="00571992">
        <w:rPr>
          <w:rFonts w:ascii="Arial" w:hAnsi="Arial" w:cs="Arial"/>
          <w:lang w:val="en-US"/>
        </w:rPr>
        <w:t xml:space="preserve"> transformation. Therefore, the non-parametric reference interval was calculated and the median and 95% bootstrap confidence intervals were reported.</w:t>
      </w:r>
    </w:p>
    <w:p w:rsidR="00571992" w:rsidRPr="00571992" w:rsidRDefault="00571992" w:rsidP="005354D9">
      <w:pPr>
        <w:spacing w:line="360" w:lineRule="auto"/>
        <w:jc w:val="both"/>
        <w:rPr>
          <w:rFonts w:ascii="Arial" w:hAnsi="Arial" w:cs="Arial"/>
          <w:lang w:val="en-US"/>
        </w:rPr>
      </w:pPr>
      <w:r w:rsidRPr="00571992">
        <w:rPr>
          <w:rFonts w:ascii="Arial" w:hAnsi="Arial" w:cs="Arial"/>
          <w:lang w:val="en-US"/>
        </w:rPr>
        <w:t>An independent sample t-test was used to determine the statistical difference between the BTM reference intervals for postmenopausal and premenopausal women. A Mann-Whitney U-test was used to determine the statistical difference between the PINP reference interval for postmenopausal and premenopausal women.</w:t>
      </w:r>
    </w:p>
    <w:p w:rsidR="001F1CA4" w:rsidRDefault="00571992" w:rsidP="005354D9">
      <w:pPr>
        <w:spacing w:after="0" w:line="360" w:lineRule="auto"/>
        <w:jc w:val="both"/>
        <w:rPr>
          <w:rFonts w:ascii="Arial" w:hAnsi="Arial" w:cs="Arial"/>
          <w:lang w:val="en-US"/>
        </w:rPr>
      </w:pPr>
      <w:r w:rsidRPr="00571992">
        <w:rPr>
          <w:rFonts w:ascii="Arial" w:hAnsi="Arial" w:cs="Arial"/>
          <w:lang w:val="en-US"/>
        </w:rPr>
        <w:t>Healthy postmenopausal women were used for further analysis to investigate other determinants of BTMs. Univariate analysis was performed to determine the effects of age, height, weight, BMI, alcohol c</w:t>
      </w:r>
      <w:r w:rsidR="008759E7">
        <w:rPr>
          <w:rFonts w:ascii="Arial" w:hAnsi="Arial" w:cs="Arial"/>
          <w:lang w:val="en-US"/>
        </w:rPr>
        <w:t>onsumption and smoking on BTMs.</w:t>
      </w:r>
    </w:p>
    <w:p w:rsidR="001F1CA4" w:rsidRDefault="001F1CA4" w:rsidP="005354D9">
      <w:pPr>
        <w:pStyle w:val="Heading2"/>
        <w:jc w:val="both"/>
        <w:rPr>
          <w:lang w:val="en-US"/>
        </w:rPr>
      </w:pPr>
      <w:bookmarkStart w:id="120" w:name="_Toc425418918"/>
      <w:r>
        <w:rPr>
          <w:lang w:val="en-US"/>
        </w:rPr>
        <w:t>Results</w:t>
      </w:r>
      <w:bookmarkEnd w:id="120"/>
    </w:p>
    <w:p w:rsidR="001F1CA4" w:rsidRDefault="001F1CA4" w:rsidP="005354D9">
      <w:pPr>
        <w:pStyle w:val="Heading3"/>
        <w:jc w:val="both"/>
        <w:rPr>
          <w:lang w:val="en-US"/>
        </w:rPr>
      </w:pPr>
      <w:bookmarkStart w:id="121" w:name="_Toc425418919"/>
      <w:r>
        <w:rPr>
          <w:lang w:val="en-US"/>
        </w:rPr>
        <w:t>Subject characteristics</w:t>
      </w:r>
      <w:bookmarkEnd w:id="121"/>
    </w:p>
    <w:p w:rsidR="00F71880" w:rsidRPr="00E915C9" w:rsidRDefault="001F1CA4" w:rsidP="005354D9">
      <w:pPr>
        <w:spacing w:line="360" w:lineRule="auto"/>
        <w:jc w:val="both"/>
        <w:rPr>
          <w:rFonts w:ascii="Arial" w:hAnsi="Arial" w:cs="Arial"/>
          <w:b/>
          <w:lang w:val="en-US"/>
        </w:rPr>
      </w:pPr>
      <w:r w:rsidRPr="001F1CA4">
        <w:rPr>
          <w:rFonts w:ascii="Arial" w:hAnsi="Arial" w:cs="Arial"/>
          <w:lang w:val="en-US"/>
        </w:rPr>
        <w:t>The subject characteristics for the older and younger women in the OPUS study</w:t>
      </w:r>
      <w:r w:rsidR="00E915C9">
        <w:rPr>
          <w:rFonts w:ascii="Arial" w:hAnsi="Arial" w:cs="Arial"/>
          <w:lang w:val="en-US"/>
        </w:rPr>
        <w:t xml:space="preserve"> </w:t>
      </w:r>
      <w:r w:rsidR="00FE5129">
        <w:rPr>
          <w:rFonts w:ascii="Arial" w:hAnsi="Arial" w:cs="Arial"/>
          <w:lang w:val="en-US"/>
        </w:rPr>
        <w:t>population are shown in table 12</w:t>
      </w:r>
      <w:r w:rsidRPr="001F1CA4">
        <w:rPr>
          <w:rFonts w:ascii="Arial" w:hAnsi="Arial" w:cs="Arial"/>
          <w:lang w:val="en-US"/>
        </w:rPr>
        <w:t>. Overall,</w:t>
      </w:r>
      <w:r w:rsidR="005C0E34">
        <w:rPr>
          <w:rFonts w:ascii="Arial" w:hAnsi="Arial" w:cs="Arial"/>
          <w:lang w:val="en-US"/>
        </w:rPr>
        <w:t xml:space="preserve"> the</w:t>
      </w:r>
      <w:r w:rsidRPr="001F1CA4">
        <w:rPr>
          <w:rFonts w:ascii="Arial" w:hAnsi="Arial" w:cs="Arial"/>
          <w:lang w:val="en-US"/>
        </w:rPr>
        <w:t xml:space="preserve"> mean BMD T-scores at the spine and total hip were lower, and mean levels of BTMs were higher in older women compared to the younger women.</w:t>
      </w:r>
      <w:r w:rsidR="00E915C9">
        <w:rPr>
          <w:rFonts w:ascii="Arial" w:hAnsi="Arial" w:cs="Arial"/>
          <w:b/>
          <w:lang w:val="en-US"/>
        </w:rPr>
        <w:t xml:space="preserve"> </w:t>
      </w:r>
    </w:p>
    <w:p w:rsidR="001F1CA4" w:rsidRPr="001F1CA4" w:rsidRDefault="001F1CA4" w:rsidP="005354D9">
      <w:pPr>
        <w:pStyle w:val="Caption"/>
        <w:keepNext/>
        <w:jc w:val="both"/>
        <w:rPr>
          <w:rFonts w:ascii="Arial" w:hAnsi="Arial" w:cs="Arial"/>
          <w:b w:val="0"/>
          <w:color w:val="auto"/>
          <w:sz w:val="20"/>
          <w:szCs w:val="20"/>
        </w:rPr>
      </w:pPr>
      <w:bookmarkStart w:id="122" w:name="_Toc424043686"/>
      <w:r w:rsidRPr="001F1CA4">
        <w:rPr>
          <w:rFonts w:ascii="Arial" w:hAnsi="Arial" w:cs="Arial"/>
          <w:b w:val="0"/>
          <w:color w:val="auto"/>
          <w:sz w:val="20"/>
          <w:szCs w:val="20"/>
        </w:rPr>
        <w:t xml:space="preserve">Table </w:t>
      </w:r>
      <w:r w:rsidRPr="001F1CA4">
        <w:rPr>
          <w:rFonts w:ascii="Arial" w:hAnsi="Arial" w:cs="Arial"/>
          <w:b w:val="0"/>
          <w:color w:val="auto"/>
          <w:sz w:val="20"/>
          <w:szCs w:val="20"/>
        </w:rPr>
        <w:fldChar w:fldCharType="begin"/>
      </w:r>
      <w:r w:rsidRPr="001F1CA4">
        <w:rPr>
          <w:rFonts w:ascii="Arial" w:hAnsi="Arial" w:cs="Arial"/>
          <w:b w:val="0"/>
          <w:color w:val="auto"/>
          <w:sz w:val="20"/>
          <w:szCs w:val="20"/>
        </w:rPr>
        <w:instrText xml:space="preserve"> SEQ Table \* ARABIC </w:instrText>
      </w:r>
      <w:r w:rsidRPr="001F1CA4">
        <w:rPr>
          <w:rFonts w:ascii="Arial" w:hAnsi="Arial" w:cs="Arial"/>
          <w:b w:val="0"/>
          <w:color w:val="auto"/>
          <w:sz w:val="20"/>
          <w:szCs w:val="20"/>
        </w:rPr>
        <w:fldChar w:fldCharType="separate"/>
      </w:r>
      <w:r w:rsidR="00DD116A">
        <w:rPr>
          <w:rFonts w:ascii="Arial" w:hAnsi="Arial" w:cs="Arial"/>
          <w:b w:val="0"/>
          <w:noProof/>
          <w:color w:val="auto"/>
          <w:sz w:val="20"/>
          <w:szCs w:val="20"/>
        </w:rPr>
        <w:t>12</w:t>
      </w:r>
      <w:r w:rsidRPr="001F1CA4">
        <w:rPr>
          <w:rFonts w:ascii="Arial" w:hAnsi="Arial" w:cs="Arial"/>
          <w:b w:val="0"/>
          <w:color w:val="auto"/>
          <w:sz w:val="20"/>
          <w:szCs w:val="20"/>
        </w:rPr>
        <w:fldChar w:fldCharType="end"/>
      </w:r>
      <w:r w:rsidRPr="001F1CA4">
        <w:rPr>
          <w:rFonts w:ascii="Arial" w:hAnsi="Arial" w:cs="Arial"/>
          <w:b w:val="0"/>
          <w:color w:val="auto"/>
          <w:sz w:val="20"/>
          <w:szCs w:val="20"/>
        </w:rPr>
        <w:t>: Baseline Characteristics of the older (55 to 79 years) and younger (30 to 39 years) women in the OPUS study</w:t>
      </w:r>
      <w:bookmarkEnd w:id="122"/>
    </w:p>
    <w:tbl>
      <w:tblPr>
        <w:tblW w:w="7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3"/>
        <w:gridCol w:w="2504"/>
        <w:gridCol w:w="2459"/>
      </w:tblGrid>
      <w:tr w:rsidR="001F1CA4" w:rsidRPr="001F1CA4" w:rsidTr="00441D5B">
        <w:trPr>
          <w:trHeight w:val="818"/>
        </w:trPr>
        <w:tc>
          <w:tcPr>
            <w:tcW w:w="2773" w:type="dxa"/>
            <w:vAlign w:val="bottom"/>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Variable</w:t>
            </w:r>
          </w:p>
        </w:tc>
        <w:tc>
          <w:tcPr>
            <w:tcW w:w="2504" w:type="dxa"/>
            <w:vAlign w:val="bottom"/>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Older women ( N = 2419)</w:t>
            </w:r>
          </w:p>
        </w:tc>
        <w:tc>
          <w:tcPr>
            <w:tcW w:w="2459" w:type="dxa"/>
            <w:vAlign w:val="bottom"/>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Younger women ( N = 258)</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sz w:val="16"/>
                <w:szCs w:val="16"/>
              </w:rPr>
            </w:pPr>
            <w:r w:rsidRPr="00182095">
              <w:rPr>
                <w:rFonts w:ascii="Arial" w:eastAsia="Calibri" w:hAnsi="Arial" w:cs="Arial"/>
                <w:sz w:val="16"/>
                <w:szCs w:val="16"/>
              </w:rPr>
              <w:t>Age, years</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67.1 (7.1)</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35.5 (2.9)</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Height, cm</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160.3 (6.3)</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165.5 (6.8)</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Weight, kg</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68.7 (12.3)</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66.5 (13.2)</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BMI, kg/m</w:t>
            </w:r>
            <w:r w:rsidRPr="00182095">
              <w:rPr>
                <w:rFonts w:ascii="Arial" w:eastAsia="Calibri" w:hAnsi="Arial" w:cs="Arial"/>
                <w:color w:val="000000"/>
                <w:sz w:val="16"/>
                <w:szCs w:val="16"/>
                <w:vertAlign w:val="superscript"/>
              </w:rPr>
              <w:t>2</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26.7 (4.5)</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24.3 (4.5)</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Lumbar spine BMD T-score</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-0.94 (1.5)</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0.23 (1.14)</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Total hip BMD T-score</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-0.64 (1.2)</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0.30 (1.02)</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Serum CTX, ng/mL</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0.36 (0.27)</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0.22 (0.14)</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Urine NTX nmol BCE/mmol Cr</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51.1 (39.8)</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41.68 (17.9)</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Serum PINP, ng/mL</w:t>
            </w:r>
          </w:p>
        </w:tc>
        <w:tc>
          <w:tcPr>
            <w:tcW w:w="2504" w:type="dxa"/>
          </w:tcPr>
          <w:p w:rsidR="001F1CA4" w:rsidRPr="00182095" w:rsidRDefault="001F1CA4" w:rsidP="00900F2C">
            <w:pPr>
              <w:tabs>
                <w:tab w:val="center" w:pos="1421"/>
              </w:tabs>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42.5 (22.0)</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35.7 (18.0)</w:t>
            </w:r>
          </w:p>
        </w:tc>
      </w:tr>
      <w:tr w:rsidR="001F1CA4" w:rsidRPr="001F1CA4" w:rsidTr="00441D5B">
        <w:trPr>
          <w:trHeight w:val="313"/>
        </w:trPr>
        <w:tc>
          <w:tcPr>
            <w:tcW w:w="2773" w:type="dxa"/>
          </w:tcPr>
          <w:p w:rsidR="001F1CA4" w:rsidRPr="00F3359B" w:rsidRDefault="001F1CA4" w:rsidP="00900F2C">
            <w:pPr>
              <w:spacing w:line="240" w:lineRule="auto"/>
              <w:rPr>
                <w:rFonts w:ascii="Arial" w:eastAsia="Calibri" w:hAnsi="Arial" w:cs="Arial"/>
                <w:color w:val="000000"/>
                <w:sz w:val="16"/>
                <w:szCs w:val="16"/>
                <w:lang w:val="de-DE"/>
              </w:rPr>
            </w:pPr>
            <w:r w:rsidRPr="00F3359B">
              <w:rPr>
                <w:rFonts w:ascii="Arial" w:eastAsia="Calibri" w:hAnsi="Arial" w:cs="Arial"/>
                <w:color w:val="000000"/>
                <w:sz w:val="16"/>
                <w:szCs w:val="16"/>
                <w:lang w:val="de-DE"/>
              </w:rPr>
              <w:t>Serum bone ALP, ng/mL</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15.1 (6.4)</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10.9 (4.2)</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Serum Osteocalcin ng/mL</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23.4 (14.5)</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19.1 (6.5)</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25 (OH) D nmol/L</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21.4 (10.3)</w:t>
            </w:r>
          </w:p>
        </w:tc>
        <w:tc>
          <w:tcPr>
            <w:tcW w:w="2459" w:type="dxa"/>
          </w:tcPr>
          <w:p w:rsidR="001F1CA4" w:rsidRPr="00182095" w:rsidDel="00D35DCF"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24.4 (12.1)</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eGFR mL/minute/1.73m</w:t>
            </w:r>
            <w:r w:rsidRPr="00182095">
              <w:rPr>
                <w:rFonts w:ascii="Arial" w:eastAsia="Calibri" w:hAnsi="Arial" w:cs="Arial"/>
                <w:color w:val="000000"/>
                <w:sz w:val="16"/>
                <w:szCs w:val="16"/>
                <w:vertAlign w:val="superscript"/>
              </w:rPr>
              <w:t>2</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57.5 (13.4)</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68.1 (12.1)</w:t>
            </w:r>
          </w:p>
        </w:tc>
      </w:tr>
      <w:tr w:rsidR="001F1CA4" w:rsidRPr="001F1CA4" w:rsidTr="00441D5B">
        <w:trPr>
          <w:trHeight w:val="313"/>
        </w:trPr>
        <w:tc>
          <w:tcPr>
            <w:tcW w:w="2773"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Serum calcium</w:t>
            </w:r>
          </w:p>
        </w:tc>
        <w:tc>
          <w:tcPr>
            <w:tcW w:w="2504"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2.39 (0.15)</w:t>
            </w:r>
          </w:p>
        </w:tc>
        <w:tc>
          <w:tcPr>
            <w:tcW w:w="2459" w:type="dxa"/>
          </w:tcPr>
          <w:p w:rsidR="001F1CA4" w:rsidRPr="00182095" w:rsidRDefault="001F1CA4" w:rsidP="00900F2C">
            <w:pPr>
              <w:spacing w:line="240" w:lineRule="auto"/>
              <w:rPr>
                <w:rFonts w:ascii="Arial" w:eastAsia="Calibri" w:hAnsi="Arial" w:cs="Arial"/>
                <w:color w:val="000000"/>
                <w:sz w:val="16"/>
                <w:szCs w:val="16"/>
              </w:rPr>
            </w:pPr>
            <w:r w:rsidRPr="00182095">
              <w:rPr>
                <w:rFonts w:ascii="Arial" w:eastAsia="Calibri" w:hAnsi="Arial" w:cs="Arial"/>
                <w:color w:val="000000"/>
                <w:sz w:val="16"/>
                <w:szCs w:val="16"/>
              </w:rPr>
              <w:t>2.37 (0.13)</w:t>
            </w:r>
          </w:p>
        </w:tc>
      </w:tr>
    </w:tbl>
    <w:p w:rsidR="001F1CA4" w:rsidRPr="001F1CA4" w:rsidRDefault="00E915C9" w:rsidP="00900F2C">
      <w:pPr>
        <w:spacing w:line="240" w:lineRule="auto"/>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N = Number of subjects. </w:t>
      </w:r>
      <w:r w:rsidR="001F1CA4" w:rsidRPr="001F1CA4">
        <w:rPr>
          <w:rFonts w:ascii="Times New Roman" w:eastAsia="Calibri" w:hAnsi="Times New Roman" w:cs="Times New Roman"/>
          <w:color w:val="000000"/>
          <w:sz w:val="20"/>
          <w:szCs w:val="20"/>
        </w:rPr>
        <w:t>Values are Mean (SD)</w:t>
      </w:r>
    </w:p>
    <w:p w:rsidR="00182095" w:rsidRDefault="00182095" w:rsidP="005354D9">
      <w:pPr>
        <w:pStyle w:val="Heading3"/>
        <w:jc w:val="both"/>
        <w:rPr>
          <w:lang w:val="en-US"/>
        </w:rPr>
      </w:pPr>
      <w:bookmarkStart w:id="123" w:name="_Toc425418920"/>
      <w:r w:rsidRPr="00C37352">
        <w:rPr>
          <w:lang w:val="en-US"/>
        </w:rPr>
        <w:lastRenderedPageBreak/>
        <w:t>Effects of diseases and treatments on bone turnover markers</w:t>
      </w:r>
      <w:bookmarkEnd w:id="123"/>
    </w:p>
    <w:p w:rsidR="00182095" w:rsidRPr="00182095" w:rsidRDefault="00182095" w:rsidP="005354D9">
      <w:pPr>
        <w:spacing w:line="360" w:lineRule="auto"/>
        <w:jc w:val="both"/>
        <w:rPr>
          <w:rFonts w:ascii="Arial" w:hAnsi="Arial" w:cs="Arial"/>
          <w:lang w:val="en-US"/>
        </w:rPr>
      </w:pPr>
      <w:r w:rsidRPr="00182095">
        <w:rPr>
          <w:rFonts w:ascii="Arial" w:hAnsi="Arial" w:cs="Arial"/>
          <w:lang w:val="en-US"/>
        </w:rPr>
        <w:t xml:space="preserve">Multiple linear regression analysis was performed to assess the disease and treatments thought to influence bone turnover levels in older women, </w:t>
      </w:r>
      <w:r w:rsidR="00CE0FB3">
        <w:rPr>
          <w:rFonts w:ascii="Arial" w:hAnsi="Arial" w:cs="Arial"/>
          <w:lang w:val="en-US"/>
        </w:rPr>
        <w:t xml:space="preserve">(Table </w:t>
      </w:r>
      <w:r w:rsidR="003E5B26">
        <w:rPr>
          <w:rFonts w:ascii="Arial" w:hAnsi="Arial" w:cs="Arial"/>
          <w:lang w:val="en-US"/>
        </w:rPr>
        <w:t>1</w:t>
      </w:r>
      <w:r w:rsidR="00FE5129">
        <w:rPr>
          <w:rFonts w:ascii="Arial" w:hAnsi="Arial" w:cs="Arial"/>
          <w:lang w:val="en-US"/>
        </w:rPr>
        <w:t>3</w:t>
      </w:r>
      <w:r w:rsidR="00CE0FB3">
        <w:rPr>
          <w:rFonts w:ascii="Arial" w:hAnsi="Arial" w:cs="Arial"/>
          <w:lang w:val="en-US"/>
        </w:rPr>
        <w:t>).</w:t>
      </w:r>
      <w:r w:rsidRPr="00182095">
        <w:rPr>
          <w:rFonts w:ascii="Arial" w:hAnsi="Arial" w:cs="Arial"/>
          <w:lang w:val="en-US"/>
        </w:rPr>
        <w:t xml:space="preserve"> Levels of CTX, PINP and bone ALP were significantly higher by 7% to 10% (p&lt;0.05) in subjects who were vitamin D deficient compared to those who had normal levels. Levels of </w:t>
      </w:r>
      <w:r w:rsidR="00252A73">
        <w:rPr>
          <w:rFonts w:ascii="Arial" w:hAnsi="Arial" w:cs="Arial"/>
          <w:lang w:val="en-US"/>
        </w:rPr>
        <w:t xml:space="preserve">urinary </w:t>
      </w:r>
      <w:r w:rsidRPr="00182095">
        <w:rPr>
          <w:rFonts w:ascii="Arial" w:hAnsi="Arial" w:cs="Arial"/>
          <w:lang w:val="en-US"/>
        </w:rPr>
        <w:t xml:space="preserve">NTX were significantly lower by 22% (p&lt;0.05) and </w:t>
      </w:r>
      <w:r w:rsidR="00252A73">
        <w:rPr>
          <w:rFonts w:ascii="Arial" w:hAnsi="Arial" w:cs="Arial"/>
          <w:lang w:val="en-US"/>
        </w:rPr>
        <w:t xml:space="preserve">serum </w:t>
      </w:r>
      <w:r w:rsidRPr="00182095">
        <w:rPr>
          <w:rFonts w:ascii="Arial" w:hAnsi="Arial" w:cs="Arial"/>
          <w:lang w:val="en-US"/>
        </w:rPr>
        <w:t xml:space="preserve">osteocalcin higher by 28% (p&lt;0.01) in subjects who were stage 4 or 5 CKD compared to those with a normal eGFR. All of the bone turnover markers were significantly higher in subjects who were osteoporotic at the spine by 11 to 27% (p&lt;0.001) compared to those with a normal BMD T-score. All of the bone turnover markers were significantly lower by 20 to 35% (p&lt;0.0001) in patients who were taking antiresorptive treatments or who were estrogen replete compared to those who were not.  Levels of CTX, NTX and bone ALP were significantly higher by 5 to 7% (p&lt;0.05) in subjects who had a history of an adverse condition </w:t>
      </w:r>
      <w:r w:rsidR="00252A73">
        <w:rPr>
          <w:rFonts w:ascii="Arial" w:hAnsi="Arial" w:cs="Arial"/>
          <w:lang w:val="en-US"/>
        </w:rPr>
        <w:t xml:space="preserve">(such as hyperthyroidism) </w:t>
      </w:r>
      <w:r w:rsidRPr="00182095">
        <w:rPr>
          <w:rFonts w:ascii="Arial" w:hAnsi="Arial" w:cs="Arial"/>
          <w:lang w:val="en-US"/>
        </w:rPr>
        <w:t xml:space="preserve">compared to those who did not. </w:t>
      </w:r>
    </w:p>
    <w:p w:rsidR="00182095" w:rsidRDefault="00182095" w:rsidP="005354D9">
      <w:pPr>
        <w:spacing w:line="360" w:lineRule="auto"/>
        <w:jc w:val="both"/>
        <w:rPr>
          <w:rFonts w:ascii="Arial" w:hAnsi="Arial" w:cs="Arial"/>
          <w:lang w:val="en-US"/>
        </w:rPr>
      </w:pPr>
      <w:r w:rsidRPr="00182095">
        <w:rPr>
          <w:rFonts w:ascii="Arial" w:hAnsi="Arial" w:cs="Arial"/>
          <w:lang w:val="en-US"/>
        </w:rPr>
        <w:t>Overall at least two BTMs were affected by each of the diseases or treatments that we investigated. Hence, it was therefore valid to use these as exclusion criteria for identifying a healthy set of subjects from whom we can determine BTM reference intervals for postmenopausal and premenopausal women.</w:t>
      </w:r>
    </w:p>
    <w:p w:rsidR="003A6DB1" w:rsidRDefault="000E26BC" w:rsidP="005354D9">
      <w:pPr>
        <w:pStyle w:val="Caption"/>
        <w:keepNext/>
        <w:jc w:val="both"/>
        <w:rPr>
          <w:rFonts w:ascii="Arial" w:hAnsi="Arial" w:cs="Arial"/>
          <w:b w:val="0"/>
          <w:color w:val="auto"/>
        </w:rPr>
      </w:pPr>
      <w:bookmarkStart w:id="124" w:name="_Toc424043687"/>
      <w:r w:rsidRPr="000E26BC">
        <w:rPr>
          <w:rFonts w:ascii="Arial" w:hAnsi="Arial" w:cs="Arial"/>
          <w:b w:val="0"/>
          <w:color w:val="auto"/>
        </w:rPr>
        <w:t xml:space="preserve">Table </w:t>
      </w:r>
      <w:r w:rsidRPr="000E26BC">
        <w:rPr>
          <w:rFonts w:ascii="Arial" w:hAnsi="Arial" w:cs="Arial"/>
          <w:b w:val="0"/>
          <w:color w:val="auto"/>
        </w:rPr>
        <w:fldChar w:fldCharType="begin"/>
      </w:r>
      <w:r w:rsidRPr="000E26BC">
        <w:rPr>
          <w:rFonts w:ascii="Arial" w:hAnsi="Arial" w:cs="Arial"/>
          <w:b w:val="0"/>
          <w:color w:val="auto"/>
        </w:rPr>
        <w:instrText xml:space="preserve"> SEQ Table \* ARABIC </w:instrText>
      </w:r>
      <w:r w:rsidRPr="000E26BC">
        <w:rPr>
          <w:rFonts w:ascii="Arial" w:hAnsi="Arial" w:cs="Arial"/>
          <w:b w:val="0"/>
          <w:color w:val="auto"/>
        </w:rPr>
        <w:fldChar w:fldCharType="separate"/>
      </w:r>
      <w:r w:rsidR="00DD116A">
        <w:rPr>
          <w:rFonts w:ascii="Arial" w:hAnsi="Arial" w:cs="Arial"/>
          <w:b w:val="0"/>
          <w:noProof/>
          <w:color w:val="auto"/>
        </w:rPr>
        <w:t>13</w:t>
      </w:r>
      <w:r w:rsidRPr="000E26BC">
        <w:rPr>
          <w:rFonts w:ascii="Arial" w:hAnsi="Arial" w:cs="Arial"/>
          <w:b w:val="0"/>
          <w:color w:val="auto"/>
        </w:rPr>
        <w:fldChar w:fldCharType="end"/>
      </w:r>
      <w:r w:rsidRPr="000E26BC">
        <w:rPr>
          <w:rFonts w:ascii="Arial" w:hAnsi="Arial" w:cs="Arial"/>
          <w:b w:val="0"/>
          <w:color w:val="auto"/>
        </w:rPr>
        <w:t xml:space="preserve">: Percentage differences (95% confidence intervals) in the geometric means of BTMs from multiple linear </w:t>
      </w:r>
      <w:r w:rsidR="003A6DB1" w:rsidRPr="000E26BC">
        <w:rPr>
          <w:rFonts w:ascii="Arial" w:hAnsi="Arial" w:cs="Arial"/>
          <w:b w:val="0"/>
          <w:color w:val="auto"/>
        </w:rPr>
        <w:t>regression coefficients: the effects of diseases and treatments on BTMs in all of the older women (55 to 79 years) (n = 2419).</w:t>
      </w:r>
      <w:bookmarkEnd w:id="124"/>
    </w:p>
    <w:p w:rsidR="003A6DB1" w:rsidRDefault="00E470D9" w:rsidP="00900F2C">
      <w:pPr>
        <w:pStyle w:val="Caption"/>
        <w:keepNext/>
        <w:rPr>
          <w:rFonts w:ascii="Arial" w:hAnsi="Arial" w:cs="Arial"/>
          <w:b w:val="0"/>
          <w:color w:val="auto"/>
        </w:rPr>
      </w:pPr>
      <w:r w:rsidRPr="003A6DB1">
        <w:rPr>
          <w:noProof/>
          <w:sz w:val="22"/>
          <w:szCs w:val="22"/>
          <w:lang w:eastAsia="zh-CN"/>
        </w:rPr>
        <w:drawing>
          <wp:inline distT="0" distB="0" distL="0" distR="0" wp14:anchorId="7E7950D5" wp14:editId="0F1EF165">
            <wp:extent cx="5730915" cy="2749550"/>
            <wp:effectExtent l="0" t="0" r="3175" b="0"/>
            <wp:docPr id="18459" name="Picture 1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7082"/>
                    <a:stretch/>
                  </pic:blipFill>
                  <pic:spPr bwMode="auto">
                    <a:xfrm>
                      <a:off x="0" y="0"/>
                      <a:ext cx="5731510" cy="2749835"/>
                    </a:xfrm>
                    <a:prstGeom prst="rect">
                      <a:avLst/>
                    </a:prstGeom>
                    <a:noFill/>
                    <a:ln>
                      <a:noFill/>
                    </a:ln>
                    <a:extLst>
                      <a:ext uri="{53640926-AAD7-44D8-BBD7-CCE9431645EC}">
                        <a14:shadowObscured xmlns:a14="http://schemas.microsoft.com/office/drawing/2010/main"/>
                      </a:ext>
                    </a:extLst>
                  </pic:spPr>
                </pic:pic>
              </a:graphicData>
            </a:graphic>
          </wp:inline>
        </w:drawing>
      </w:r>
    </w:p>
    <w:p w:rsidR="004A30AF" w:rsidRPr="004A30AF" w:rsidRDefault="004A30AF" w:rsidP="00900F2C"/>
    <w:p w:rsidR="00182095" w:rsidRDefault="00182095" w:rsidP="005354D9">
      <w:pPr>
        <w:pStyle w:val="Heading3"/>
        <w:tabs>
          <w:tab w:val="center" w:pos="4252"/>
        </w:tabs>
        <w:jc w:val="both"/>
        <w:rPr>
          <w:lang w:val="en-US"/>
        </w:rPr>
      </w:pPr>
      <w:bookmarkStart w:id="125" w:name="_Toc425418921"/>
      <w:r>
        <w:rPr>
          <w:lang w:val="en-US"/>
        </w:rPr>
        <w:t>Healthy reference intervals</w:t>
      </w:r>
      <w:bookmarkEnd w:id="125"/>
      <w:r w:rsidR="005354D9">
        <w:rPr>
          <w:lang w:val="en-US"/>
        </w:rPr>
        <w:tab/>
      </w:r>
    </w:p>
    <w:p w:rsidR="00277ED6" w:rsidRDefault="00182095" w:rsidP="005354D9">
      <w:pPr>
        <w:spacing w:line="360" w:lineRule="auto"/>
        <w:jc w:val="both"/>
        <w:rPr>
          <w:rFonts w:ascii="Arial" w:hAnsi="Arial" w:cs="Arial"/>
          <w:lang w:val="en-US"/>
        </w:rPr>
      </w:pPr>
      <w:r w:rsidRPr="00182095">
        <w:rPr>
          <w:rFonts w:ascii="Arial" w:hAnsi="Arial" w:cs="Arial"/>
          <w:lang w:val="en-US"/>
        </w:rPr>
        <w:t xml:space="preserve">There were 343 healthy postmenopausal women who had a BMD T-score &gt; -2.5 at the lumbar spine and/or total hip, a 25 (OH) D &gt; 30nmol/L, an eGFR &gt; 30 mL/minute/1.73m2, did not have a history of any adverse conditions that influence bone, did not take antiresorptive treatments within a year of starting the study and were not estrogen </w:t>
      </w:r>
      <w:r w:rsidRPr="00182095">
        <w:rPr>
          <w:rFonts w:ascii="Arial" w:hAnsi="Arial" w:cs="Arial"/>
          <w:lang w:val="en-US"/>
        </w:rPr>
        <w:lastRenderedPageBreak/>
        <w:t>replete. These were used to calculate the 95% ref</w:t>
      </w:r>
      <w:r w:rsidR="00355432">
        <w:rPr>
          <w:rFonts w:ascii="Arial" w:hAnsi="Arial" w:cs="Arial"/>
          <w:lang w:val="en-US"/>
        </w:rPr>
        <w:t>erence i</w:t>
      </w:r>
      <w:r w:rsidR="003A6DB1">
        <w:rPr>
          <w:rFonts w:ascii="Arial" w:hAnsi="Arial" w:cs="Arial"/>
          <w:lang w:val="en-US"/>
        </w:rPr>
        <w:t>nterval</w:t>
      </w:r>
      <w:r w:rsidR="005354D9">
        <w:rPr>
          <w:rFonts w:ascii="Arial" w:hAnsi="Arial" w:cs="Arial"/>
          <w:lang w:val="en-US"/>
        </w:rPr>
        <w:t>s for each BTM, (Table 14</w:t>
      </w:r>
      <w:r w:rsidR="00355432">
        <w:rPr>
          <w:rFonts w:ascii="Arial" w:hAnsi="Arial" w:cs="Arial"/>
          <w:lang w:val="en-US"/>
        </w:rPr>
        <w:t>)</w:t>
      </w:r>
      <w:r w:rsidRPr="00182095">
        <w:rPr>
          <w:rFonts w:ascii="Arial" w:hAnsi="Arial" w:cs="Arial"/>
          <w:lang w:val="en-US"/>
        </w:rPr>
        <w:t>. The same inclusion criteria were applied to the younger women and 158 women were used to calculate the healthy premenopa</w:t>
      </w:r>
      <w:r w:rsidR="00355432">
        <w:rPr>
          <w:rFonts w:ascii="Arial" w:hAnsi="Arial" w:cs="Arial"/>
          <w:lang w:val="en-US"/>
        </w:rPr>
        <w:t>us</w:t>
      </w:r>
      <w:r w:rsidR="00FE5129">
        <w:rPr>
          <w:rFonts w:ascii="Arial" w:hAnsi="Arial" w:cs="Arial"/>
          <w:lang w:val="en-US"/>
        </w:rPr>
        <w:t>al reference interval, (Table 14</w:t>
      </w:r>
      <w:r w:rsidR="00355432">
        <w:rPr>
          <w:rFonts w:ascii="Arial" w:hAnsi="Arial" w:cs="Arial"/>
          <w:lang w:val="en-US"/>
        </w:rPr>
        <w:t>). Mean levels for postmenopausal women</w:t>
      </w:r>
      <w:r w:rsidRPr="00182095">
        <w:rPr>
          <w:rFonts w:ascii="Arial" w:hAnsi="Arial" w:cs="Arial"/>
          <w:lang w:val="en-US"/>
        </w:rPr>
        <w:t xml:space="preserve"> were significantly higher than those for premenopausal women for all BTMs, p&lt;0.001 independent sample t-test (non-parametric Mann-Whitney U-test for PINP)</w:t>
      </w:r>
      <w:r w:rsidR="00FE5129">
        <w:rPr>
          <w:rFonts w:ascii="Arial" w:hAnsi="Arial" w:cs="Arial"/>
          <w:lang w:val="en-US"/>
        </w:rPr>
        <w:t>, (Figure 32</w:t>
      </w:r>
      <w:r w:rsidR="00355432">
        <w:rPr>
          <w:rFonts w:ascii="Arial" w:hAnsi="Arial" w:cs="Arial"/>
          <w:lang w:val="en-US"/>
        </w:rPr>
        <w:t>)</w:t>
      </w:r>
      <w:r w:rsidR="00447FA6">
        <w:rPr>
          <w:rFonts w:ascii="Arial" w:hAnsi="Arial" w:cs="Arial"/>
          <w:lang w:val="en-US"/>
        </w:rPr>
        <w:t>.</w:t>
      </w:r>
    </w:p>
    <w:p w:rsidR="000E26BC" w:rsidRPr="000E26BC" w:rsidRDefault="000E26BC" w:rsidP="005354D9">
      <w:pPr>
        <w:pStyle w:val="Caption"/>
        <w:keepNext/>
        <w:jc w:val="both"/>
        <w:rPr>
          <w:rFonts w:ascii="Arial" w:hAnsi="Arial" w:cs="Arial"/>
          <w:b w:val="0"/>
          <w:color w:val="auto"/>
        </w:rPr>
      </w:pPr>
      <w:bookmarkStart w:id="126" w:name="_Toc424043688"/>
      <w:r w:rsidRPr="000E26BC">
        <w:rPr>
          <w:rFonts w:ascii="Arial" w:hAnsi="Arial" w:cs="Arial"/>
          <w:b w:val="0"/>
          <w:color w:val="auto"/>
        </w:rPr>
        <w:t xml:space="preserve">Table </w:t>
      </w:r>
      <w:r w:rsidRPr="000E26BC">
        <w:rPr>
          <w:rFonts w:ascii="Arial" w:hAnsi="Arial" w:cs="Arial"/>
          <w:b w:val="0"/>
          <w:color w:val="auto"/>
        </w:rPr>
        <w:fldChar w:fldCharType="begin"/>
      </w:r>
      <w:r w:rsidRPr="000E26BC">
        <w:rPr>
          <w:rFonts w:ascii="Arial" w:hAnsi="Arial" w:cs="Arial"/>
          <w:b w:val="0"/>
          <w:color w:val="auto"/>
        </w:rPr>
        <w:instrText xml:space="preserve"> SEQ Table \* ARABIC </w:instrText>
      </w:r>
      <w:r w:rsidRPr="000E26BC">
        <w:rPr>
          <w:rFonts w:ascii="Arial" w:hAnsi="Arial" w:cs="Arial"/>
          <w:b w:val="0"/>
          <w:color w:val="auto"/>
        </w:rPr>
        <w:fldChar w:fldCharType="separate"/>
      </w:r>
      <w:r w:rsidR="00DD116A">
        <w:rPr>
          <w:rFonts w:ascii="Arial" w:hAnsi="Arial" w:cs="Arial"/>
          <w:b w:val="0"/>
          <w:noProof/>
          <w:color w:val="auto"/>
        </w:rPr>
        <w:t>14</w:t>
      </w:r>
      <w:r w:rsidRPr="000E26BC">
        <w:rPr>
          <w:rFonts w:ascii="Arial" w:hAnsi="Arial" w:cs="Arial"/>
          <w:b w:val="0"/>
          <w:color w:val="auto"/>
        </w:rPr>
        <w:fldChar w:fldCharType="end"/>
      </w:r>
      <w:r w:rsidRPr="000E26BC">
        <w:rPr>
          <w:rFonts w:ascii="Arial" w:hAnsi="Arial" w:cs="Arial"/>
          <w:b w:val="0"/>
          <w:color w:val="auto"/>
        </w:rPr>
        <w:t>: Geometric mean (95% confidence intervals) for the lower and upper limits of the reference intervals for BTMs for healthy postmenopausal women (n = 343). Numbers in square brackets are anti-logs giving the BTM geometric mean.</w:t>
      </w:r>
      <w:bookmarkEnd w:id="126"/>
    </w:p>
    <w:p w:rsidR="000E26BC" w:rsidRDefault="000E26BC" w:rsidP="00900F2C">
      <w:pPr>
        <w:spacing w:line="360" w:lineRule="auto"/>
        <w:rPr>
          <w:rFonts w:ascii="Arial" w:hAnsi="Arial" w:cs="Arial"/>
          <w:lang w:val="en-US"/>
        </w:rPr>
      </w:pPr>
      <w:r w:rsidRPr="000E26BC">
        <w:rPr>
          <w:noProof/>
          <w:lang w:eastAsia="zh-CN"/>
        </w:rPr>
        <w:drawing>
          <wp:inline distT="0" distB="0" distL="0" distR="0" wp14:anchorId="311F6677" wp14:editId="1CAAB49B">
            <wp:extent cx="5591175" cy="2093381"/>
            <wp:effectExtent l="0" t="0" r="0" b="0"/>
            <wp:docPr id="18460" name="Picture 1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b="9625"/>
                    <a:stretch/>
                  </pic:blipFill>
                  <pic:spPr bwMode="auto">
                    <a:xfrm>
                      <a:off x="0" y="0"/>
                      <a:ext cx="5598318" cy="2096056"/>
                    </a:xfrm>
                    <a:prstGeom prst="rect">
                      <a:avLst/>
                    </a:prstGeom>
                    <a:noFill/>
                    <a:ln>
                      <a:noFill/>
                    </a:ln>
                    <a:extLst>
                      <a:ext uri="{53640926-AAD7-44D8-BBD7-CCE9431645EC}">
                        <a14:shadowObscured xmlns:a14="http://schemas.microsoft.com/office/drawing/2010/main"/>
                      </a:ext>
                    </a:extLst>
                  </pic:spPr>
                </pic:pic>
              </a:graphicData>
            </a:graphic>
          </wp:inline>
        </w:drawing>
      </w:r>
    </w:p>
    <w:p w:rsidR="00453BE3" w:rsidRPr="00453BE3" w:rsidRDefault="00453BE3" w:rsidP="005354D9">
      <w:pPr>
        <w:pStyle w:val="Caption"/>
        <w:keepNext/>
        <w:jc w:val="both"/>
        <w:rPr>
          <w:rFonts w:ascii="Arial" w:hAnsi="Arial" w:cs="Arial"/>
          <w:b w:val="0"/>
          <w:color w:val="auto"/>
        </w:rPr>
      </w:pPr>
      <w:bookmarkStart w:id="127" w:name="_Toc424043689"/>
      <w:r w:rsidRPr="00453BE3">
        <w:rPr>
          <w:rFonts w:ascii="Arial" w:hAnsi="Arial" w:cs="Arial"/>
          <w:b w:val="0"/>
          <w:color w:val="auto"/>
        </w:rPr>
        <w:t xml:space="preserve">Table </w:t>
      </w:r>
      <w:r w:rsidRPr="00453BE3">
        <w:rPr>
          <w:rFonts w:ascii="Arial" w:hAnsi="Arial" w:cs="Arial"/>
          <w:b w:val="0"/>
          <w:color w:val="auto"/>
        </w:rPr>
        <w:fldChar w:fldCharType="begin"/>
      </w:r>
      <w:r w:rsidRPr="00453BE3">
        <w:rPr>
          <w:rFonts w:ascii="Arial" w:hAnsi="Arial" w:cs="Arial"/>
          <w:b w:val="0"/>
          <w:color w:val="auto"/>
        </w:rPr>
        <w:instrText xml:space="preserve"> SEQ Table \* ARABIC </w:instrText>
      </w:r>
      <w:r w:rsidRPr="00453BE3">
        <w:rPr>
          <w:rFonts w:ascii="Arial" w:hAnsi="Arial" w:cs="Arial"/>
          <w:b w:val="0"/>
          <w:color w:val="auto"/>
        </w:rPr>
        <w:fldChar w:fldCharType="separate"/>
      </w:r>
      <w:r w:rsidR="00DD116A">
        <w:rPr>
          <w:rFonts w:ascii="Arial" w:hAnsi="Arial" w:cs="Arial"/>
          <w:b w:val="0"/>
          <w:noProof/>
          <w:color w:val="auto"/>
        </w:rPr>
        <w:t>15</w:t>
      </w:r>
      <w:r w:rsidRPr="00453BE3">
        <w:rPr>
          <w:rFonts w:ascii="Arial" w:hAnsi="Arial" w:cs="Arial"/>
          <w:b w:val="0"/>
          <w:color w:val="auto"/>
        </w:rPr>
        <w:fldChar w:fldCharType="end"/>
      </w:r>
      <w:r w:rsidRPr="00453BE3">
        <w:rPr>
          <w:rFonts w:ascii="Arial" w:hAnsi="Arial" w:cs="Arial"/>
          <w:b w:val="0"/>
          <w:color w:val="auto"/>
        </w:rPr>
        <w:t>: Geometric mean (95% confidence intervals) for the lower and upper limits of the reference intervals for BTMs for healthy premenopausal women (n = 158). ). Numbers in square brackets are anti-logs giving the BTM geometric mean.</w:t>
      </w:r>
      <w:bookmarkEnd w:id="127"/>
    </w:p>
    <w:p w:rsidR="00453BE3" w:rsidRDefault="00453BE3" w:rsidP="00900F2C">
      <w:pPr>
        <w:spacing w:line="360" w:lineRule="auto"/>
        <w:rPr>
          <w:rFonts w:ascii="Arial" w:hAnsi="Arial" w:cs="Arial"/>
          <w:lang w:val="en-US"/>
        </w:rPr>
      </w:pPr>
      <w:r w:rsidRPr="00453BE3">
        <w:rPr>
          <w:noProof/>
          <w:lang w:eastAsia="zh-CN"/>
        </w:rPr>
        <w:drawing>
          <wp:inline distT="0" distB="0" distL="0" distR="0" wp14:anchorId="5BDF5BD3" wp14:editId="22D28C5D">
            <wp:extent cx="5657850" cy="2112077"/>
            <wp:effectExtent l="0" t="0" r="0" b="0"/>
            <wp:docPr id="18461" name="Picture 1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9893"/>
                    <a:stretch/>
                  </pic:blipFill>
                  <pic:spPr bwMode="auto">
                    <a:xfrm>
                      <a:off x="0" y="0"/>
                      <a:ext cx="5662964" cy="2113986"/>
                    </a:xfrm>
                    <a:prstGeom prst="rect">
                      <a:avLst/>
                    </a:prstGeom>
                    <a:noFill/>
                    <a:ln>
                      <a:noFill/>
                    </a:ln>
                    <a:extLst>
                      <a:ext uri="{53640926-AAD7-44D8-BBD7-CCE9431645EC}">
                        <a14:shadowObscured xmlns:a14="http://schemas.microsoft.com/office/drawing/2010/main"/>
                      </a:ext>
                    </a:extLst>
                  </pic:spPr>
                </pic:pic>
              </a:graphicData>
            </a:graphic>
          </wp:inline>
        </w:drawing>
      </w:r>
    </w:p>
    <w:p w:rsidR="00277ED6" w:rsidRDefault="00A777D7" w:rsidP="00900F2C">
      <w:pPr>
        <w:keepNext/>
        <w:spacing w:line="360" w:lineRule="auto"/>
      </w:pPr>
      <w:r w:rsidRPr="00277ED6">
        <w:rPr>
          <w:rFonts w:ascii="Arial" w:hAnsi="Arial" w:cs="Arial"/>
          <w:noProof/>
          <w:lang w:eastAsia="zh-CN"/>
        </w:rPr>
        <w:lastRenderedPageBreak/>
        <mc:AlternateContent>
          <mc:Choice Requires="wps">
            <w:drawing>
              <wp:anchor distT="0" distB="0" distL="114300" distR="114300" simplePos="0" relativeHeight="250981888" behindDoc="0" locked="0" layoutInCell="1" allowOverlap="1" wp14:anchorId="025F960B" wp14:editId="280BD7B3">
                <wp:simplePos x="0" y="0"/>
                <wp:positionH relativeFrom="column">
                  <wp:posOffset>-206375</wp:posOffset>
                </wp:positionH>
                <wp:positionV relativeFrom="paragraph">
                  <wp:posOffset>535305</wp:posOffset>
                </wp:positionV>
                <wp:extent cx="355600" cy="527050"/>
                <wp:effectExtent l="0" t="0" r="0" b="6350"/>
                <wp:wrapNone/>
                <wp:docPr id="18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527050"/>
                        </a:xfrm>
                        <a:prstGeom prst="rect">
                          <a:avLst/>
                        </a:prstGeom>
                        <a:noFill/>
                        <a:ln w="9525">
                          <a:noFill/>
                          <a:miter lim="800000"/>
                          <a:headEnd/>
                          <a:tailEnd/>
                        </a:ln>
                      </wps:spPr>
                      <wps:txbx>
                        <w:txbxContent>
                          <w:p w:rsidR="004166BC" w:rsidRPr="00277ED6" w:rsidRDefault="004166BC">
                            <w:pPr>
                              <w:rPr>
                                <w:sz w:val="16"/>
                                <w:szCs w:val="16"/>
                              </w:rPr>
                            </w:pPr>
                            <w:r w:rsidRPr="00277ED6">
                              <w:rPr>
                                <w:sz w:val="16"/>
                                <w:szCs w:val="16"/>
                              </w:rPr>
                              <w:t>CTX ng/ml</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F960B" id="_x0000_s1137" type="#_x0000_t202" style="position:absolute;margin-left:-16.25pt;margin-top:42.15pt;width:28pt;height:41.5pt;z-index:2509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" filled="f" stroked="f">
                <v:textbox style="layout-flow:vertical;mso-layout-flow-alt:bottom-to-top">
                  <w:txbxContent>
                    <w:p w:rsidR="004166BC" w:rsidRPr="00277ED6" w:rsidRDefault="004166BC">
                      <w:pPr>
                        <w:rPr>
                          <w:sz w:val="16"/>
                          <w:szCs w:val="16"/>
                        </w:rPr>
                      </w:pPr>
                      <w:r w:rsidRPr="00277ED6">
                        <w:rPr>
                          <w:sz w:val="16"/>
                          <w:szCs w:val="16"/>
                        </w:rPr>
                        <w:t>CTX ng/ml</w:t>
                      </w:r>
                    </w:p>
                  </w:txbxContent>
                </v:textbox>
              </v:shape>
            </w:pict>
          </mc:Fallback>
        </mc:AlternateContent>
      </w:r>
      <w:r w:rsidRPr="00277ED6">
        <w:rPr>
          <w:rFonts w:ascii="Arial" w:hAnsi="Arial" w:cs="Arial"/>
          <w:noProof/>
          <w:lang w:eastAsia="zh-CN"/>
        </w:rPr>
        <mc:AlternateContent>
          <mc:Choice Requires="wps">
            <w:drawing>
              <wp:anchor distT="0" distB="0" distL="114300" distR="114300" simplePos="0" relativeHeight="251203072" behindDoc="0" locked="0" layoutInCell="1" allowOverlap="1" wp14:anchorId="695EAE3E" wp14:editId="704F648D">
                <wp:simplePos x="0" y="0"/>
                <wp:positionH relativeFrom="column">
                  <wp:posOffset>-209550</wp:posOffset>
                </wp:positionH>
                <wp:positionV relativeFrom="paragraph">
                  <wp:posOffset>1862455</wp:posOffset>
                </wp:positionV>
                <wp:extent cx="355600" cy="717550"/>
                <wp:effectExtent l="0" t="0" r="0" b="6350"/>
                <wp:wrapNone/>
                <wp:docPr id="18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71755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PINP</w:t>
                            </w:r>
                            <w:r w:rsidRPr="00277ED6">
                              <w:rPr>
                                <w:sz w:val="16"/>
                                <w:szCs w:val="16"/>
                              </w:rPr>
                              <w:t xml:space="preserve"> ng/ml</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EAE3E" id="_x0000_s1138" type="#_x0000_t202" style="position:absolute;margin-left:-16.5pt;margin-top:146.65pt;width:28pt;height:56.5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" filled="f" stroked="f">
                <v:textbox style="layout-flow:vertical;mso-layout-flow-alt:bottom-to-top">
                  <w:txbxContent>
                    <w:p w:rsidR="004166BC" w:rsidRPr="00277ED6" w:rsidRDefault="004166BC" w:rsidP="00EF75B2">
                      <w:pPr>
                        <w:rPr>
                          <w:sz w:val="16"/>
                          <w:szCs w:val="16"/>
                        </w:rPr>
                      </w:pPr>
                      <w:r>
                        <w:rPr>
                          <w:sz w:val="16"/>
                          <w:szCs w:val="16"/>
                        </w:rPr>
                        <w:t>PINP</w:t>
                      </w:r>
                      <w:r w:rsidRPr="00277ED6">
                        <w:rPr>
                          <w:sz w:val="16"/>
                          <w:szCs w:val="16"/>
                        </w:rPr>
                        <w:t xml:space="preserve"> ng/ml</w:t>
                      </w:r>
                    </w:p>
                  </w:txbxContent>
                </v:textbox>
              </v:shape>
            </w:pict>
          </mc:Fallback>
        </mc:AlternateContent>
      </w:r>
      <w:r w:rsidRPr="00277ED6">
        <w:rPr>
          <w:rFonts w:ascii="Arial" w:hAnsi="Arial" w:cs="Arial"/>
          <w:noProof/>
          <w:lang w:eastAsia="zh-CN"/>
        </w:rPr>
        <mc:AlternateContent>
          <mc:Choice Requires="wps">
            <w:drawing>
              <wp:anchor distT="0" distB="0" distL="114300" distR="114300" simplePos="0" relativeHeight="251374080" behindDoc="0" locked="0" layoutInCell="1" allowOverlap="1" wp14:anchorId="30D161DF" wp14:editId="6BA46A2C">
                <wp:simplePos x="0" y="0"/>
                <wp:positionH relativeFrom="column">
                  <wp:posOffset>-231775</wp:posOffset>
                </wp:positionH>
                <wp:positionV relativeFrom="paragraph">
                  <wp:posOffset>3395980</wp:posOffset>
                </wp:positionV>
                <wp:extent cx="355600" cy="882650"/>
                <wp:effectExtent l="0" t="0" r="0" b="0"/>
                <wp:wrapNone/>
                <wp:docPr id="18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88265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 xml:space="preserve">Osteocalcin </w:t>
                            </w:r>
                            <w:r w:rsidRPr="00277ED6">
                              <w:rPr>
                                <w:sz w:val="16"/>
                                <w:szCs w:val="16"/>
                              </w:rPr>
                              <w:t>ng/ml</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161DF" id="_x0000_s1139" type="#_x0000_t202" style="position:absolute;margin-left:-18.25pt;margin-top:267.4pt;width:28pt;height:69.5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" filled="f" stroked="f">
                <v:textbox style="layout-flow:vertical;mso-layout-flow-alt:bottom-to-top">
                  <w:txbxContent>
                    <w:p w:rsidR="004166BC" w:rsidRPr="00277ED6" w:rsidRDefault="004166BC" w:rsidP="00EF75B2">
                      <w:pPr>
                        <w:rPr>
                          <w:sz w:val="16"/>
                          <w:szCs w:val="16"/>
                        </w:rPr>
                      </w:pPr>
                      <w:r>
                        <w:rPr>
                          <w:sz w:val="16"/>
                          <w:szCs w:val="16"/>
                        </w:rPr>
                        <w:t xml:space="preserve">Osteocalcin </w:t>
                      </w:r>
                      <w:r w:rsidRPr="00277ED6">
                        <w:rPr>
                          <w:sz w:val="16"/>
                          <w:szCs w:val="16"/>
                        </w:rPr>
                        <w:t>ng/ml</w:t>
                      </w:r>
                    </w:p>
                  </w:txbxContent>
                </v:textbox>
              </v:shape>
            </w:pict>
          </mc:Fallback>
        </mc:AlternateContent>
      </w:r>
      <w:r w:rsidRPr="00277ED6">
        <w:rPr>
          <w:rFonts w:ascii="Arial" w:hAnsi="Arial" w:cs="Arial"/>
          <w:noProof/>
          <w:lang w:eastAsia="zh-CN"/>
        </w:rPr>
        <mc:AlternateContent>
          <mc:Choice Requires="wps">
            <w:drawing>
              <wp:anchor distT="0" distB="0" distL="114300" distR="114300" simplePos="0" relativeHeight="251279872" behindDoc="0" locked="0" layoutInCell="1" allowOverlap="1" wp14:anchorId="1D8A02BD" wp14:editId="5297BDBD">
                <wp:simplePos x="0" y="0"/>
                <wp:positionH relativeFrom="column">
                  <wp:posOffset>2581275</wp:posOffset>
                </wp:positionH>
                <wp:positionV relativeFrom="paragraph">
                  <wp:posOffset>1684655</wp:posOffset>
                </wp:positionV>
                <wp:extent cx="285750" cy="901700"/>
                <wp:effectExtent l="0" t="0" r="0" b="0"/>
                <wp:wrapNone/>
                <wp:docPr id="18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9017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 xml:space="preserve">Bone ALP </w:t>
                            </w:r>
                            <w:r w:rsidRPr="00277ED6">
                              <w:rPr>
                                <w:sz w:val="16"/>
                                <w:szCs w:val="16"/>
                              </w:rPr>
                              <w:t>ng/ml</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A02BD" id="_x0000_s1140" type="#_x0000_t202" style="position:absolute;margin-left:203.25pt;margin-top:132.65pt;width:22.5pt;height:71pt;z-index:251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" filled="f" stroked="f">
                <v:textbox style="layout-flow:vertical;mso-layout-flow-alt:bottom-to-top">
                  <w:txbxContent>
                    <w:p w:rsidR="004166BC" w:rsidRPr="00277ED6" w:rsidRDefault="004166BC" w:rsidP="00EF75B2">
                      <w:pPr>
                        <w:rPr>
                          <w:sz w:val="16"/>
                          <w:szCs w:val="16"/>
                        </w:rPr>
                      </w:pPr>
                      <w:r>
                        <w:rPr>
                          <w:sz w:val="16"/>
                          <w:szCs w:val="16"/>
                        </w:rPr>
                        <w:t xml:space="preserve">Bone ALP </w:t>
                      </w:r>
                      <w:r w:rsidRPr="00277ED6">
                        <w:rPr>
                          <w:sz w:val="16"/>
                          <w:szCs w:val="16"/>
                        </w:rPr>
                        <w:t>ng/ml</w:t>
                      </w:r>
                    </w:p>
                  </w:txbxContent>
                </v:textbox>
              </v:shape>
            </w:pict>
          </mc:Fallback>
        </mc:AlternateContent>
      </w:r>
      <w:r w:rsidRPr="00277ED6">
        <w:rPr>
          <w:rFonts w:ascii="Arial" w:hAnsi="Arial" w:cs="Arial"/>
          <w:noProof/>
          <w:lang w:eastAsia="zh-CN"/>
        </w:rPr>
        <mc:AlternateContent>
          <mc:Choice Requires="wps">
            <w:drawing>
              <wp:anchor distT="0" distB="0" distL="114300" distR="114300" simplePos="0" relativeHeight="251074048" behindDoc="0" locked="0" layoutInCell="1" allowOverlap="1" wp14:anchorId="2256D487" wp14:editId="782402DA">
                <wp:simplePos x="0" y="0"/>
                <wp:positionH relativeFrom="column">
                  <wp:posOffset>2571750</wp:posOffset>
                </wp:positionH>
                <wp:positionV relativeFrom="paragraph">
                  <wp:posOffset>62230</wp:posOffset>
                </wp:positionV>
                <wp:extent cx="304800" cy="1231900"/>
                <wp:effectExtent l="0" t="0" r="0" b="6350"/>
                <wp:wrapNone/>
                <wp:docPr id="18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231900"/>
                        </a:xfrm>
                        <a:prstGeom prst="rect">
                          <a:avLst/>
                        </a:prstGeom>
                        <a:noFill/>
                        <a:ln w="9525">
                          <a:noFill/>
                          <a:miter lim="800000"/>
                          <a:headEnd/>
                          <a:tailEnd/>
                        </a:ln>
                      </wps:spPr>
                      <wps:txbx>
                        <w:txbxContent>
                          <w:p w:rsidR="004166BC" w:rsidRPr="00277ED6" w:rsidRDefault="004166BC" w:rsidP="00277ED6">
                            <w:pPr>
                              <w:rPr>
                                <w:sz w:val="16"/>
                                <w:szCs w:val="16"/>
                              </w:rPr>
                            </w:pPr>
                            <w:r>
                              <w:rPr>
                                <w:sz w:val="16"/>
                                <w:szCs w:val="16"/>
                              </w:rPr>
                              <w:t>NTX nmol BCE/mmol Cr</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6D487" id="_x0000_s1141" type="#_x0000_t202" style="position:absolute;margin-left:202.5pt;margin-top:4.9pt;width:24pt;height:97pt;z-index:2510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" filled="f" stroked="f">
                <v:textbox style="layout-flow:vertical;mso-layout-flow-alt:bottom-to-top">
                  <w:txbxContent>
                    <w:p w:rsidR="004166BC" w:rsidRPr="00277ED6" w:rsidRDefault="004166BC" w:rsidP="00277ED6">
                      <w:pPr>
                        <w:rPr>
                          <w:sz w:val="16"/>
                          <w:szCs w:val="16"/>
                        </w:rPr>
                      </w:pPr>
                      <w:r>
                        <w:rPr>
                          <w:sz w:val="16"/>
                          <w:szCs w:val="16"/>
                        </w:rPr>
                        <w:t>NTX nmol BCE/mmol Cr</w:t>
                      </w:r>
                    </w:p>
                  </w:txbxContent>
                </v:textbox>
              </v:shape>
            </w:pict>
          </mc:Fallback>
        </mc:AlternateContent>
      </w:r>
      <w:r w:rsidR="00EF75B2" w:rsidRPr="00EF75B2">
        <w:rPr>
          <w:rFonts w:ascii="Arial" w:hAnsi="Arial" w:cs="Arial"/>
          <w:noProof/>
          <w:lang w:eastAsia="zh-CN"/>
        </w:rPr>
        <mc:AlternateContent>
          <mc:Choice Requires="wps">
            <w:drawing>
              <wp:anchor distT="0" distB="0" distL="114300" distR="114300" simplePos="0" relativeHeight="252505600" behindDoc="0" locked="0" layoutInCell="1" allowOverlap="1" wp14:anchorId="188E4DCC" wp14:editId="264B5477">
                <wp:simplePos x="0" y="0"/>
                <wp:positionH relativeFrom="column">
                  <wp:posOffset>1943100</wp:posOffset>
                </wp:positionH>
                <wp:positionV relativeFrom="paragraph">
                  <wp:posOffset>2862580</wp:posOffset>
                </wp:positionV>
                <wp:extent cx="495300" cy="190500"/>
                <wp:effectExtent l="0" t="0" r="0" b="0"/>
                <wp:wrapNone/>
                <wp:docPr id="18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E4DCC" id="_x0000_s1142" type="#_x0000_t202" style="position:absolute;margin-left:153pt;margin-top:225.4pt;width:39pt;height:15pt;z-index:2525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" filled="f" stroked="f">
                <v:textbox>
                  <w:txbxContent>
                    <w:p w:rsidR="004166BC" w:rsidRPr="00277ED6" w:rsidRDefault="004166BC" w:rsidP="00EF75B2">
                      <w:pPr>
                        <w:rPr>
                          <w:sz w:val="16"/>
                          <w:szCs w:val="16"/>
                        </w:rPr>
                      </w:pPr>
                      <w:r>
                        <w:rPr>
                          <w:sz w:val="16"/>
                          <w:szCs w:val="16"/>
                        </w:rPr>
                        <w:t>***</w:t>
                      </w:r>
                    </w:p>
                  </w:txbxContent>
                </v:textbox>
              </v:shape>
            </w:pict>
          </mc:Fallback>
        </mc:AlternateContent>
      </w:r>
      <w:r w:rsidR="00EF75B2" w:rsidRPr="00EF75B2">
        <w:rPr>
          <w:rFonts w:ascii="Arial" w:hAnsi="Arial" w:cs="Arial"/>
          <w:noProof/>
          <w:lang w:eastAsia="zh-CN"/>
        </w:rPr>
        <mc:AlternateContent>
          <mc:Choice Requires="wps">
            <w:drawing>
              <wp:anchor distT="0" distB="0" distL="114300" distR="114300" simplePos="0" relativeHeight="252469760" behindDoc="0" locked="0" layoutInCell="1" allowOverlap="1" wp14:anchorId="32F42C67" wp14:editId="5C5836B8">
                <wp:simplePos x="0" y="0"/>
                <wp:positionH relativeFrom="column">
                  <wp:posOffset>4286250</wp:posOffset>
                </wp:positionH>
                <wp:positionV relativeFrom="paragraph">
                  <wp:posOffset>1656080</wp:posOffset>
                </wp:positionV>
                <wp:extent cx="495300" cy="190500"/>
                <wp:effectExtent l="0" t="0" r="0" b="0"/>
                <wp:wrapNone/>
                <wp:docPr id="18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42C67" id="_x0000_s1143" type="#_x0000_t202" style="position:absolute;margin-left:337.5pt;margin-top:130.4pt;width:39pt;height:15pt;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" filled="f" stroked="f">
                <v:textbox>
                  <w:txbxContent>
                    <w:p w:rsidR="004166BC" w:rsidRPr="00277ED6" w:rsidRDefault="004166BC" w:rsidP="00EF75B2">
                      <w:pPr>
                        <w:rPr>
                          <w:sz w:val="16"/>
                          <w:szCs w:val="16"/>
                        </w:rPr>
                      </w:pPr>
                      <w:r>
                        <w:rPr>
                          <w:sz w:val="16"/>
                          <w:szCs w:val="16"/>
                        </w:rPr>
                        <w:t>***</w:t>
                      </w:r>
                    </w:p>
                  </w:txbxContent>
                </v:textbox>
              </v:shape>
            </w:pict>
          </mc:Fallback>
        </mc:AlternateContent>
      </w:r>
      <w:r w:rsidR="00EF75B2" w:rsidRPr="00EF75B2">
        <w:rPr>
          <w:rFonts w:ascii="Arial" w:hAnsi="Arial" w:cs="Arial"/>
          <w:noProof/>
          <w:lang w:eastAsia="zh-CN"/>
        </w:rPr>
        <mc:AlternateContent>
          <mc:Choice Requires="wps">
            <w:drawing>
              <wp:anchor distT="0" distB="0" distL="114300" distR="114300" simplePos="0" relativeHeight="252363264" behindDoc="0" locked="0" layoutInCell="1" allowOverlap="1" wp14:anchorId="3F381FBD" wp14:editId="672668E7">
                <wp:simplePos x="0" y="0"/>
                <wp:positionH relativeFrom="column">
                  <wp:posOffset>1924050</wp:posOffset>
                </wp:positionH>
                <wp:positionV relativeFrom="paragraph">
                  <wp:posOffset>1611630</wp:posOffset>
                </wp:positionV>
                <wp:extent cx="495300" cy="190500"/>
                <wp:effectExtent l="0" t="0" r="0" b="0"/>
                <wp:wrapNone/>
                <wp:docPr id="18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81FBD" id="_x0000_s1144" type="#_x0000_t202" style="position:absolute;margin-left:151.5pt;margin-top:126.9pt;width:39pt;height:15pt;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" filled="f" stroked="f">
                <v:textbox>
                  <w:txbxContent>
                    <w:p w:rsidR="004166BC" w:rsidRPr="00277ED6" w:rsidRDefault="004166BC" w:rsidP="00EF75B2">
                      <w:pPr>
                        <w:rPr>
                          <w:sz w:val="16"/>
                          <w:szCs w:val="16"/>
                        </w:rPr>
                      </w:pPr>
                      <w:r>
                        <w:rPr>
                          <w:sz w:val="16"/>
                          <w:szCs w:val="16"/>
                        </w:rPr>
                        <w:t>***</w:t>
                      </w:r>
                    </w:p>
                  </w:txbxContent>
                </v:textbox>
              </v:shape>
            </w:pict>
          </mc:Fallback>
        </mc:AlternateContent>
      </w:r>
      <w:r w:rsidR="00EF75B2" w:rsidRPr="00EF75B2">
        <w:rPr>
          <w:rFonts w:ascii="Arial" w:hAnsi="Arial" w:cs="Arial"/>
          <w:noProof/>
          <w:lang w:eastAsia="zh-CN"/>
        </w:rPr>
        <mc:AlternateContent>
          <mc:Choice Requires="wps">
            <w:drawing>
              <wp:anchor distT="0" distB="0" distL="114300" distR="114300" simplePos="0" relativeHeight="252166656" behindDoc="0" locked="0" layoutInCell="1" allowOverlap="1" wp14:anchorId="47935E8D" wp14:editId="7B9F31FE">
                <wp:simplePos x="0" y="0"/>
                <wp:positionH relativeFrom="column">
                  <wp:posOffset>4248150</wp:posOffset>
                </wp:positionH>
                <wp:positionV relativeFrom="paragraph">
                  <wp:posOffset>214630</wp:posOffset>
                </wp:positionV>
                <wp:extent cx="495300" cy="190500"/>
                <wp:effectExtent l="0" t="0" r="0" b="0"/>
                <wp:wrapNone/>
                <wp:docPr id="18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35E8D" id="_x0000_s1145" type="#_x0000_t202" style="position:absolute;margin-left:334.5pt;margin-top:16.9pt;width:39pt;height:1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" filled="f" stroked="f">
                <v:textbox>
                  <w:txbxContent>
                    <w:p w:rsidR="004166BC" w:rsidRPr="00277ED6" w:rsidRDefault="004166BC" w:rsidP="00EF75B2">
                      <w:pPr>
                        <w:rPr>
                          <w:sz w:val="16"/>
                          <w:szCs w:val="16"/>
                        </w:rPr>
                      </w:pPr>
                      <w:r>
                        <w:rPr>
                          <w:sz w:val="16"/>
                          <w:szCs w:val="16"/>
                        </w:rPr>
                        <w:t>***</w:t>
                      </w:r>
                    </w:p>
                  </w:txbxContent>
                </v:textbox>
              </v:shape>
            </w:pict>
          </mc:Fallback>
        </mc:AlternateContent>
      </w:r>
      <w:r w:rsidR="00EF75B2" w:rsidRPr="00EF75B2">
        <w:rPr>
          <w:rFonts w:ascii="Arial" w:hAnsi="Arial" w:cs="Arial"/>
          <w:noProof/>
          <w:lang w:eastAsia="zh-CN"/>
        </w:rPr>
        <mc:AlternateContent>
          <mc:Choice Requires="wps">
            <w:drawing>
              <wp:anchor distT="0" distB="0" distL="114300" distR="114300" simplePos="0" relativeHeight="251672064" behindDoc="0" locked="0" layoutInCell="1" allowOverlap="1" wp14:anchorId="254DD742" wp14:editId="3647CDBA">
                <wp:simplePos x="0" y="0"/>
                <wp:positionH relativeFrom="column">
                  <wp:posOffset>1924050</wp:posOffset>
                </wp:positionH>
                <wp:positionV relativeFrom="paragraph">
                  <wp:posOffset>373380</wp:posOffset>
                </wp:positionV>
                <wp:extent cx="495300" cy="190500"/>
                <wp:effectExtent l="0" t="0" r="0" b="0"/>
                <wp:wrapNone/>
                <wp:docPr id="18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166BC" w:rsidRPr="00277ED6" w:rsidRDefault="004166BC" w:rsidP="00EF75B2">
                            <w:pPr>
                              <w:rPr>
                                <w:sz w:val="16"/>
                                <w:szCs w:val="16"/>
                              </w:rPr>
                            </w:pP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DD742" id="_x0000_s1146" type="#_x0000_t202" style="position:absolute;margin-left:151.5pt;margin-top:29.4pt;width:39pt;height: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" filled="f" stroked="f">
                <v:textbox>
                  <w:txbxContent>
                    <w:p w:rsidR="004166BC" w:rsidRPr="00277ED6" w:rsidRDefault="004166BC" w:rsidP="00EF75B2">
                      <w:pPr>
                        <w:rPr>
                          <w:sz w:val="16"/>
                          <w:szCs w:val="16"/>
                        </w:rPr>
                      </w:pPr>
                      <w:r>
                        <w:rPr>
                          <w:sz w:val="16"/>
                          <w:szCs w:val="16"/>
                        </w:rPr>
                        <w:t>***</w:t>
                      </w:r>
                    </w:p>
                  </w:txbxContent>
                </v:textbox>
              </v:shape>
            </w:pict>
          </mc:Fallback>
        </mc:AlternateContent>
      </w:r>
      <w:r w:rsidR="00277ED6" w:rsidRPr="00277ED6">
        <w:rPr>
          <w:noProof/>
          <w:lang w:eastAsia="zh-CN"/>
        </w:rPr>
        <w:drawing>
          <wp:inline distT="0" distB="0" distL="0" distR="0" wp14:anchorId="7BAC2EBC" wp14:editId="1789DE28">
            <wp:extent cx="5558389" cy="4886325"/>
            <wp:effectExtent l="0" t="0" r="4445" b="0"/>
            <wp:docPr id="18447" name="Picture 1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973" r="11333"/>
                    <a:stretch/>
                  </pic:blipFill>
                  <pic:spPr bwMode="auto">
                    <a:xfrm>
                      <a:off x="0" y="0"/>
                      <a:ext cx="5599363" cy="4922345"/>
                    </a:xfrm>
                    <a:prstGeom prst="rect">
                      <a:avLst/>
                    </a:prstGeom>
                    <a:noFill/>
                    <a:ln>
                      <a:noFill/>
                    </a:ln>
                    <a:extLst>
                      <a:ext uri="{53640926-AAD7-44D8-BBD7-CCE9431645EC}">
                        <a14:shadowObscured xmlns:a14="http://schemas.microsoft.com/office/drawing/2010/main"/>
                      </a:ext>
                    </a:extLst>
                  </pic:spPr>
                </pic:pic>
              </a:graphicData>
            </a:graphic>
          </wp:inline>
        </w:drawing>
      </w:r>
    </w:p>
    <w:p w:rsidR="00277ED6" w:rsidRPr="00CE7BE1" w:rsidRDefault="00277ED6" w:rsidP="005354D9">
      <w:pPr>
        <w:pStyle w:val="Caption"/>
        <w:jc w:val="both"/>
        <w:rPr>
          <w:rFonts w:ascii="Arial" w:hAnsi="Arial" w:cs="Arial"/>
          <w:b w:val="0"/>
          <w:color w:val="auto"/>
        </w:rPr>
      </w:pPr>
      <w:bookmarkStart w:id="128" w:name="_Toc425419521"/>
      <w:r w:rsidRPr="00277ED6">
        <w:rPr>
          <w:rFonts w:ascii="Arial" w:hAnsi="Arial" w:cs="Arial"/>
          <w:b w:val="0"/>
          <w:color w:val="auto"/>
        </w:rPr>
        <w:t xml:space="preserve">Figure </w:t>
      </w:r>
      <w:r w:rsidRPr="00277ED6">
        <w:rPr>
          <w:rFonts w:ascii="Arial" w:hAnsi="Arial" w:cs="Arial"/>
          <w:b w:val="0"/>
          <w:color w:val="auto"/>
        </w:rPr>
        <w:fldChar w:fldCharType="begin"/>
      </w:r>
      <w:r w:rsidRPr="00277ED6">
        <w:rPr>
          <w:rFonts w:ascii="Arial" w:hAnsi="Arial" w:cs="Arial"/>
          <w:b w:val="0"/>
          <w:color w:val="auto"/>
        </w:rPr>
        <w:instrText xml:space="preserve"> SEQ Figure \* ARABIC </w:instrText>
      </w:r>
      <w:r w:rsidRPr="00277ED6">
        <w:rPr>
          <w:rFonts w:ascii="Arial" w:hAnsi="Arial" w:cs="Arial"/>
          <w:b w:val="0"/>
          <w:color w:val="auto"/>
        </w:rPr>
        <w:fldChar w:fldCharType="separate"/>
      </w:r>
      <w:r w:rsidR="0040369A">
        <w:rPr>
          <w:rFonts w:ascii="Arial" w:hAnsi="Arial" w:cs="Arial"/>
          <w:b w:val="0"/>
          <w:noProof/>
          <w:color w:val="auto"/>
        </w:rPr>
        <w:t>32</w:t>
      </w:r>
      <w:r w:rsidRPr="00277ED6">
        <w:rPr>
          <w:rFonts w:ascii="Arial" w:hAnsi="Arial" w:cs="Arial"/>
          <w:b w:val="0"/>
          <w:color w:val="auto"/>
        </w:rPr>
        <w:fldChar w:fldCharType="end"/>
      </w:r>
      <w:r w:rsidRPr="00277ED6">
        <w:rPr>
          <w:rFonts w:ascii="Arial" w:hAnsi="Arial" w:cs="Arial"/>
          <w:b w:val="0"/>
          <w:color w:val="auto"/>
        </w:rPr>
        <w:t>: Healthy reference intervals for older and younger women</w:t>
      </w:r>
      <w:r w:rsidR="00447FA6">
        <w:rPr>
          <w:rFonts w:ascii="Arial" w:hAnsi="Arial" w:cs="Arial"/>
          <w:b w:val="0"/>
          <w:color w:val="auto"/>
        </w:rPr>
        <w:t xml:space="preserve"> for bone resorption markers: CTX and NTX/Cr and bone formation markers: PINP, bone ALP and osteocalcin</w:t>
      </w:r>
      <w:r w:rsidRPr="00277ED6">
        <w:rPr>
          <w:rFonts w:ascii="Arial" w:hAnsi="Arial" w:cs="Arial"/>
          <w:b w:val="0"/>
          <w:color w:val="auto"/>
        </w:rPr>
        <w:t>. Independent sample t-test, ***p&lt;0.001</w:t>
      </w:r>
      <w:bookmarkEnd w:id="128"/>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p>
    <w:p w:rsidR="00182095" w:rsidRPr="00182095" w:rsidRDefault="00182095" w:rsidP="005354D9">
      <w:pPr>
        <w:spacing w:line="360" w:lineRule="auto"/>
        <w:jc w:val="both"/>
        <w:rPr>
          <w:rFonts w:ascii="Arial" w:hAnsi="Arial" w:cs="Arial"/>
          <w:lang w:val="en-US"/>
        </w:rPr>
      </w:pPr>
      <w:r w:rsidRPr="00182095">
        <w:rPr>
          <w:rFonts w:ascii="Arial" w:hAnsi="Arial" w:cs="Arial"/>
          <w:lang w:val="en-US"/>
        </w:rPr>
        <w:t>The lower part of the premenopausal reference intervals have been previously proposed as a target for treatment. This range was 0.05 – 0.</w:t>
      </w:r>
      <w:r w:rsidR="00CE7BE1">
        <w:rPr>
          <w:rFonts w:ascii="Arial" w:hAnsi="Arial" w:cs="Arial"/>
          <w:lang w:val="en-US"/>
        </w:rPr>
        <w:t>19 ng/ml for CTX, 15.0 – 38.1 n</w:t>
      </w:r>
      <w:r w:rsidRPr="00182095">
        <w:rPr>
          <w:rFonts w:ascii="Arial" w:hAnsi="Arial" w:cs="Arial"/>
          <w:lang w:val="en-US"/>
        </w:rPr>
        <w:t>mol BCE/mmol Cr for NTX</w:t>
      </w:r>
      <w:r w:rsidR="00CE7BE1">
        <w:rPr>
          <w:rFonts w:ascii="Arial" w:hAnsi="Arial" w:cs="Arial"/>
          <w:lang w:val="en-US"/>
        </w:rPr>
        <w:t>/Cr</w:t>
      </w:r>
      <w:r w:rsidRPr="00182095">
        <w:rPr>
          <w:rFonts w:ascii="Arial" w:hAnsi="Arial" w:cs="Arial"/>
          <w:lang w:val="en-US"/>
        </w:rPr>
        <w:t>, 4.2 – 30.1 ng/ml for PINP, 5.2 – 9.8 ng/ml for bone ALP and 8.8 – 17.9 for osteocalcin.</w:t>
      </w:r>
    </w:p>
    <w:p w:rsidR="00161075" w:rsidRDefault="00161075" w:rsidP="005354D9">
      <w:pPr>
        <w:pStyle w:val="Heading3"/>
        <w:jc w:val="both"/>
      </w:pPr>
      <w:bookmarkStart w:id="129" w:name="_Toc425418922"/>
      <w:r w:rsidRPr="00C37352">
        <w:t>Determinants of BTMs in healthy postmenopausal women</w:t>
      </w:r>
      <w:bookmarkEnd w:id="129"/>
    </w:p>
    <w:p w:rsidR="00223B4D" w:rsidRDefault="00161075" w:rsidP="00463032">
      <w:pPr>
        <w:pStyle w:val="Default"/>
        <w:spacing w:line="360" w:lineRule="auto"/>
        <w:jc w:val="both"/>
        <w:rPr>
          <w:rFonts w:ascii="Arial" w:hAnsi="Arial" w:cs="Arial"/>
          <w:bCs/>
          <w:sz w:val="22"/>
          <w:szCs w:val="22"/>
        </w:rPr>
      </w:pPr>
      <w:r w:rsidRPr="00161075">
        <w:rPr>
          <w:rFonts w:ascii="Arial" w:hAnsi="Arial" w:cs="Arial"/>
          <w:bCs/>
          <w:sz w:val="22"/>
          <w:szCs w:val="22"/>
        </w:rPr>
        <w:t>Univariate analyses were performed to study determinants thought to influence BTMs in healthy postmenopausal women</w:t>
      </w:r>
      <w:r w:rsidR="003A6DB1">
        <w:rPr>
          <w:rFonts w:ascii="Arial" w:hAnsi="Arial" w:cs="Arial"/>
          <w:bCs/>
          <w:sz w:val="22"/>
          <w:szCs w:val="22"/>
        </w:rPr>
        <w:t>, (T</w:t>
      </w:r>
      <w:r w:rsidR="00063B78">
        <w:rPr>
          <w:rFonts w:ascii="Arial" w:hAnsi="Arial" w:cs="Arial"/>
          <w:bCs/>
          <w:sz w:val="22"/>
          <w:szCs w:val="22"/>
        </w:rPr>
        <w:t xml:space="preserve">able </w:t>
      </w:r>
      <w:r w:rsidR="003A6DB1">
        <w:rPr>
          <w:rFonts w:ascii="Arial" w:hAnsi="Arial" w:cs="Arial"/>
          <w:bCs/>
          <w:sz w:val="22"/>
          <w:szCs w:val="22"/>
        </w:rPr>
        <w:t>1</w:t>
      </w:r>
      <w:r w:rsidR="005354D9">
        <w:rPr>
          <w:rFonts w:ascii="Arial" w:hAnsi="Arial" w:cs="Arial"/>
          <w:bCs/>
          <w:sz w:val="22"/>
          <w:szCs w:val="22"/>
        </w:rPr>
        <w:t>6</w:t>
      </w:r>
      <w:r w:rsidR="003A6DB1">
        <w:rPr>
          <w:rFonts w:ascii="Arial" w:hAnsi="Arial" w:cs="Arial"/>
          <w:bCs/>
          <w:sz w:val="22"/>
          <w:szCs w:val="22"/>
        </w:rPr>
        <w:t>)</w:t>
      </w:r>
      <w:r w:rsidRPr="00161075">
        <w:rPr>
          <w:rFonts w:ascii="Arial" w:hAnsi="Arial" w:cs="Arial"/>
          <w:bCs/>
          <w:sz w:val="22"/>
          <w:szCs w:val="22"/>
        </w:rPr>
        <w:t>. All of the BTMs increased significantly by an average of 6.5% for each standard deviation (6.6) increase in ag</w:t>
      </w:r>
      <w:r w:rsidR="002B797B">
        <w:rPr>
          <w:rFonts w:ascii="Arial" w:hAnsi="Arial" w:cs="Arial"/>
          <w:bCs/>
          <w:sz w:val="22"/>
          <w:szCs w:val="22"/>
        </w:rPr>
        <w:t>e, p&lt;0.001</w:t>
      </w:r>
      <w:r w:rsidR="00FE5129">
        <w:rPr>
          <w:rFonts w:ascii="Arial" w:hAnsi="Arial" w:cs="Arial"/>
          <w:bCs/>
          <w:sz w:val="22"/>
          <w:szCs w:val="22"/>
        </w:rPr>
        <w:t>. Figure 33</w:t>
      </w:r>
      <w:r w:rsidR="003A6DB1">
        <w:rPr>
          <w:rFonts w:ascii="Arial" w:hAnsi="Arial" w:cs="Arial"/>
          <w:bCs/>
          <w:sz w:val="22"/>
          <w:szCs w:val="22"/>
        </w:rPr>
        <w:t xml:space="preserve"> </w:t>
      </w:r>
      <w:r w:rsidRPr="00161075">
        <w:rPr>
          <w:rFonts w:ascii="Arial" w:hAnsi="Arial" w:cs="Arial"/>
          <w:bCs/>
          <w:sz w:val="22"/>
          <w:szCs w:val="22"/>
        </w:rPr>
        <w:t>sho</w:t>
      </w:r>
      <w:r w:rsidR="00CE7BE1">
        <w:rPr>
          <w:rFonts w:ascii="Arial" w:hAnsi="Arial" w:cs="Arial"/>
          <w:bCs/>
          <w:sz w:val="22"/>
          <w:szCs w:val="22"/>
        </w:rPr>
        <w:t xml:space="preserve">ws the effect of age </w:t>
      </w:r>
      <w:r w:rsidR="00355432">
        <w:rPr>
          <w:rFonts w:ascii="Arial" w:hAnsi="Arial" w:cs="Arial"/>
          <w:bCs/>
          <w:sz w:val="22"/>
          <w:szCs w:val="22"/>
        </w:rPr>
        <w:t xml:space="preserve">group </w:t>
      </w:r>
      <w:r w:rsidR="00CE7BE1">
        <w:rPr>
          <w:rFonts w:ascii="Arial" w:hAnsi="Arial" w:cs="Arial"/>
          <w:bCs/>
          <w:sz w:val="22"/>
          <w:szCs w:val="22"/>
        </w:rPr>
        <w:t xml:space="preserve">on CTX, </w:t>
      </w:r>
      <w:r w:rsidRPr="00161075">
        <w:rPr>
          <w:rFonts w:ascii="Arial" w:hAnsi="Arial" w:cs="Arial"/>
          <w:bCs/>
          <w:sz w:val="22"/>
          <w:szCs w:val="22"/>
        </w:rPr>
        <w:t>NTX</w:t>
      </w:r>
      <w:r w:rsidR="00223B4D">
        <w:rPr>
          <w:rFonts w:ascii="Arial" w:hAnsi="Arial" w:cs="Arial"/>
          <w:bCs/>
          <w:sz w:val="22"/>
          <w:szCs w:val="22"/>
        </w:rPr>
        <w:t>/</w:t>
      </w:r>
      <w:r w:rsidR="00CE7BE1">
        <w:rPr>
          <w:rFonts w:ascii="Arial" w:hAnsi="Arial" w:cs="Arial"/>
          <w:bCs/>
          <w:sz w:val="22"/>
          <w:szCs w:val="22"/>
        </w:rPr>
        <w:t>Cr, PINP, bone ALP and osteocalcin</w:t>
      </w:r>
      <w:r w:rsidRPr="00161075">
        <w:rPr>
          <w:rFonts w:ascii="Arial" w:hAnsi="Arial" w:cs="Arial"/>
          <w:bCs/>
          <w:sz w:val="22"/>
          <w:szCs w:val="22"/>
        </w:rPr>
        <w:t xml:space="preserve"> in all of the older and younger women used for this analysis. Osteocalcin decreased significantly by 25% for each standard d</w:t>
      </w:r>
      <w:r w:rsidR="002B797B">
        <w:rPr>
          <w:rFonts w:ascii="Arial" w:hAnsi="Arial" w:cs="Arial"/>
          <w:bCs/>
          <w:sz w:val="22"/>
          <w:szCs w:val="22"/>
        </w:rPr>
        <w:t>eviation (4.1) increase in BMI, p&lt;0.05</w:t>
      </w:r>
      <w:r w:rsidRPr="00161075">
        <w:rPr>
          <w:rFonts w:ascii="Arial" w:hAnsi="Arial" w:cs="Arial"/>
          <w:bCs/>
          <w:sz w:val="22"/>
          <w:szCs w:val="22"/>
        </w:rPr>
        <w:t>. There was no significant association between any of the BTMs with weight and height</w:t>
      </w:r>
      <w:r w:rsidR="002B797B">
        <w:rPr>
          <w:rFonts w:ascii="Arial" w:hAnsi="Arial" w:cs="Arial"/>
          <w:bCs/>
          <w:sz w:val="22"/>
          <w:szCs w:val="22"/>
        </w:rPr>
        <w:t>, with the exception of osteocalcin, p&lt;0.05</w:t>
      </w:r>
      <w:r w:rsidRPr="00161075">
        <w:rPr>
          <w:rFonts w:ascii="Arial" w:hAnsi="Arial" w:cs="Arial"/>
          <w:bCs/>
          <w:sz w:val="22"/>
          <w:szCs w:val="22"/>
        </w:rPr>
        <w:t xml:space="preserve">. There was no significant difference in mean values of BTMs between women who drank alcohol and those who did not. Women who were current smokers had higher CTX (20%, p&lt; 0.001), NTX (8%, p&lt;0.05), PINP (8%, p&lt;0.05) </w:t>
      </w:r>
      <w:r w:rsidRPr="00161075">
        <w:rPr>
          <w:rFonts w:ascii="Arial" w:hAnsi="Arial" w:cs="Arial"/>
          <w:bCs/>
          <w:sz w:val="22"/>
          <w:szCs w:val="22"/>
        </w:rPr>
        <w:lastRenderedPageBreak/>
        <w:t>and bone ALP (7%, p&lt;0.01) compared to non-smokers. There was no significant difference in any of the BTMs between countries</w:t>
      </w:r>
      <w:r w:rsidR="00FE5129">
        <w:rPr>
          <w:rFonts w:ascii="Arial" w:hAnsi="Arial" w:cs="Arial"/>
          <w:bCs/>
          <w:sz w:val="22"/>
          <w:szCs w:val="22"/>
        </w:rPr>
        <w:t>, (Table 16</w:t>
      </w:r>
      <w:r w:rsidR="00FC4FDF">
        <w:rPr>
          <w:rFonts w:ascii="Arial" w:hAnsi="Arial" w:cs="Arial"/>
          <w:bCs/>
          <w:sz w:val="22"/>
          <w:szCs w:val="22"/>
        </w:rPr>
        <w:t>)</w:t>
      </w:r>
      <w:r w:rsidRPr="00161075">
        <w:rPr>
          <w:rFonts w:ascii="Arial" w:hAnsi="Arial" w:cs="Arial"/>
          <w:bCs/>
          <w:sz w:val="22"/>
          <w:szCs w:val="22"/>
        </w:rPr>
        <w:t xml:space="preserve">.  </w:t>
      </w:r>
    </w:p>
    <w:p w:rsidR="00223B4D" w:rsidRDefault="00223B4D" w:rsidP="00900F2C">
      <w:pPr>
        <w:pStyle w:val="Default"/>
        <w:spacing w:line="360" w:lineRule="auto"/>
        <w:rPr>
          <w:rFonts w:ascii="Arial" w:hAnsi="Arial" w:cs="Arial"/>
          <w:bCs/>
          <w:sz w:val="22"/>
          <w:szCs w:val="22"/>
        </w:rPr>
      </w:pPr>
      <w:r w:rsidRPr="00223B4D">
        <w:rPr>
          <w:noProof/>
          <w:lang w:val="en-GB" w:eastAsia="zh-CN"/>
        </w:rPr>
        <w:drawing>
          <wp:inline distT="0" distB="0" distL="0" distR="0" wp14:anchorId="1F1C61C0" wp14:editId="1EDEC597">
            <wp:extent cx="2624321" cy="2162175"/>
            <wp:effectExtent l="0" t="0" r="0" b="0"/>
            <wp:docPr id="18436" name="Picture 1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74747" cy="2203721"/>
                    </a:xfrm>
                    <a:prstGeom prst="rect">
                      <a:avLst/>
                    </a:prstGeom>
                    <a:noFill/>
                    <a:ln>
                      <a:noFill/>
                    </a:ln>
                  </pic:spPr>
                </pic:pic>
              </a:graphicData>
            </a:graphic>
          </wp:inline>
        </w:drawing>
      </w:r>
      <w:r w:rsidRPr="00223B4D">
        <w:rPr>
          <w:noProof/>
          <w:lang w:val="en-GB" w:eastAsia="zh-CN"/>
        </w:rPr>
        <w:drawing>
          <wp:inline distT="0" distB="0" distL="0" distR="0" wp14:anchorId="634EE63B" wp14:editId="64E33DFF">
            <wp:extent cx="2670800" cy="2162175"/>
            <wp:effectExtent l="0" t="0" r="0" b="0"/>
            <wp:docPr id="18437" name="Picture 1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23484" cy="2204826"/>
                    </a:xfrm>
                    <a:prstGeom prst="rect">
                      <a:avLst/>
                    </a:prstGeom>
                    <a:noFill/>
                    <a:ln>
                      <a:noFill/>
                    </a:ln>
                  </pic:spPr>
                </pic:pic>
              </a:graphicData>
            </a:graphic>
          </wp:inline>
        </w:drawing>
      </w:r>
      <w:r w:rsidR="0081427A" w:rsidRPr="00E93C40">
        <w:rPr>
          <w:noProof/>
          <w:lang w:val="en-GB" w:eastAsia="zh-CN"/>
        </w:rPr>
        <w:drawing>
          <wp:inline distT="0" distB="0" distL="0" distR="0" wp14:anchorId="7CCE544C" wp14:editId="1284E0B2">
            <wp:extent cx="2663825" cy="2156527"/>
            <wp:effectExtent l="0" t="0" r="0" b="0"/>
            <wp:docPr id="18441" name="Picture 1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32162" cy="2211850"/>
                    </a:xfrm>
                    <a:prstGeom prst="rect">
                      <a:avLst/>
                    </a:prstGeom>
                    <a:noFill/>
                    <a:ln>
                      <a:noFill/>
                    </a:ln>
                  </pic:spPr>
                </pic:pic>
              </a:graphicData>
            </a:graphic>
          </wp:inline>
        </w:drawing>
      </w:r>
      <w:r w:rsidR="00E22B6E" w:rsidRPr="00E93C40">
        <w:rPr>
          <w:noProof/>
          <w:lang w:val="en-GB" w:eastAsia="zh-CN"/>
        </w:rPr>
        <w:drawing>
          <wp:inline distT="0" distB="0" distL="0" distR="0" wp14:anchorId="0EACD486" wp14:editId="1761D393">
            <wp:extent cx="2581086" cy="2047224"/>
            <wp:effectExtent l="0" t="0" r="0" b="0"/>
            <wp:docPr id="18442" name="Picture 1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81086" cy="2047224"/>
                    </a:xfrm>
                    <a:prstGeom prst="rect">
                      <a:avLst/>
                    </a:prstGeom>
                    <a:noFill/>
                    <a:ln>
                      <a:noFill/>
                    </a:ln>
                  </pic:spPr>
                </pic:pic>
              </a:graphicData>
            </a:graphic>
          </wp:inline>
        </w:drawing>
      </w:r>
    </w:p>
    <w:p w:rsidR="00E93C40" w:rsidRPr="00B92CB2" w:rsidRDefault="0081427A" w:rsidP="00900F2C">
      <w:pPr>
        <w:pStyle w:val="Default"/>
        <w:spacing w:line="360" w:lineRule="auto"/>
        <w:rPr>
          <w:rFonts w:ascii="Arial" w:hAnsi="Arial" w:cs="Arial"/>
          <w:bCs/>
          <w:sz w:val="22"/>
          <w:szCs w:val="22"/>
        </w:rPr>
      </w:pPr>
      <w:r w:rsidRPr="00E93C40">
        <w:rPr>
          <w:noProof/>
          <w:lang w:val="en-GB" w:eastAsia="zh-CN"/>
        </w:rPr>
        <w:drawing>
          <wp:inline distT="0" distB="0" distL="0" distR="0" wp14:anchorId="1EFE7F67" wp14:editId="246A5375">
            <wp:extent cx="2714625" cy="2197894"/>
            <wp:effectExtent l="0" t="0" r="0" b="0"/>
            <wp:docPr id="18443" name="Picture 1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59320" cy="2234082"/>
                    </a:xfrm>
                    <a:prstGeom prst="rect">
                      <a:avLst/>
                    </a:prstGeom>
                    <a:noFill/>
                    <a:ln>
                      <a:noFill/>
                    </a:ln>
                  </pic:spPr>
                </pic:pic>
              </a:graphicData>
            </a:graphic>
          </wp:inline>
        </w:drawing>
      </w:r>
    </w:p>
    <w:p w:rsidR="003A6DB1" w:rsidRDefault="00E93C40" w:rsidP="005354D9">
      <w:pPr>
        <w:pStyle w:val="Caption"/>
        <w:jc w:val="both"/>
        <w:rPr>
          <w:rFonts w:ascii="Arial" w:hAnsi="Arial" w:cs="Arial"/>
          <w:b w:val="0"/>
          <w:color w:val="000000" w:themeColor="text1"/>
        </w:rPr>
      </w:pPr>
      <w:bookmarkStart w:id="130" w:name="_Toc425419522"/>
      <w:r w:rsidRPr="00E93C40">
        <w:rPr>
          <w:rFonts w:ascii="Arial" w:hAnsi="Arial" w:cs="Arial"/>
          <w:b w:val="0"/>
          <w:color w:val="000000" w:themeColor="text1"/>
        </w:rPr>
        <w:t xml:space="preserve">Figure </w:t>
      </w:r>
      <w:r w:rsidRPr="00E93C40">
        <w:rPr>
          <w:rFonts w:ascii="Arial" w:hAnsi="Arial" w:cs="Arial"/>
          <w:b w:val="0"/>
          <w:color w:val="000000" w:themeColor="text1"/>
        </w:rPr>
        <w:fldChar w:fldCharType="begin"/>
      </w:r>
      <w:r w:rsidRPr="00E93C40">
        <w:rPr>
          <w:rFonts w:ascii="Arial" w:hAnsi="Arial" w:cs="Arial"/>
          <w:b w:val="0"/>
          <w:color w:val="000000" w:themeColor="text1"/>
        </w:rPr>
        <w:instrText xml:space="preserve"> SEQ Figure \* ARABIC </w:instrText>
      </w:r>
      <w:r w:rsidRPr="00E93C40">
        <w:rPr>
          <w:rFonts w:ascii="Arial" w:hAnsi="Arial" w:cs="Arial"/>
          <w:b w:val="0"/>
          <w:color w:val="000000" w:themeColor="text1"/>
        </w:rPr>
        <w:fldChar w:fldCharType="separate"/>
      </w:r>
      <w:r w:rsidR="0040369A">
        <w:rPr>
          <w:rFonts w:ascii="Arial" w:hAnsi="Arial" w:cs="Arial"/>
          <w:b w:val="0"/>
          <w:noProof/>
          <w:color w:val="000000" w:themeColor="text1"/>
        </w:rPr>
        <w:t>33</w:t>
      </w:r>
      <w:r w:rsidRPr="00E93C40">
        <w:rPr>
          <w:rFonts w:ascii="Arial" w:hAnsi="Arial" w:cs="Arial"/>
          <w:b w:val="0"/>
          <w:color w:val="000000" w:themeColor="text1"/>
        </w:rPr>
        <w:fldChar w:fldCharType="end"/>
      </w:r>
      <w:r w:rsidRPr="00E93C40">
        <w:rPr>
          <w:rFonts w:ascii="Arial" w:hAnsi="Arial" w:cs="Arial"/>
          <w:b w:val="0"/>
          <w:color w:val="000000" w:themeColor="text1"/>
        </w:rPr>
        <w:t>: the effect of age on a) CTX, b) NTX, c) PINP, d) bone ALP and e) osteocalcin in all of the older and younger women in the OPUS population. The solid black lines represent the upper limit, lower limit and geometric mean of the 95% reference intervals for healthy postmenopausal women. The dashed black lines represent the upper limit, lower limit and geometric mean of the 95% reference intervals for healthy premenopausal women.</w:t>
      </w:r>
      <w:bookmarkEnd w:id="130"/>
    </w:p>
    <w:p w:rsidR="00B92CB2" w:rsidRPr="00B92CB2" w:rsidRDefault="00B92CB2" w:rsidP="005354D9">
      <w:pPr>
        <w:jc w:val="both"/>
      </w:pPr>
    </w:p>
    <w:p w:rsidR="00421846" w:rsidRPr="00E93C40" w:rsidRDefault="00CE7BE1" w:rsidP="005354D9">
      <w:pPr>
        <w:pStyle w:val="Caption"/>
        <w:jc w:val="both"/>
        <w:rPr>
          <w:rFonts w:ascii="Arial" w:hAnsi="Arial" w:cs="Arial"/>
          <w:b w:val="0"/>
          <w:bCs w:val="0"/>
          <w:color w:val="000000" w:themeColor="text1"/>
          <w:sz w:val="22"/>
          <w:szCs w:val="22"/>
        </w:rPr>
      </w:pPr>
      <w:bookmarkStart w:id="131" w:name="_Toc424043690"/>
      <w:r w:rsidRPr="00D47827">
        <w:rPr>
          <w:rFonts w:ascii="Arial" w:hAnsi="Arial" w:cs="Arial"/>
          <w:b w:val="0"/>
          <w:color w:val="auto"/>
        </w:rPr>
        <w:t xml:space="preserve">Table </w:t>
      </w:r>
      <w:r w:rsidRPr="00D47827">
        <w:rPr>
          <w:rFonts w:ascii="Arial" w:hAnsi="Arial" w:cs="Arial"/>
          <w:b w:val="0"/>
          <w:color w:val="auto"/>
        </w:rPr>
        <w:fldChar w:fldCharType="begin"/>
      </w:r>
      <w:r w:rsidRPr="00D47827">
        <w:rPr>
          <w:rFonts w:ascii="Arial" w:hAnsi="Arial" w:cs="Arial"/>
          <w:b w:val="0"/>
          <w:color w:val="auto"/>
        </w:rPr>
        <w:instrText xml:space="preserve"> SEQ Table \* ARABIC </w:instrText>
      </w:r>
      <w:r w:rsidRPr="00D47827">
        <w:rPr>
          <w:rFonts w:ascii="Arial" w:hAnsi="Arial" w:cs="Arial"/>
          <w:b w:val="0"/>
          <w:color w:val="auto"/>
        </w:rPr>
        <w:fldChar w:fldCharType="separate"/>
      </w:r>
      <w:r w:rsidR="00DD116A">
        <w:rPr>
          <w:rFonts w:ascii="Arial" w:hAnsi="Arial" w:cs="Arial"/>
          <w:b w:val="0"/>
          <w:noProof/>
          <w:color w:val="auto"/>
        </w:rPr>
        <w:t>16</w:t>
      </w:r>
      <w:r w:rsidRPr="00D47827">
        <w:rPr>
          <w:rFonts w:ascii="Arial" w:hAnsi="Arial" w:cs="Arial"/>
          <w:b w:val="0"/>
          <w:color w:val="auto"/>
        </w:rPr>
        <w:fldChar w:fldCharType="end"/>
      </w:r>
      <w:r w:rsidRPr="00D47827">
        <w:rPr>
          <w:rFonts w:ascii="Arial" w:hAnsi="Arial" w:cs="Arial"/>
          <w:b w:val="0"/>
          <w:color w:val="auto"/>
        </w:rPr>
        <w:t xml:space="preserve">: </w:t>
      </w:r>
      <w:r w:rsidR="008D6DBE">
        <w:rPr>
          <w:rFonts w:ascii="Arial" w:hAnsi="Arial" w:cs="Arial"/>
          <w:b w:val="0"/>
          <w:color w:val="auto"/>
        </w:rPr>
        <w:t>Univariate analyses assessing the f</w:t>
      </w:r>
      <w:r w:rsidR="00421846" w:rsidRPr="00D47827">
        <w:rPr>
          <w:rFonts w:ascii="Arial" w:hAnsi="Arial" w:cs="Arial"/>
          <w:b w:val="0"/>
          <w:color w:val="auto"/>
        </w:rPr>
        <w:t>actors that influence BTMs in healthy postmenopausal women. The coefficients for age, height, weight and BMI show the percentage change in the geometric mean of the BTM for one unit</w:t>
      </w:r>
      <w:r w:rsidR="008D6DBE">
        <w:rPr>
          <w:rFonts w:ascii="Arial" w:hAnsi="Arial" w:cs="Arial"/>
          <w:b w:val="0"/>
          <w:color w:val="auto"/>
        </w:rPr>
        <w:t xml:space="preserve"> increase in standard deviation and the p value.</w:t>
      </w:r>
      <w:r w:rsidR="00421846" w:rsidRPr="00D47827">
        <w:rPr>
          <w:rFonts w:ascii="Arial" w:hAnsi="Arial" w:cs="Arial"/>
          <w:b w:val="0"/>
          <w:color w:val="auto"/>
        </w:rPr>
        <w:t xml:space="preserve"> </w:t>
      </w:r>
      <w:r w:rsidR="008D6DBE">
        <w:rPr>
          <w:rFonts w:ascii="Arial" w:hAnsi="Arial" w:cs="Arial"/>
          <w:b w:val="0"/>
          <w:color w:val="auto"/>
        </w:rPr>
        <w:t>For PINP the percentage change in the median is shown.</w:t>
      </w:r>
      <w:bookmarkEnd w:id="131"/>
      <w:r w:rsidR="000379D3">
        <w:rPr>
          <w:rFonts w:ascii="Arial" w:hAnsi="Arial" w:cs="Arial"/>
          <w:b w:val="0"/>
          <w:color w:val="auto"/>
        </w:rPr>
        <w:t xml:space="preserve"> The standard deviations are shown in brackets.</w:t>
      </w:r>
    </w:p>
    <w:tbl>
      <w:tblPr>
        <w:tblStyle w:val="TableGrid3"/>
        <w:tblW w:w="0" w:type="auto"/>
        <w:tblLook w:val="04A0" w:firstRow="1" w:lastRow="0" w:firstColumn="1" w:lastColumn="0" w:noHBand="0" w:noVBand="1"/>
      </w:tblPr>
      <w:tblGrid>
        <w:gridCol w:w="1223"/>
        <w:gridCol w:w="1197"/>
        <w:gridCol w:w="1197"/>
        <w:gridCol w:w="1197"/>
        <w:gridCol w:w="1233"/>
        <w:gridCol w:w="1197"/>
        <w:gridCol w:w="1250"/>
      </w:tblGrid>
      <w:tr w:rsidR="00F95D84" w:rsidRPr="00F95D84" w:rsidTr="00D30BFC">
        <w:tc>
          <w:tcPr>
            <w:tcW w:w="1275" w:type="dxa"/>
          </w:tcPr>
          <w:p w:rsidR="00F95D84" w:rsidRPr="00F95D84" w:rsidRDefault="00F95D84" w:rsidP="00900F2C">
            <w:pPr>
              <w:rPr>
                <w:rFonts w:ascii="Arial" w:eastAsia="Calibri" w:hAnsi="Arial" w:cs="Arial"/>
                <w:sz w:val="16"/>
                <w:szCs w:val="16"/>
              </w:rPr>
            </w:pPr>
          </w:p>
        </w:tc>
        <w:tc>
          <w:tcPr>
            <w:tcW w:w="1315"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Age</w:t>
            </w:r>
            <w:r w:rsidR="000379D3">
              <w:rPr>
                <w:rFonts w:ascii="Arial" w:eastAsia="Calibri" w:hAnsi="Arial" w:cs="Arial"/>
                <w:sz w:val="16"/>
                <w:szCs w:val="16"/>
              </w:rPr>
              <w:t xml:space="preserve"> (7.2)</w:t>
            </w:r>
          </w:p>
        </w:tc>
        <w:tc>
          <w:tcPr>
            <w:tcW w:w="1315"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Height</w:t>
            </w:r>
            <w:r w:rsidR="000379D3">
              <w:rPr>
                <w:rFonts w:ascii="Arial" w:eastAsia="Calibri" w:hAnsi="Arial" w:cs="Arial"/>
                <w:sz w:val="16"/>
                <w:szCs w:val="16"/>
              </w:rPr>
              <w:t xml:space="preserve"> (6.5)</w:t>
            </w:r>
          </w:p>
        </w:tc>
        <w:tc>
          <w:tcPr>
            <w:tcW w:w="1315"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Weight</w:t>
            </w:r>
            <w:r w:rsidR="000379D3">
              <w:rPr>
                <w:rFonts w:ascii="Arial" w:eastAsia="Calibri" w:hAnsi="Arial" w:cs="Arial"/>
                <w:sz w:val="16"/>
                <w:szCs w:val="16"/>
              </w:rPr>
              <w:t xml:space="preserve"> (67.2)</w:t>
            </w:r>
          </w:p>
        </w:tc>
        <w:tc>
          <w:tcPr>
            <w:tcW w:w="1346"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BMI</w:t>
            </w:r>
            <w:r w:rsidR="000379D3">
              <w:rPr>
                <w:rFonts w:ascii="Arial" w:eastAsia="Calibri" w:hAnsi="Arial" w:cs="Arial"/>
                <w:sz w:val="16"/>
                <w:szCs w:val="16"/>
              </w:rPr>
              <w:t xml:space="preserve"> (25.9)</w:t>
            </w:r>
          </w:p>
        </w:tc>
        <w:tc>
          <w:tcPr>
            <w:tcW w:w="1315"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Alcohol*</w:t>
            </w:r>
          </w:p>
        </w:tc>
        <w:tc>
          <w:tcPr>
            <w:tcW w:w="1361"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Smoking</w:t>
            </w:r>
            <w:r w:rsidRPr="00F95D84">
              <w:rPr>
                <w:rFonts w:ascii="Arial" w:eastAsia="Calibri" w:hAnsi="Arial" w:cs="Arial"/>
                <w:sz w:val="16"/>
                <w:szCs w:val="16"/>
                <w:vertAlign w:val="superscript"/>
              </w:rPr>
              <w:t>†</w:t>
            </w:r>
          </w:p>
        </w:tc>
      </w:tr>
      <w:tr w:rsidR="00D47827" w:rsidRPr="00F95D84" w:rsidTr="00D30BFC">
        <w:tc>
          <w:tcPr>
            <w:tcW w:w="1275" w:type="dxa"/>
          </w:tcPr>
          <w:p w:rsidR="00D47827" w:rsidRPr="00F95D84" w:rsidRDefault="00281464" w:rsidP="00900F2C">
            <w:pPr>
              <w:rPr>
                <w:rFonts w:ascii="Arial" w:eastAsia="Calibri" w:hAnsi="Arial" w:cs="Arial"/>
                <w:sz w:val="16"/>
                <w:szCs w:val="16"/>
              </w:rPr>
            </w:pPr>
            <w:r>
              <w:rPr>
                <w:rFonts w:ascii="Arial" w:eastAsia="Calibri" w:hAnsi="Arial" w:cs="Arial"/>
                <w:sz w:val="16"/>
                <w:szCs w:val="16"/>
              </w:rPr>
              <w:lastRenderedPageBreak/>
              <w:t xml:space="preserve">Serum </w:t>
            </w:r>
            <w:r w:rsidR="00D47827" w:rsidRPr="00F95D84">
              <w:rPr>
                <w:rFonts w:ascii="Arial" w:eastAsia="Calibri" w:hAnsi="Arial" w:cs="Arial"/>
                <w:sz w:val="16"/>
                <w:szCs w:val="16"/>
              </w:rPr>
              <w:t>CTX</w:t>
            </w:r>
            <w:r>
              <w:rPr>
                <w:rFonts w:ascii="Arial" w:eastAsia="Calibri" w:hAnsi="Arial" w:cs="Arial"/>
                <w:sz w:val="16"/>
                <w:szCs w:val="16"/>
              </w:rPr>
              <w:t>, ng/ml</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11.7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(8.1, 15.1)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P&lt;0.001</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(-22.7, 11.9)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P=0.445</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15.1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(-24.7, 75.8)</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P=0.515</w:t>
            </w:r>
          </w:p>
        </w:tc>
        <w:tc>
          <w:tcPr>
            <w:tcW w:w="1346"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-16.4</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(-43.8, 24.2)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P=0.374)</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3.3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(-13.5, 23.3)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P=0.726</w:t>
            </w:r>
          </w:p>
        </w:tc>
        <w:tc>
          <w:tcPr>
            <w:tcW w:w="1361"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19.7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(9.6, 30.3)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P&lt;0.001</w:t>
            </w:r>
          </w:p>
        </w:tc>
      </w:tr>
      <w:tr w:rsidR="00D47827" w:rsidRPr="00F95D84" w:rsidTr="00D30BFC">
        <w:tc>
          <w:tcPr>
            <w:tcW w:w="1275" w:type="dxa"/>
          </w:tcPr>
          <w:p w:rsidR="00D47827" w:rsidRPr="00F95D84" w:rsidRDefault="00281464" w:rsidP="00900F2C">
            <w:pPr>
              <w:rPr>
                <w:rFonts w:ascii="Arial" w:eastAsia="Calibri" w:hAnsi="Arial" w:cs="Arial"/>
                <w:sz w:val="16"/>
                <w:szCs w:val="16"/>
              </w:rPr>
            </w:pPr>
            <w:r>
              <w:rPr>
                <w:rFonts w:ascii="Arial" w:eastAsia="Calibri" w:hAnsi="Arial" w:cs="Arial"/>
                <w:sz w:val="16"/>
                <w:szCs w:val="16"/>
              </w:rPr>
              <w:t>Urine NTX, nmol BCE/mmol Cr</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6.7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(4.2, 9.1)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P&lt;0.001</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0.5</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(-12.3, 15.1)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P=0.952</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0.2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(-26.4, 36.5)</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P=0.990</w:t>
            </w:r>
          </w:p>
        </w:tc>
        <w:tc>
          <w:tcPr>
            <w:tcW w:w="1346"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-3.2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(-27.6, 29.4)</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P=0.829</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(-9.8, 16.9)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P=0.695</w:t>
            </w:r>
          </w:p>
        </w:tc>
        <w:tc>
          <w:tcPr>
            <w:tcW w:w="1361"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(1.2, 14.8)</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P=0.022</w:t>
            </w:r>
          </w:p>
        </w:tc>
      </w:tr>
      <w:tr w:rsidR="00D47827" w:rsidRPr="00F95D84" w:rsidTr="00D30BFC">
        <w:tc>
          <w:tcPr>
            <w:tcW w:w="1275" w:type="dxa"/>
          </w:tcPr>
          <w:p w:rsidR="00D47827" w:rsidRPr="00F95D84" w:rsidRDefault="00281464" w:rsidP="00900F2C">
            <w:pPr>
              <w:rPr>
                <w:rFonts w:ascii="Arial" w:eastAsia="Calibri" w:hAnsi="Arial" w:cs="Arial"/>
                <w:sz w:val="16"/>
                <w:szCs w:val="16"/>
              </w:rPr>
            </w:pPr>
            <w:r>
              <w:rPr>
                <w:rFonts w:ascii="Arial" w:eastAsia="Calibri" w:hAnsi="Arial" w:cs="Arial"/>
                <w:sz w:val="16"/>
                <w:szCs w:val="16"/>
              </w:rPr>
              <w:t xml:space="preserve">Serum </w:t>
            </w:r>
            <w:r w:rsidR="00D47827" w:rsidRPr="00F95D84">
              <w:rPr>
                <w:rFonts w:ascii="Arial" w:eastAsia="Calibri" w:hAnsi="Arial" w:cs="Arial"/>
                <w:sz w:val="16"/>
                <w:szCs w:val="16"/>
              </w:rPr>
              <w:t>PINP</w:t>
            </w:r>
            <w:r>
              <w:rPr>
                <w:rFonts w:ascii="Arial" w:eastAsia="Calibri" w:hAnsi="Arial" w:cs="Arial"/>
                <w:sz w:val="16"/>
                <w:szCs w:val="16"/>
              </w:rPr>
              <w:t>, ng/ml</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1.4</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(-1.1, 4.2)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P=0.273</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-14.1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(-26.0, 0.0)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P=0.050</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30.0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(-7.7, 83.2)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P=0.132</w:t>
            </w:r>
          </w:p>
        </w:tc>
        <w:tc>
          <w:tcPr>
            <w:tcW w:w="1346"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-24.0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(-44.9, 4.7)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P=0.094</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0.0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(-13.3, 15.6)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P=0.989</w:t>
            </w:r>
          </w:p>
        </w:tc>
        <w:tc>
          <w:tcPr>
            <w:tcW w:w="1361"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(0.2, 15.6)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P=0.046</w:t>
            </w:r>
          </w:p>
        </w:tc>
      </w:tr>
      <w:tr w:rsidR="00D47827" w:rsidRPr="00F95D84" w:rsidTr="00D30BFC">
        <w:tc>
          <w:tcPr>
            <w:tcW w:w="1275" w:type="dxa"/>
          </w:tcPr>
          <w:p w:rsidR="00D47827" w:rsidRPr="00F3359B" w:rsidRDefault="00281464" w:rsidP="00900F2C">
            <w:pPr>
              <w:rPr>
                <w:rFonts w:ascii="Arial" w:eastAsia="Calibri" w:hAnsi="Arial" w:cs="Arial"/>
                <w:sz w:val="16"/>
                <w:szCs w:val="16"/>
                <w:lang w:val="de-DE"/>
              </w:rPr>
            </w:pPr>
            <w:r w:rsidRPr="00F3359B">
              <w:rPr>
                <w:rFonts w:ascii="Arial" w:eastAsia="Calibri" w:hAnsi="Arial" w:cs="Arial"/>
                <w:sz w:val="16"/>
                <w:szCs w:val="16"/>
                <w:lang w:val="de-DE"/>
              </w:rPr>
              <w:t>Serum b</w:t>
            </w:r>
            <w:r w:rsidR="00D47827" w:rsidRPr="00F3359B">
              <w:rPr>
                <w:rFonts w:ascii="Arial" w:eastAsia="Calibri" w:hAnsi="Arial" w:cs="Arial"/>
                <w:sz w:val="16"/>
                <w:szCs w:val="16"/>
                <w:lang w:val="de-DE"/>
              </w:rPr>
              <w:t>one ALP</w:t>
            </w:r>
            <w:r w:rsidRPr="00F3359B">
              <w:rPr>
                <w:rFonts w:ascii="Arial" w:eastAsia="Calibri" w:hAnsi="Arial" w:cs="Arial"/>
                <w:sz w:val="16"/>
                <w:szCs w:val="16"/>
                <w:lang w:val="de-DE"/>
              </w:rPr>
              <w:t>, ng/ml</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(3.0, 6.7)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P&lt;0.001</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-6.7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(-15.7, 3.0)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P=0.168</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19.1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(-4.9, 49.3)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P=0.131</w:t>
            </w:r>
          </w:p>
        </w:tc>
        <w:tc>
          <w:tcPr>
            <w:tcW w:w="1346"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-10.9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(-27.9, 1.0)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P=0.287</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-5.4</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(-13.9, 4.0)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P0.252</w:t>
            </w:r>
          </w:p>
        </w:tc>
        <w:tc>
          <w:tcPr>
            <w:tcW w:w="1361"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6.9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(2.1, 12.2)</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P=0.004</w:t>
            </w:r>
          </w:p>
        </w:tc>
      </w:tr>
      <w:tr w:rsidR="00D47827" w:rsidRPr="00F95D84" w:rsidTr="00D30BFC">
        <w:tc>
          <w:tcPr>
            <w:tcW w:w="1275" w:type="dxa"/>
          </w:tcPr>
          <w:p w:rsidR="00D47827" w:rsidRPr="00F95D84" w:rsidRDefault="00281464" w:rsidP="00900F2C">
            <w:pPr>
              <w:rPr>
                <w:rFonts w:ascii="Arial" w:eastAsia="Calibri" w:hAnsi="Arial" w:cs="Arial"/>
                <w:sz w:val="16"/>
                <w:szCs w:val="16"/>
              </w:rPr>
            </w:pPr>
            <w:r>
              <w:rPr>
                <w:rFonts w:ascii="Arial" w:eastAsia="Calibri" w:hAnsi="Arial" w:cs="Arial"/>
                <w:sz w:val="16"/>
                <w:szCs w:val="16"/>
              </w:rPr>
              <w:t>Serum osteocalcin, ng/ml</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(5.9, 9.9)</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P&lt;0.001</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-11.1</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(-20.6, -0.7)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P=0.038</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30.3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(1.2, 68.3)</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P=0.040</w:t>
            </w:r>
          </w:p>
        </w:tc>
        <w:tc>
          <w:tcPr>
            <w:tcW w:w="1346"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-25.0</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(-40.8, -4.7)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P=0.018</w:t>
            </w:r>
          </w:p>
        </w:tc>
        <w:tc>
          <w:tcPr>
            <w:tcW w:w="1315"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-10.5</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(-19.3, -0.5)</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P=0.040</w:t>
            </w:r>
          </w:p>
        </w:tc>
        <w:tc>
          <w:tcPr>
            <w:tcW w:w="1361" w:type="dxa"/>
          </w:tcPr>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-2.7</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(-7.5, 2.6)</w:t>
            </w:r>
          </w:p>
          <w:p w:rsidR="00D47827" w:rsidRPr="00F95D84" w:rsidRDefault="00D47827" w:rsidP="00900F2C">
            <w:pPr>
              <w:rPr>
                <w:rFonts w:ascii="Arial" w:eastAsia="Calibri" w:hAnsi="Arial" w:cs="Arial"/>
                <w:sz w:val="16"/>
                <w:szCs w:val="16"/>
              </w:rPr>
            </w:pPr>
            <w:r w:rsidRPr="00F95D84">
              <w:rPr>
                <w:rFonts w:ascii="Arial" w:eastAsia="Calibri" w:hAnsi="Arial" w:cs="Arial"/>
                <w:sz w:val="16"/>
                <w:szCs w:val="16"/>
              </w:rPr>
              <w:t>P=0.315</w:t>
            </w:r>
          </w:p>
        </w:tc>
      </w:tr>
    </w:tbl>
    <w:p w:rsidR="00D47827" w:rsidRDefault="00D47827" w:rsidP="005354D9">
      <w:pPr>
        <w:jc w:val="both"/>
        <w:rPr>
          <w:rFonts w:ascii="Arial" w:hAnsi="Arial" w:cs="Arial"/>
          <w:sz w:val="18"/>
          <w:szCs w:val="18"/>
        </w:rPr>
      </w:pPr>
      <w:r w:rsidRPr="00D47827">
        <w:rPr>
          <w:rFonts w:ascii="Arial" w:hAnsi="Arial" w:cs="Arial"/>
          <w:sz w:val="18"/>
          <w:szCs w:val="18"/>
        </w:rPr>
        <w:t>* For alcohol consumption the values show the percentage change in the geometric mean of the BTM of those who consume &lt;14 units compared to those who consume ≥14 units per week. A positive value shows an increase in the geometric mean of the BTM for those who consume ≥14 units.</w:t>
      </w:r>
    </w:p>
    <w:p w:rsidR="00D47827" w:rsidRDefault="00D47827" w:rsidP="005354D9">
      <w:pPr>
        <w:jc w:val="both"/>
        <w:rPr>
          <w:rFonts w:ascii="Arial" w:hAnsi="Arial" w:cs="Arial"/>
          <w:sz w:val="18"/>
          <w:szCs w:val="18"/>
        </w:rPr>
      </w:pPr>
      <w:r>
        <w:rPr>
          <w:rFonts w:ascii="Arial" w:hAnsi="Arial" w:cs="Arial"/>
          <w:sz w:val="18"/>
          <w:szCs w:val="18"/>
        </w:rPr>
        <w:t xml:space="preserve">† For smoking the values show the percentage change in the geometric mean of those women who do not currently smoke compared to those who do currently smoke. A positive value shows an increase in the geometric mean of the BTM for those who currently smoke.  </w:t>
      </w:r>
    </w:p>
    <w:p w:rsidR="00281464" w:rsidRPr="00281464" w:rsidRDefault="00281464" w:rsidP="005354D9">
      <w:pPr>
        <w:pStyle w:val="Caption"/>
        <w:keepNext/>
        <w:jc w:val="both"/>
        <w:rPr>
          <w:rFonts w:ascii="Arial" w:hAnsi="Arial" w:cs="Arial"/>
          <w:b w:val="0"/>
          <w:color w:val="auto"/>
        </w:rPr>
      </w:pPr>
      <w:bookmarkStart w:id="132" w:name="_Toc424043691"/>
      <w:r w:rsidRPr="00281464">
        <w:rPr>
          <w:rFonts w:ascii="Arial" w:hAnsi="Arial" w:cs="Arial"/>
          <w:b w:val="0"/>
          <w:color w:val="auto"/>
        </w:rPr>
        <w:t xml:space="preserve">Table </w:t>
      </w:r>
      <w:r w:rsidRPr="00281464">
        <w:rPr>
          <w:rFonts w:ascii="Arial" w:hAnsi="Arial" w:cs="Arial"/>
          <w:b w:val="0"/>
          <w:color w:val="auto"/>
        </w:rPr>
        <w:fldChar w:fldCharType="begin"/>
      </w:r>
      <w:r w:rsidRPr="00281464">
        <w:rPr>
          <w:rFonts w:ascii="Arial" w:hAnsi="Arial" w:cs="Arial"/>
          <w:b w:val="0"/>
          <w:color w:val="auto"/>
        </w:rPr>
        <w:instrText xml:space="preserve"> SEQ Table \* ARABIC </w:instrText>
      </w:r>
      <w:r w:rsidRPr="00281464">
        <w:rPr>
          <w:rFonts w:ascii="Arial" w:hAnsi="Arial" w:cs="Arial"/>
          <w:b w:val="0"/>
          <w:color w:val="auto"/>
        </w:rPr>
        <w:fldChar w:fldCharType="separate"/>
      </w:r>
      <w:r w:rsidR="00DD116A">
        <w:rPr>
          <w:rFonts w:ascii="Arial" w:hAnsi="Arial" w:cs="Arial"/>
          <w:b w:val="0"/>
          <w:noProof/>
          <w:color w:val="auto"/>
        </w:rPr>
        <w:t>17</w:t>
      </w:r>
      <w:r w:rsidRPr="00281464">
        <w:rPr>
          <w:rFonts w:ascii="Arial" w:hAnsi="Arial" w:cs="Arial"/>
          <w:b w:val="0"/>
          <w:color w:val="auto"/>
        </w:rPr>
        <w:fldChar w:fldCharType="end"/>
      </w:r>
      <w:r w:rsidRPr="00281464">
        <w:rPr>
          <w:rFonts w:ascii="Arial" w:hAnsi="Arial" w:cs="Arial"/>
          <w:b w:val="0"/>
          <w:color w:val="auto"/>
        </w:rPr>
        <w:t xml:space="preserve">: </w:t>
      </w:r>
      <w:r w:rsidR="008D6DBE">
        <w:rPr>
          <w:rFonts w:ascii="Arial" w:hAnsi="Arial" w:cs="Arial"/>
          <w:b w:val="0"/>
          <w:color w:val="auto"/>
        </w:rPr>
        <w:t>Univariate analyses analyses for assessing t</w:t>
      </w:r>
      <w:r w:rsidRPr="00281464">
        <w:rPr>
          <w:rFonts w:ascii="Arial" w:hAnsi="Arial" w:cs="Arial"/>
          <w:b w:val="0"/>
          <w:color w:val="auto"/>
        </w:rPr>
        <w:t>he effect of geographical location on BTMs in healthy postmenopausal women. The geometric mean and 95% confidence intervals for each BTM by centre is shown. For PINP the median and approximate 95% confidence intervals are shown.</w:t>
      </w:r>
      <w:bookmarkEnd w:id="132"/>
    </w:p>
    <w:tbl>
      <w:tblPr>
        <w:tblStyle w:val="TableGrid2"/>
        <w:tblW w:w="0" w:type="auto"/>
        <w:tblLook w:val="04A0" w:firstRow="1" w:lastRow="0" w:firstColumn="1" w:lastColumn="0" w:noHBand="0" w:noVBand="1"/>
      </w:tblPr>
      <w:tblGrid>
        <w:gridCol w:w="1446"/>
        <w:gridCol w:w="1446"/>
        <w:gridCol w:w="1489"/>
        <w:gridCol w:w="1371"/>
        <w:gridCol w:w="1371"/>
        <w:gridCol w:w="1371"/>
      </w:tblGrid>
      <w:tr w:rsidR="00F95D84" w:rsidRPr="00F95D84" w:rsidTr="00F95D84">
        <w:tc>
          <w:tcPr>
            <w:tcW w:w="1527" w:type="dxa"/>
          </w:tcPr>
          <w:p w:rsidR="00F95D84" w:rsidRPr="00F95D84" w:rsidRDefault="00F95D84" w:rsidP="00900F2C">
            <w:pPr>
              <w:rPr>
                <w:rFonts w:ascii="Arial" w:eastAsia="Calibri" w:hAnsi="Arial" w:cs="Arial"/>
                <w:sz w:val="16"/>
                <w:szCs w:val="16"/>
              </w:rPr>
            </w:pPr>
          </w:p>
        </w:tc>
        <w:tc>
          <w:tcPr>
            <w:tcW w:w="1574"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Sheffield</w:t>
            </w:r>
          </w:p>
        </w:tc>
        <w:tc>
          <w:tcPr>
            <w:tcW w:w="1611"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Aberdeen</w:t>
            </w:r>
          </w:p>
        </w:tc>
        <w:tc>
          <w:tcPr>
            <w:tcW w:w="1510"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Berlin</w:t>
            </w:r>
          </w:p>
        </w:tc>
        <w:tc>
          <w:tcPr>
            <w:tcW w:w="1510"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Kiel</w:t>
            </w:r>
          </w:p>
        </w:tc>
        <w:tc>
          <w:tcPr>
            <w:tcW w:w="1510" w:type="dxa"/>
          </w:tcPr>
          <w:p w:rsidR="00F95D84" w:rsidRPr="00F95D84" w:rsidRDefault="00F95D84" w:rsidP="00900F2C">
            <w:pPr>
              <w:rPr>
                <w:rFonts w:ascii="Arial" w:eastAsia="Calibri" w:hAnsi="Arial" w:cs="Arial"/>
                <w:sz w:val="16"/>
                <w:szCs w:val="16"/>
              </w:rPr>
            </w:pPr>
            <w:r w:rsidRPr="00F95D84">
              <w:rPr>
                <w:rFonts w:ascii="Arial" w:eastAsia="Calibri" w:hAnsi="Arial" w:cs="Arial"/>
                <w:sz w:val="16"/>
                <w:szCs w:val="16"/>
              </w:rPr>
              <w:t>Paris</w:t>
            </w:r>
          </w:p>
        </w:tc>
      </w:tr>
      <w:tr w:rsidR="00223B4D" w:rsidRPr="00F95D84" w:rsidTr="00F95D84">
        <w:tc>
          <w:tcPr>
            <w:tcW w:w="1527" w:type="dxa"/>
          </w:tcPr>
          <w:p w:rsidR="00223B4D" w:rsidRPr="00F95D84" w:rsidRDefault="00223B4D"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1574"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0.33</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(0.30, 0.36)</w:t>
            </w:r>
          </w:p>
        </w:tc>
        <w:tc>
          <w:tcPr>
            <w:tcW w:w="1611"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0.29</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(0.25, 0.34)</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0.35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(0.29, 0.42)</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0.29</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(0.25, 0.33)</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0.32</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(0.27, 0.39)</w:t>
            </w:r>
          </w:p>
        </w:tc>
      </w:tr>
      <w:tr w:rsidR="00223B4D" w:rsidRPr="00F95D84" w:rsidTr="00F95D84">
        <w:tc>
          <w:tcPr>
            <w:tcW w:w="1527" w:type="dxa"/>
          </w:tcPr>
          <w:p w:rsidR="00223B4D" w:rsidRPr="00F95D84" w:rsidRDefault="00223B4D" w:rsidP="00900F2C">
            <w:pPr>
              <w:rPr>
                <w:rFonts w:ascii="Arial" w:eastAsia="Calibri" w:hAnsi="Arial" w:cs="Arial"/>
                <w:sz w:val="16"/>
                <w:szCs w:val="16"/>
              </w:rPr>
            </w:pPr>
            <w:r>
              <w:rPr>
                <w:rFonts w:ascii="Arial" w:eastAsia="Calibri" w:hAnsi="Arial" w:cs="Arial"/>
                <w:sz w:val="16"/>
                <w:szCs w:val="16"/>
              </w:rPr>
              <w:t>Urine NTX, nmol BCE/mmol Cr</w:t>
            </w:r>
          </w:p>
        </w:tc>
        <w:tc>
          <w:tcPr>
            <w:tcW w:w="1574"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49.85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(45.90, 54.14)</w:t>
            </w:r>
          </w:p>
        </w:tc>
        <w:tc>
          <w:tcPr>
            <w:tcW w:w="1611"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48.93</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(43.54, 54.98)</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49.52</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(43.48, 56.40)</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52.52</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(47.89, 57.60)</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44.95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(38.74, 52.14)</w:t>
            </w:r>
          </w:p>
        </w:tc>
      </w:tr>
      <w:tr w:rsidR="00223B4D" w:rsidRPr="00F95D84" w:rsidTr="00F95D84">
        <w:tc>
          <w:tcPr>
            <w:tcW w:w="1527" w:type="dxa"/>
          </w:tcPr>
          <w:p w:rsidR="00223B4D" w:rsidRPr="00F95D84" w:rsidRDefault="00223B4D"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PINP</w:t>
            </w:r>
            <w:r>
              <w:rPr>
                <w:rFonts w:ascii="Arial" w:eastAsia="Calibri" w:hAnsi="Arial" w:cs="Arial"/>
                <w:sz w:val="16"/>
                <w:szCs w:val="16"/>
              </w:rPr>
              <w:t>, ng/ml</w:t>
            </w:r>
          </w:p>
        </w:tc>
        <w:tc>
          <w:tcPr>
            <w:tcW w:w="1574"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40.20</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(37.04, 42.89)</w:t>
            </w:r>
          </w:p>
        </w:tc>
        <w:tc>
          <w:tcPr>
            <w:tcW w:w="1611"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44.33</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(37.04, 42.89)</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36.95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(32.27, 44.54)</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41.94</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(36.67, 49.76)</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50.34,</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(33.89, 55.53)</w:t>
            </w:r>
          </w:p>
        </w:tc>
      </w:tr>
      <w:tr w:rsidR="00223B4D" w:rsidRPr="00F95D84" w:rsidTr="00F95D84">
        <w:tc>
          <w:tcPr>
            <w:tcW w:w="1527" w:type="dxa"/>
          </w:tcPr>
          <w:p w:rsidR="00223B4D" w:rsidRPr="00F3359B" w:rsidRDefault="00223B4D"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1574"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13.75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(12.90, 14.66)</w:t>
            </w:r>
          </w:p>
        </w:tc>
        <w:tc>
          <w:tcPr>
            <w:tcW w:w="1611"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13.73</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(12.53, 15.03)</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14.34</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(12.29, 15.47)</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14.35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(13.31, 15.48)</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15.55</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(13.76, 17.58)</w:t>
            </w:r>
          </w:p>
        </w:tc>
      </w:tr>
      <w:tr w:rsidR="00223B4D" w:rsidRPr="00F95D84" w:rsidTr="00F95D84">
        <w:tc>
          <w:tcPr>
            <w:tcW w:w="1527" w:type="dxa"/>
          </w:tcPr>
          <w:p w:rsidR="00223B4D" w:rsidRPr="00F95D84" w:rsidRDefault="00223B4D" w:rsidP="00900F2C">
            <w:pPr>
              <w:rPr>
                <w:rFonts w:ascii="Arial" w:eastAsia="Calibri" w:hAnsi="Arial" w:cs="Arial"/>
                <w:sz w:val="16"/>
                <w:szCs w:val="16"/>
              </w:rPr>
            </w:pPr>
            <w:r>
              <w:rPr>
                <w:rFonts w:ascii="Arial" w:eastAsia="Calibri" w:hAnsi="Arial" w:cs="Arial"/>
                <w:sz w:val="16"/>
                <w:szCs w:val="16"/>
              </w:rPr>
              <w:t>Serum osteocalcin, ng/ml</w:t>
            </w:r>
          </w:p>
        </w:tc>
        <w:tc>
          <w:tcPr>
            <w:tcW w:w="1574"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24.36</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(22.97, 25.84)</w:t>
            </w:r>
          </w:p>
        </w:tc>
        <w:tc>
          <w:tcPr>
            <w:tcW w:w="1611"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27.11</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(24.81, 29.63)</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24.47</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(22.04, 27.18)</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22.58</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(20.99, 24.31)</w:t>
            </w:r>
          </w:p>
        </w:tc>
        <w:tc>
          <w:tcPr>
            <w:tcW w:w="1510" w:type="dxa"/>
          </w:tcPr>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24.29</w:t>
            </w:r>
          </w:p>
          <w:p w:rsidR="00223B4D" w:rsidRPr="00F95D84" w:rsidRDefault="00223B4D" w:rsidP="00900F2C">
            <w:pPr>
              <w:rPr>
                <w:rFonts w:ascii="Arial" w:eastAsia="Calibri" w:hAnsi="Arial" w:cs="Arial"/>
                <w:sz w:val="16"/>
                <w:szCs w:val="16"/>
              </w:rPr>
            </w:pPr>
            <w:r w:rsidRPr="00F95D84">
              <w:rPr>
                <w:rFonts w:ascii="Arial" w:eastAsia="Calibri" w:hAnsi="Arial" w:cs="Arial"/>
                <w:sz w:val="16"/>
                <w:szCs w:val="16"/>
              </w:rPr>
              <w:t>(21.95, 26.88)</w:t>
            </w:r>
          </w:p>
        </w:tc>
      </w:tr>
    </w:tbl>
    <w:p w:rsidR="00F95D84" w:rsidRPr="00F95D84" w:rsidRDefault="00F95D84" w:rsidP="00900F2C">
      <w:pPr>
        <w:rPr>
          <w:rFonts w:ascii="TUOS Blake" w:eastAsia="Calibri" w:hAnsi="TUOS Blake" w:cs="Times New Roman"/>
          <w:szCs w:val="24"/>
        </w:rPr>
      </w:pPr>
    </w:p>
    <w:p w:rsidR="009C11D4" w:rsidRDefault="002109E4" w:rsidP="005354D9">
      <w:pPr>
        <w:pStyle w:val="Heading2"/>
        <w:jc w:val="both"/>
      </w:pPr>
      <w:bookmarkStart w:id="133" w:name="_Toc425418923"/>
      <w:r>
        <w:t>Discussions</w:t>
      </w:r>
      <w:bookmarkEnd w:id="133"/>
    </w:p>
    <w:p w:rsidR="00B332A2" w:rsidRPr="00594340" w:rsidRDefault="00B332A2" w:rsidP="003B725E">
      <w:pPr>
        <w:spacing w:line="360" w:lineRule="auto"/>
        <w:jc w:val="both"/>
        <w:rPr>
          <w:rFonts w:ascii="Arial" w:hAnsi="Arial" w:cs="Arial"/>
        </w:rPr>
      </w:pPr>
      <w:r w:rsidRPr="00594340">
        <w:rPr>
          <w:rFonts w:ascii="Arial" w:hAnsi="Arial" w:cs="Arial"/>
        </w:rPr>
        <w:t xml:space="preserve">Reference intervals have been established for several clinically relevant bone resorption and formation markers in healthy postmenopausal women. Here I have identified and used a large well-characterized healthy population that will be useful to clinicians to help identify patients who may have secondary osteoporosis. In a previous study based on a cohort of Spanish postmenopausal women reference intervals for CTX and PINP have been established </w:t>
      </w:r>
      <w:r w:rsidRPr="00594340">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Pr="00594340">
        <w:rPr>
          <w:rFonts w:ascii="Arial" w:hAnsi="Arial" w:cs="Arial"/>
        </w:rPr>
      </w:r>
      <w:r w:rsidRPr="00594340">
        <w:rPr>
          <w:rFonts w:ascii="Arial" w:hAnsi="Arial" w:cs="Arial"/>
        </w:rPr>
        <w:fldChar w:fldCharType="separate"/>
      </w:r>
      <w:r w:rsidR="00B64C0F">
        <w:rPr>
          <w:rFonts w:ascii="Arial" w:hAnsi="Arial" w:cs="Arial"/>
          <w:noProof/>
        </w:rPr>
        <w:t>(</w:t>
      </w:r>
      <w:hyperlink w:anchor="_ENREF_369" w:tooltip="Martinez, 2009 #171" w:history="1">
        <w:r w:rsidR="003B725E">
          <w:rPr>
            <w:rFonts w:ascii="Arial" w:hAnsi="Arial" w:cs="Arial"/>
            <w:noProof/>
          </w:rPr>
          <w:t>369</w:t>
        </w:r>
      </w:hyperlink>
      <w:r w:rsidR="00B64C0F">
        <w:rPr>
          <w:rFonts w:ascii="Arial" w:hAnsi="Arial" w:cs="Arial"/>
          <w:noProof/>
        </w:rPr>
        <w:t>)</w:t>
      </w:r>
      <w:r w:rsidRPr="00594340">
        <w:rPr>
          <w:rFonts w:ascii="Arial" w:hAnsi="Arial" w:cs="Arial"/>
        </w:rPr>
        <w:fldChar w:fldCharType="end"/>
      </w:r>
      <w:r w:rsidRPr="00594340">
        <w:rPr>
          <w:rFonts w:ascii="Arial" w:hAnsi="Arial" w:cs="Arial"/>
        </w:rPr>
        <w:t xml:space="preserve"> and these are comparable to the OPUS cohort. </w:t>
      </w:r>
    </w:p>
    <w:p w:rsidR="00B332A2" w:rsidRPr="00594340" w:rsidRDefault="00B332A2" w:rsidP="003B725E">
      <w:pPr>
        <w:spacing w:line="360" w:lineRule="auto"/>
        <w:jc w:val="both"/>
        <w:rPr>
          <w:rFonts w:ascii="Arial" w:hAnsi="Arial" w:cs="Arial"/>
        </w:rPr>
      </w:pPr>
      <w:r w:rsidRPr="00594340">
        <w:rPr>
          <w:rFonts w:ascii="Arial" w:hAnsi="Arial" w:cs="Arial"/>
        </w:rPr>
        <w:t>Several diseases and treatments influence BTMs in older women. Osteoporosis was associated</w:t>
      </w:r>
      <w:r w:rsidR="005C0E34">
        <w:rPr>
          <w:rFonts w:ascii="Arial" w:hAnsi="Arial" w:cs="Arial"/>
        </w:rPr>
        <w:t xml:space="preserve"> </w:t>
      </w:r>
      <w:r w:rsidRPr="00594340">
        <w:rPr>
          <w:rFonts w:ascii="Arial" w:hAnsi="Arial" w:cs="Arial"/>
        </w:rPr>
        <w:t>with higher BT</w:t>
      </w:r>
      <w:r w:rsidR="003A6DB1">
        <w:rPr>
          <w:rFonts w:ascii="Arial" w:hAnsi="Arial" w:cs="Arial"/>
        </w:rPr>
        <w:t>Ms and anti</w:t>
      </w:r>
      <w:r w:rsidRPr="00594340">
        <w:rPr>
          <w:rFonts w:ascii="Arial" w:hAnsi="Arial" w:cs="Arial"/>
        </w:rPr>
        <w:t xml:space="preserve">resorptive treatments with lower BTMs. The decrease in BTMs following antiresorptive treatments has been well documented, reflecting the inhibition of osteoclasts activity </w:t>
      </w:r>
      <w:r w:rsidRPr="00594340">
        <w:rPr>
          <w:rFonts w:ascii="Arial" w:hAnsi="Arial" w:cs="Arial"/>
        </w:rPr>
        <w:fldChar w:fldCharType="begin">
          <w:fldData xml:space="preserve">PEVuZE5vdGU+PENpdGU+PEF1dGhvcj5FYXN0ZWxsPC9BdXRob3I+PFllYXI+MjAwMzwvWWVhcj48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PC9hbHQtcGVyaW9kaWNhbD48cGFnZXM+MTA1MS02PC9wYWdlcz48dm9sdW1lPjE4PC92b2x1bWU+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aDwvYWJici0xPjwvcGVyaW9kaWNhbD48YWx0LXBlcmlvZGljYWw+PGZ1bGwtdGl0bGU+SiBCb25l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PEVuZE5vdGU+PENpdGU+PEF1dGhvcj5FYXN0ZWxsPC9BdXRob3I+PFllYXI+MjAwMzwvWWVhcj48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PC9hbHQtcGVyaW9kaWNhbD48cGFnZXM+MTA1MS02PC9wYWdlcz48dm9sdW1lPjE4PC92b2x1bWU+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aDwvYWJici0xPjwvcGVyaW9kaWNhbD48YWx0LXBlcmlvZGljYWw+PGZ1bGwtdGl0bGU+SiBCb25l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594340">
        <w:rPr>
          <w:rFonts w:ascii="Arial" w:hAnsi="Arial" w:cs="Arial"/>
        </w:rPr>
      </w:r>
      <w:r w:rsidRPr="00594340">
        <w:rPr>
          <w:rFonts w:ascii="Arial" w:hAnsi="Arial" w:cs="Arial"/>
        </w:rPr>
        <w:fldChar w:fldCharType="separate"/>
      </w:r>
      <w:r w:rsidR="000D155C">
        <w:rPr>
          <w:rFonts w:ascii="Arial" w:hAnsi="Arial" w:cs="Arial"/>
          <w:noProof/>
        </w:rPr>
        <w:t>(</w:t>
      </w:r>
      <w:hyperlink w:anchor="_ENREF_310" w:tooltip="Eastell, 2003 #170" w:history="1">
        <w:r w:rsidR="003B725E">
          <w:rPr>
            <w:rFonts w:ascii="Arial" w:hAnsi="Arial" w:cs="Arial"/>
            <w:noProof/>
          </w:rPr>
          <w:t>310</w:t>
        </w:r>
      </w:hyperlink>
      <w:proofErr w:type="gramStart"/>
      <w:r w:rsidR="000D155C">
        <w:rPr>
          <w:rFonts w:ascii="Arial" w:hAnsi="Arial" w:cs="Arial"/>
          <w:noProof/>
        </w:rPr>
        <w:t xml:space="preserve">, </w:t>
      </w:r>
      <w:hyperlink w:anchor="_ENREF_316" w:tooltip="Bauer, 2006 #181" w:history="1">
        <w:r w:rsidR="003B725E">
          <w:rPr>
            <w:rFonts w:ascii="Arial" w:hAnsi="Arial" w:cs="Arial"/>
            <w:noProof/>
          </w:rPr>
          <w:t>316</w:t>
        </w:r>
      </w:hyperlink>
      <w:r w:rsidR="000D155C">
        <w:rPr>
          <w:rFonts w:ascii="Arial" w:hAnsi="Arial" w:cs="Arial"/>
          <w:noProof/>
        </w:rPr>
        <w:t>,</w:t>
      </w:r>
      <w:proofErr w:type="gramEnd"/>
      <w:r w:rsidR="000D155C">
        <w:rPr>
          <w:rFonts w:ascii="Arial" w:hAnsi="Arial" w:cs="Arial"/>
          <w:noProof/>
        </w:rPr>
        <w:t xml:space="preserve"> </w:t>
      </w:r>
      <w:hyperlink w:anchor="_ENREF_384" w:tooltip="Rosen, 1994 #188" w:history="1">
        <w:r w:rsidR="003B725E">
          <w:rPr>
            <w:rFonts w:ascii="Arial" w:hAnsi="Arial" w:cs="Arial"/>
            <w:noProof/>
          </w:rPr>
          <w:t>384</w:t>
        </w:r>
      </w:hyperlink>
      <w:r w:rsidR="000D155C">
        <w:rPr>
          <w:rFonts w:ascii="Arial" w:hAnsi="Arial" w:cs="Arial"/>
          <w:noProof/>
        </w:rPr>
        <w:t>)</w:t>
      </w:r>
      <w:r w:rsidRPr="00594340">
        <w:rPr>
          <w:rFonts w:ascii="Arial" w:hAnsi="Arial" w:cs="Arial"/>
        </w:rPr>
        <w:fldChar w:fldCharType="end"/>
      </w:r>
      <w:r w:rsidRPr="00594340">
        <w:rPr>
          <w:rFonts w:ascii="Arial" w:hAnsi="Arial" w:cs="Arial"/>
        </w:rPr>
        <w:t>. There is a decrease in CTX and NTX within weeks after bisphosphonate treatment and is followed by a decrease in bone formation markers.</w:t>
      </w:r>
    </w:p>
    <w:p w:rsidR="00B332A2" w:rsidRPr="00594340" w:rsidRDefault="00B332A2" w:rsidP="003B725E">
      <w:pPr>
        <w:spacing w:line="360" w:lineRule="auto"/>
        <w:jc w:val="both"/>
        <w:rPr>
          <w:rFonts w:ascii="Arial" w:hAnsi="Arial" w:cs="Arial"/>
        </w:rPr>
      </w:pPr>
      <w:r w:rsidRPr="00594340">
        <w:rPr>
          <w:rFonts w:ascii="Arial" w:hAnsi="Arial" w:cs="Arial"/>
        </w:rPr>
        <w:t xml:space="preserve">Bone turnover markers are high in patients with vitamin D deficiency, mainly as a result of high PTH levels </w:t>
      </w:r>
      <w:r w:rsidRPr="00594340">
        <w:rPr>
          <w:rFonts w:ascii="Arial" w:hAnsi="Arial" w:cs="Arial"/>
        </w:rPr>
        <w:fldChar w:fldCharType="begin">
          <w:fldData xml:space="preserve">PEVuZE5vdGU+PENpdGU+PEF1dGhvcj5TYWhvdGE8L0F1dGhvcj48WWVhcj4yMDA0PC9ZZWFyPjxS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PEVuZE5vdGU+PENpdGU+PEF1dGhvcj5TYWhvdGE8L0F1dGhvcj48WWVhcj4yMDA0PC9ZZWFyPjxS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Pr="00594340">
        <w:rPr>
          <w:rFonts w:ascii="Arial" w:hAnsi="Arial" w:cs="Arial"/>
        </w:rPr>
      </w:r>
      <w:r w:rsidRPr="00594340">
        <w:rPr>
          <w:rFonts w:ascii="Arial" w:hAnsi="Arial" w:cs="Arial"/>
        </w:rPr>
        <w:fldChar w:fldCharType="separate"/>
      </w:r>
      <w:r w:rsidR="00B64C0F">
        <w:rPr>
          <w:rFonts w:ascii="Arial" w:hAnsi="Arial" w:cs="Arial"/>
          <w:noProof/>
        </w:rPr>
        <w:t>(</w:t>
      </w:r>
      <w:hyperlink w:anchor="_ENREF_374" w:tooltip="Sahota, 2004 #176" w:history="1">
        <w:r w:rsidR="003B725E">
          <w:rPr>
            <w:rFonts w:ascii="Arial" w:hAnsi="Arial" w:cs="Arial"/>
            <w:noProof/>
          </w:rPr>
          <w:t>374</w:t>
        </w:r>
      </w:hyperlink>
      <w:r w:rsidR="00B64C0F">
        <w:rPr>
          <w:rFonts w:ascii="Arial" w:hAnsi="Arial" w:cs="Arial"/>
          <w:noProof/>
        </w:rPr>
        <w:t>)</w:t>
      </w:r>
      <w:r w:rsidRPr="00594340">
        <w:rPr>
          <w:rFonts w:ascii="Arial" w:hAnsi="Arial" w:cs="Arial"/>
        </w:rPr>
        <w:fldChar w:fldCharType="end"/>
      </w:r>
      <w:r w:rsidRPr="00594340">
        <w:rPr>
          <w:rFonts w:ascii="Arial" w:hAnsi="Arial" w:cs="Arial"/>
        </w:rPr>
        <w:t xml:space="preserve">. Osteocalcin levels are high in patients with CKD, this is consistent with previous work and may be related to decreased renal clearance and </w:t>
      </w:r>
      <w:r w:rsidRPr="00594340">
        <w:rPr>
          <w:rFonts w:ascii="Arial" w:hAnsi="Arial" w:cs="Arial"/>
        </w:rPr>
        <w:lastRenderedPageBreak/>
        <w:t xml:space="preserve">increased bone metabolism (30).  Magnusson et al </w:t>
      </w:r>
      <w:r w:rsidR="00463032">
        <w:rPr>
          <w:rFonts w:ascii="Arial" w:hAnsi="Arial" w:cs="Arial"/>
        </w:rPr>
        <w:t xml:space="preserve">2007, </w:t>
      </w:r>
      <w:r w:rsidRPr="00594340">
        <w:rPr>
          <w:rFonts w:ascii="Arial" w:hAnsi="Arial" w:cs="Arial"/>
        </w:rPr>
        <w:t>have also shown elevated levels of other BTMs cleared by renal filtration i.e. CTX and ICTP in patients with chronic renal failure</w:t>
      </w:r>
      <w:r w:rsidR="00463032">
        <w:rPr>
          <w:rFonts w:ascii="Arial" w:hAnsi="Arial" w:cs="Arial"/>
        </w:rPr>
        <w:t xml:space="preserve">, </w:t>
      </w:r>
      <w:r w:rsidR="00463032">
        <w:rPr>
          <w:rFonts w:ascii="Arial" w:hAnsi="Arial" w:cs="Arial"/>
        </w:rPr>
        <w:fldChar w:fldCharType="begin">
          <w:fldData xml:space="preserve">PEVuZE5vdGU+PENpdGU+PEF1dGhvcj5NYWdudXNzb248L0F1dGhvcj48WWVhcj4yMDAxPC9ZZWFy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=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PEVuZE5vdGU+PENpdGU+PEF1dGhvcj5NYWdudXNzb248L0F1dGhvcj48WWVhcj4yMDAxPC9ZZWFy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=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463032">
        <w:rPr>
          <w:rFonts w:ascii="Arial" w:hAnsi="Arial" w:cs="Arial"/>
        </w:rPr>
      </w:r>
      <w:r w:rsidR="00463032">
        <w:rPr>
          <w:rFonts w:ascii="Arial" w:hAnsi="Arial" w:cs="Arial"/>
        </w:rPr>
        <w:fldChar w:fldCharType="separate"/>
      </w:r>
      <w:r w:rsidR="00B64C0F">
        <w:rPr>
          <w:rFonts w:ascii="Arial" w:hAnsi="Arial" w:cs="Arial"/>
          <w:noProof/>
        </w:rPr>
        <w:t>(</w:t>
      </w:r>
      <w:hyperlink w:anchor="_ENREF_376" w:tooltip="Magnusson, 2001 #178" w:history="1">
        <w:r w:rsidR="003B725E">
          <w:rPr>
            <w:rFonts w:ascii="Arial" w:hAnsi="Arial" w:cs="Arial"/>
            <w:noProof/>
          </w:rPr>
          <w:t>376</w:t>
        </w:r>
      </w:hyperlink>
      <w:r w:rsidR="00B64C0F">
        <w:rPr>
          <w:rFonts w:ascii="Arial" w:hAnsi="Arial" w:cs="Arial"/>
          <w:noProof/>
        </w:rPr>
        <w:t>)</w:t>
      </w:r>
      <w:r w:rsidR="00463032">
        <w:rPr>
          <w:rFonts w:ascii="Arial" w:hAnsi="Arial" w:cs="Arial"/>
        </w:rPr>
        <w:fldChar w:fldCharType="end"/>
      </w:r>
      <w:r w:rsidRPr="00594340">
        <w:rPr>
          <w:rFonts w:ascii="Arial" w:hAnsi="Arial" w:cs="Arial"/>
        </w:rPr>
        <w:t xml:space="preserve">. </w:t>
      </w:r>
    </w:p>
    <w:p w:rsidR="005A464B" w:rsidRPr="00594340" w:rsidRDefault="00B332A2" w:rsidP="005354D9">
      <w:pPr>
        <w:spacing w:line="360" w:lineRule="auto"/>
        <w:jc w:val="both"/>
        <w:rPr>
          <w:rFonts w:ascii="Arial" w:hAnsi="Arial" w:cs="Arial"/>
        </w:rPr>
      </w:pPr>
      <w:r w:rsidRPr="00594340">
        <w:rPr>
          <w:rFonts w:ascii="Arial" w:hAnsi="Arial" w:cs="Arial"/>
        </w:rPr>
        <w:t>My findings demonstrate that there are several adverse conditions and treatments that affect BTMs in older women. These are therefore valid exclusion criteria and must be applied when establishing healthy postmenopausa</w:t>
      </w:r>
      <w:r w:rsidR="005A464B" w:rsidRPr="00594340">
        <w:rPr>
          <w:rFonts w:ascii="Arial" w:hAnsi="Arial" w:cs="Arial"/>
        </w:rPr>
        <w:t>l reference intervals for BTMs.</w:t>
      </w:r>
    </w:p>
    <w:p w:rsidR="00B332A2" w:rsidRPr="00594340" w:rsidRDefault="00B332A2" w:rsidP="003B725E">
      <w:pPr>
        <w:spacing w:line="360" w:lineRule="auto"/>
        <w:jc w:val="both"/>
        <w:rPr>
          <w:rFonts w:ascii="Arial" w:hAnsi="Arial" w:cs="Arial"/>
        </w:rPr>
      </w:pPr>
      <w:r w:rsidRPr="00594340">
        <w:rPr>
          <w:rFonts w:ascii="Arial" w:hAnsi="Arial" w:cs="Arial"/>
        </w:rPr>
        <w:t>It is important to establish BTM reference intervals for healthy premenopausal women using newer, automated immunoassays and compare them to other immunoassays. Comparison of the results in this study with those of De Papp et al</w:t>
      </w:r>
      <w:r w:rsidR="00463032">
        <w:rPr>
          <w:rFonts w:ascii="Arial" w:hAnsi="Arial" w:cs="Arial"/>
        </w:rPr>
        <w:t xml:space="preserve"> 2007</w:t>
      </w:r>
      <w:r w:rsidRPr="00594340">
        <w:rPr>
          <w:rFonts w:ascii="Arial" w:hAnsi="Arial" w:cs="Arial"/>
        </w:rPr>
        <w:t xml:space="preserve"> </w:t>
      </w:r>
      <w:r w:rsidR="005A464B" w:rsidRPr="00594340">
        <w:rPr>
          <w:rFonts w:ascii="Arial" w:hAnsi="Arial" w:cs="Arial"/>
        </w:rPr>
        <w:fldChar w:fldCharType="begin"/>
      </w:r>
      <w:r w:rsidR="000D155C">
        <w:rPr>
          <w:rFonts w:ascii="Arial" w:hAnsi="Arial" w:cs="Arial"/>
        </w:rPr>
        <w:instrText xml:space="preserve"> ADDIN EN.CITE &lt;EndNote&gt;&lt;Cite&gt;&lt;Author&gt;de Papp&lt;/Author&gt;&lt;Year&gt;2007&lt;/Year&gt;&lt;RecNum&gt;189&lt;/RecNum&gt;&lt;DisplayText&gt;(385)&lt;/DisplayText&gt;&lt;record&gt;&lt;rec-number&gt;189&lt;/rec-number&gt;&lt;foreign-keys&gt;&lt;key app="EN" db-id="p9a5ttsvyvde9me5aw2x05fp5p55axf0wr90" timestamp="1417715017"&gt;189&lt;/key&gt;&lt;/foreign-keys&gt;&lt;ref-type name="Journal Article"&gt;17&lt;/ref-type&gt;&lt;contributors&gt;&lt;authors&gt;&lt;author&gt;de Papp, A. E.&lt;/author&gt;&lt;author&gt;Bone, H. G.&lt;/author&gt;&lt;author&gt;Caulfield, M. P.&lt;/author&gt;&lt;author&gt;Kagan, R.&lt;/author&gt;&lt;author&gt;Buinewicz, A.&lt;/author&gt;&lt;author&gt;Chen, E.&lt;/author&gt;&lt;author&gt;Rosenberg, E.&lt;/author&gt;&lt;author&gt;Reitz, R. E.&lt;/author&gt;&lt;/authors&gt;&lt;/contributors&gt;&lt;auth-address&gt;Merck and Co., Inc., 351 N. Sumneytown Pike, North Wales, PA 19454-2505, USA. anne_depapp@merck.com&lt;/auth-address&gt;&lt;titles&gt;&lt;title&gt;A cross-sectional study of bone turnover markers in healthy premenopausal women&lt;/title&gt;&lt;secondary-title&gt;Bone&lt;/secondary-title&gt;&lt;alt-title&gt;Bone&lt;/alt-title&gt;&lt;/titles&gt;&lt;periodical&gt;&lt;full-title&gt;Bone&lt;/full-title&gt;&lt;abbr-1&gt;Bone&lt;/abbr-1&gt;&lt;/periodical&gt;&lt;alt-periodical&gt;&lt;full-title&gt;Bone&lt;/full-title&gt;&lt;abbr-1&gt;Bone&lt;/abbr-1&gt;&lt;/alt-periodical&gt;&lt;pages&gt;1222-30&lt;/pages&gt;&lt;volume&gt;40&lt;/volume&gt;&lt;number&gt;5&lt;/number&gt;&lt;edition&gt;2007/03/03&lt;/edition&gt;&lt;keywords&gt;&lt;keyword&gt;Adult&lt;/keyword&gt;&lt;keyword&gt;Age Distribution&lt;/keyword&gt;&lt;keyword&gt;Alkaline Phosphatase/blood&lt;/keyword&gt;&lt;keyword&gt;Biological Markers/blood/urine&lt;/keyword&gt;&lt;keyword&gt;Bone and Bones/ metabolism&lt;/keyword&gt;&lt;keyword&gt;Collagen Type I/blood/urine&lt;/keyword&gt;&lt;keyword&gt;Cross-Sectional Studies&lt;/keyword&gt;&lt;keyword&gt;Female&lt;/keyword&gt;&lt;keyword&gt;Health&lt;/keyword&gt;&lt;keyword&gt;Humans&lt;/keyword&gt;&lt;keyword&gt;Middle Aged&lt;/keyword&gt;&lt;keyword&gt;Premenopause&lt;/keyword&gt;&lt;keyword&gt;Procollagen/blood&lt;/keyword&gt;&lt;keyword&gt;Questionnaires&lt;/keyword&gt;&lt;/keywords&gt;&lt;dates&gt;&lt;year&gt;2007&lt;/year&gt;&lt;pub-dates&gt;&lt;date&gt;May&lt;/date&gt;&lt;/pub-dates&gt;&lt;/dates&gt;&lt;isbn&gt;8756-3282 (Print)&amp;#xD;1873-2763 (Linking)&lt;/isbn&gt;&lt;accession-num&gt;17331821&lt;/accession-num&gt;&lt;urls&gt;&lt;/urls&gt;&lt;electronic-resource-num&gt;10.1016/j.bone.2007.01.008&lt;/electronic-resource-num&gt;&lt;remote-database-provider&gt;NLM&lt;/remote-database-provider&gt;&lt;language&gt;eng&lt;/language&gt;&lt;/record&gt;&lt;/Cite&gt;&lt;/EndNote&gt;</w:instrText>
      </w:r>
      <w:r w:rsidR="005A464B" w:rsidRPr="00594340">
        <w:rPr>
          <w:rFonts w:ascii="Arial" w:hAnsi="Arial" w:cs="Arial"/>
        </w:rPr>
        <w:fldChar w:fldCharType="separate"/>
      </w:r>
      <w:r w:rsidR="000D155C">
        <w:rPr>
          <w:rFonts w:ascii="Arial" w:hAnsi="Arial" w:cs="Arial"/>
          <w:noProof/>
        </w:rPr>
        <w:t>(</w:t>
      </w:r>
      <w:hyperlink w:anchor="_ENREF_385" w:tooltip="de Papp, 2007 #189" w:history="1">
        <w:r w:rsidR="003B725E">
          <w:rPr>
            <w:rFonts w:ascii="Arial" w:hAnsi="Arial" w:cs="Arial"/>
            <w:noProof/>
          </w:rPr>
          <w:t>385</w:t>
        </w:r>
      </w:hyperlink>
      <w:r w:rsidR="000D155C">
        <w:rPr>
          <w:rFonts w:ascii="Arial" w:hAnsi="Arial" w:cs="Arial"/>
          <w:noProof/>
        </w:rPr>
        <w:t>)</w:t>
      </w:r>
      <w:r w:rsidR="005A464B" w:rsidRPr="00594340">
        <w:rPr>
          <w:rFonts w:ascii="Arial" w:hAnsi="Arial" w:cs="Arial"/>
        </w:rPr>
        <w:fldChar w:fldCharType="end"/>
      </w:r>
      <w:r w:rsidRPr="00594340">
        <w:rPr>
          <w:rFonts w:ascii="Arial" w:hAnsi="Arial" w:cs="Arial"/>
        </w:rPr>
        <w:t xml:space="preserve"> and Glover et al</w:t>
      </w:r>
      <w:r w:rsidR="00463032">
        <w:rPr>
          <w:rFonts w:ascii="Arial" w:hAnsi="Arial" w:cs="Arial"/>
        </w:rPr>
        <w:t xml:space="preserve"> 2008</w:t>
      </w:r>
      <w:r w:rsidRPr="00594340">
        <w:rPr>
          <w:rFonts w:ascii="Arial" w:hAnsi="Arial" w:cs="Arial"/>
        </w:rPr>
        <w:t xml:space="preserve"> </w:t>
      </w:r>
      <w:r w:rsidR="005A464B" w:rsidRPr="00594340">
        <w:rPr>
          <w:rFonts w:ascii="Arial" w:hAnsi="Arial" w:cs="Arial"/>
        </w:rPr>
        <w:fldChar w:fldCharType="begin"/>
      </w:r>
      <w:r w:rsidR="00B64C0F">
        <w:rPr>
          <w:rFonts w:ascii="Arial" w:hAnsi="Arial" w:cs="Arial"/>
        </w:rPr>
        <w:instrText xml:space="preserve"> ADDIN EN.CITE &lt;EndNote&gt;&lt;Cite&gt;&lt;Author&gt;Glover&lt;/Author&gt;&lt;Year&gt;2008&lt;/Year&gt;&lt;RecNum&gt;167&lt;/RecNum&gt;&lt;DisplayText&gt;(367)&lt;/DisplayText&gt;&lt;record&gt;&lt;rec-number&gt;167&lt;/rec-number&gt;&lt;foreign-keys&gt;&lt;key app="EN" db-id="p9a5ttsvyvde9me5aw2x05fp5p55axf0wr90" timestamp="1417715014"&gt;167&lt;/key&gt;&lt;/foreign-keys&gt;&lt;ref-type name="Journal Article"&gt;17&lt;/ref-type&gt;&lt;contributors&gt;&lt;authors&gt;&lt;author&gt;Glover, S. J.&lt;/author&gt;&lt;author&gt;Garnero, P.&lt;/author&gt;&lt;author&gt;Naylor, K.&lt;/author&gt;&lt;author&gt;Rogers, A.&lt;/author&gt;&lt;author&gt;Eastell, R.&lt;/author&gt;&lt;/authors&gt;&lt;/contributors&gt;&lt;auth-address&gt;Academic Unit of Bone Metabolism, School of Medicine and Biomedical Sciences, University of Sheffield, Medical School, Beech Hill Road, Sheffield, S10 2RX, UK. s.glover@sheffield.ac.uk&lt;/auth-address&gt;&lt;titles&gt;&lt;title&gt;Establishing a reference range for bone turnover markers in young, healthy women&lt;/title&gt;&lt;secondary-title&gt;Bone&lt;/secondary-title&gt;&lt;alt-title&gt;Bone&lt;/alt-title&gt;&lt;/titles&gt;&lt;periodical&gt;&lt;full-title&gt;Bone&lt;/full-title&gt;&lt;abbr-1&gt;Bone&lt;/abbr-1&gt;&lt;/periodical&gt;&lt;alt-periodical&gt;&lt;full-title&gt;Bone&lt;/full-title&gt;&lt;abbr-1&gt;Bone&lt;/abbr-1&gt;&lt;/alt-periodical&gt;&lt;pages&gt;623-30&lt;/pages&gt;&lt;volume&gt;42&lt;/volume&gt;&lt;number&gt;4&lt;/number&gt;&lt;edition&gt;2008/02/22&lt;/edition&gt;&lt;keywords&gt;&lt;keyword&gt;Adult&lt;/keyword&gt;&lt;keyword&gt;Biological Markers/ blood/ urine&lt;/keyword&gt;&lt;keyword&gt;Bone and Bones/ metabolism&lt;/keyword&gt;&lt;keyword&gt;Female&lt;/keyword&gt;&lt;keyword&gt;Health&lt;/keyword&gt;&lt;keyword&gt;Humans&lt;/keyword&gt;&lt;keyword&gt;Middle Aged&lt;/keyword&gt;&lt;keyword&gt;Reference Values&lt;/keyword&gt;&lt;/keywords&gt;&lt;dates&gt;&lt;year&gt;2008&lt;/year&gt;&lt;pub-dates&gt;&lt;date&gt;Apr&lt;/date&gt;&lt;/pub-dates&gt;&lt;/dates&gt;&lt;isbn&gt;8756-3282 (Print)&amp;#xD;1873-2763 (Linking)&lt;/isbn&gt;&lt;accession-num&gt;18289953&lt;/accession-num&gt;&lt;urls&gt;&lt;/urls&gt;&lt;electronic-resource-num&gt;10.1016/j.bone.2007.12.218&lt;/electronic-resource-num&gt;&lt;remote-database-provider&gt;NLM&lt;/remote-database-provider&gt;&lt;language&gt;eng&lt;/language&gt;&lt;/record&gt;&lt;/Cite&gt;&lt;/EndNote&gt;</w:instrText>
      </w:r>
      <w:r w:rsidR="005A464B" w:rsidRPr="00594340">
        <w:rPr>
          <w:rFonts w:ascii="Arial" w:hAnsi="Arial" w:cs="Arial"/>
        </w:rPr>
        <w:fldChar w:fldCharType="separate"/>
      </w:r>
      <w:r w:rsidR="00B64C0F">
        <w:rPr>
          <w:rFonts w:ascii="Arial" w:hAnsi="Arial" w:cs="Arial"/>
          <w:noProof/>
        </w:rPr>
        <w:t>(</w:t>
      </w:r>
      <w:hyperlink w:anchor="_ENREF_367" w:tooltip="Glover, 2008 #167" w:history="1">
        <w:r w:rsidR="003B725E">
          <w:rPr>
            <w:rFonts w:ascii="Arial" w:hAnsi="Arial" w:cs="Arial"/>
            <w:noProof/>
          </w:rPr>
          <w:t>367</w:t>
        </w:r>
      </w:hyperlink>
      <w:r w:rsidR="00B64C0F">
        <w:rPr>
          <w:rFonts w:ascii="Arial" w:hAnsi="Arial" w:cs="Arial"/>
          <w:noProof/>
        </w:rPr>
        <w:t>)</w:t>
      </w:r>
      <w:r w:rsidR="005A464B" w:rsidRPr="00594340">
        <w:rPr>
          <w:rFonts w:ascii="Arial" w:hAnsi="Arial" w:cs="Arial"/>
        </w:rPr>
        <w:fldChar w:fldCharType="end"/>
      </w:r>
      <w:r w:rsidR="0081484A">
        <w:rPr>
          <w:rFonts w:ascii="Arial" w:hAnsi="Arial" w:cs="Arial"/>
        </w:rPr>
        <w:t xml:space="preserve"> </w:t>
      </w:r>
      <w:r w:rsidRPr="00594340">
        <w:rPr>
          <w:rFonts w:ascii="Arial" w:hAnsi="Arial" w:cs="Arial"/>
        </w:rPr>
        <w:t>show consistent data for the BTMs using different assays. This provides strong supportive evidence that the levels of BTMs observed in this study accurately reflect bone turnover in healthy premenopausal women. Levels of bone turnover markers in postmenopausal women above the upper limit of the premenopausal reference interval are associated with an increase in the risk of fracture. Therefore these reference intervals can also be used as a clinical tool to identify postmenopausal women who have high levels of bone turnover and</w:t>
      </w:r>
      <w:r w:rsidR="005A464B" w:rsidRPr="00594340">
        <w:rPr>
          <w:rFonts w:ascii="Arial" w:hAnsi="Arial" w:cs="Arial"/>
        </w:rPr>
        <w:t xml:space="preserve"> increased risk of fracture </w:t>
      </w:r>
      <w:r w:rsidR="005A464B" w:rsidRPr="00594340">
        <w:rPr>
          <w:rFonts w:ascii="Arial" w:hAnsi="Arial" w:cs="Arial"/>
        </w:rPr>
        <w:fldChar w:fldCharType="begin">
          <w:fldData xml:space="preserve">PEVuZE5vdGU+PENpdGU+PEF1dGhvcj5HYXJuZXJvPC9BdXRob3I+PFllYXI+MjAwMDwvWWVhcj48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PEVuZE5vdGU+PENpdGU+PEF1dGhvcj5HYXJuZXJvPC9BdXRob3I+PFllYXI+MjAwMDwvWWVhcj48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5A464B" w:rsidRPr="00594340">
        <w:rPr>
          <w:rFonts w:ascii="Arial" w:hAnsi="Arial" w:cs="Arial"/>
        </w:rPr>
      </w:r>
      <w:r w:rsidR="005A464B" w:rsidRPr="00594340">
        <w:rPr>
          <w:rFonts w:ascii="Arial" w:hAnsi="Arial" w:cs="Arial"/>
        </w:rPr>
        <w:fldChar w:fldCharType="separate"/>
      </w:r>
      <w:r w:rsidR="00B64C0F">
        <w:rPr>
          <w:rFonts w:ascii="Arial" w:hAnsi="Arial" w:cs="Arial"/>
          <w:noProof/>
        </w:rPr>
        <w:t>(</w:t>
      </w:r>
      <w:hyperlink w:anchor="_ENREF_338" w:tooltip="Garnero, 2000 #190" w:history="1">
        <w:r w:rsidR="003B725E">
          <w:rPr>
            <w:rFonts w:ascii="Arial" w:hAnsi="Arial" w:cs="Arial"/>
            <w:noProof/>
          </w:rPr>
          <w:t>338</w:t>
        </w:r>
      </w:hyperlink>
      <w:r w:rsidR="00B64C0F">
        <w:rPr>
          <w:rFonts w:ascii="Arial" w:hAnsi="Arial" w:cs="Arial"/>
          <w:noProof/>
        </w:rPr>
        <w:t>)</w:t>
      </w:r>
      <w:r w:rsidR="005A464B" w:rsidRPr="00594340">
        <w:rPr>
          <w:rFonts w:ascii="Arial" w:hAnsi="Arial" w:cs="Arial"/>
        </w:rPr>
        <w:fldChar w:fldCharType="end"/>
      </w:r>
      <w:r w:rsidRPr="00594340">
        <w:rPr>
          <w:rFonts w:ascii="Arial" w:hAnsi="Arial" w:cs="Arial"/>
        </w:rPr>
        <w:t>.</w:t>
      </w:r>
    </w:p>
    <w:p w:rsidR="00B332A2" w:rsidRPr="00594340" w:rsidRDefault="00B332A2" w:rsidP="003B725E">
      <w:pPr>
        <w:spacing w:line="360" w:lineRule="auto"/>
        <w:jc w:val="both"/>
        <w:rPr>
          <w:rFonts w:ascii="Arial" w:hAnsi="Arial" w:cs="Arial"/>
        </w:rPr>
      </w:pPr>
      <w:r w:rsidRPr="00594340">
        <w:rPr>
          <w:rFonts w:ascii="Arial" w:hAnsi="Arial" w:cs="Arial"/>
        </w:rPr>
        <w:t xml:space="preserve">Several lifestyle factors are significantly associated with bone turnover in postmenopausal women. This study has shown that postmenopausal women with a high BMI have lower levels of circulating osteocalcin. This may be related to increased hormone secretion from adipocytes which influence osteoblast and osteoclasts activity </w:t>
      </w:r>
      <w:r w:rsidR="005A464B" w:rsidRPr="00594340">
        <w:rPr>
          <w:rFonts w:ascii="Arial" w:hAnsi="Arial" w:cs="Arial"/>
        </w:rPr>
        <w:fldChar w:fldCharType="begin"/>
      </w:r>
      <w:r w:rsidR="000D155C">
        <w:rPr>
          <w:rFonts w:ascii="Arial" w:hAnsi="Arial" w:cs="Arial"/>
        </w:rPr>
        <w:instrText xml:space="preserve"> ADDIN EN.CITE &lt;EndNote&gt;&lt;Cite&gt;&lt;Author&gt;Reid&lt;/Author&gt;&lt;Year&gt;2002&lt;/Year&gt;&lt;RecNum&gt;191&lt;/RecNum&gt;&lt;DisplayText&gt;(386)&lt;/DisplayText&gt;&lt;record&gt;&lt;rec-number&gt;191&lt;/rec-number&gt;&lt;foreign-keys&gt;&lt;key app="EN" db-id="p9a5ttsvyvde9me5aw2x05fp5p55axf0wr90" timestamp="1417715018"&gt;191&lt;/key&gt;&lt;/foreign-keys&gt;&lt;ref-type name="Journal Article"&gt;17&lt;/ref-type&gt;&lt;contributors&gt;&lt;authors&gt;&lt;author&gt;Reid, I. R.&lt;/author&gt;&lt;/authors&gt;&lt;/contributors&gt;&lt;auth-address&gt;Department of Medicine, University of Auckland, New Zealand. i.reid@auckland.ac.nz&lt;/auth-address&gt;&lt;titles&gt;&lt;title&gt;Relationships among body mass, its components, and bone&lt;/title&gt;&lt;secondary-title&gt;Bone&lt;/secondary-title&gt;&lt;alt-title&gt;Bone&lt;/alt-title&gt;&lt;/titles&gt;&lt;periodical&gt;&lt;full-title&gt;Bone&lt;/full-title&gt;&lt;abbr-1&gt;Bone&lt;/abbr-1&gt;&lt;/periodical&gt;&lt;alt-periodical&gt;&lt;full-title&gt;Bone&lt;/full-title&gt;&lt;abbr-1&gt;Bone&lt;/abbr-1&gt;&lt;/alt-periodical&gt;&lt;pages&gt;547-55&lt;/pages&gt;&lt;volume&gt;31&lt;/volume&gt;&lt;number&gt;5&lt;/number&gt;&lt;edition&gt;2002/12/13&lt;/edition&gt;&lt;keywords&gt;&lt;keyword&gt;Animals&lt;/keyword&gt;&lt;keyword&gt;Body Composition/ physiology&lt;/keyword&gt;&lt;keyword&gt;Body Mass Index&lt;/keyword&gt;&lt;keyword&gt;Bone Density/ physiology&lt;/keyword&gt;&lt;keyword&gt;Bone and Bones/ physiology&lt;/keyword&gt;&lt;keyword&gt;Humans&lt;/keyword&gt;&lt;/keywords&gt;&lt;dates&gt;&lt;year&gt;2002&lt;/year&gt;&lt;pub-dates&gt;&lt;date&gt;Nov&lt;/date&gt;&lt;/pub-dates&gt;&lt;/dates&gt;&lt;isbn&gt;8756-3282 (Print)&amp;#xD;1873-2763 (Linking)&lt;/isbn&gt;&lt;accession-num&gt;12477567&lt;/accession-num&gt;&lt;urls&gt;&lt;/urls&gt;&lt;remote-database-provider&gt;NLM&lt;/remote-database-provider&gt;&lt;language&gt;eng&lt;/language&gt;&lt;/record&gt;&lt;/Cite&gt;&lt;/EndNote&gt;</w:instrText>
      </w:r>
      <w:r w:rsidR="005A464B" w:rsidRPr="00594340">
        <w:rPr>
          <w:rFonts w:ascii="Arial" w:hAnsi="Arial" w:cs="Arial"/>
        </w:rPr>
        <w:fldChar w:fldCharType="separate"/>
      </w:r>
      <w:r w:rsidR="000D155C">
        <w:rPr>
          <w:rFonts w:ascii="Arial" w:hAnsi="Arial" w:cs="Arial"/>
          <w:noProof/>
        </w:rPr>
        <w:t>(</w:t>
      </w:r>
      <w:hyperlink w:anchor="_ENREF_386" w:tooltip="Reid, 2002 #191" w:history="1">
        <w:r w:rsidR="003B725E">
          <w:rPr>
            <w:rFonts w:ascii="Arial" w:hAnsi="Arial" w:cs="Arial"/>
            <w:noProof/>
          </w:rPr>
          <w:t>386</w:t>
        </w:r>
      </w:hyperlink>
      <w:r w:rsidR="000D155C">
        <w:rPr>
          <w:rFonts w:ascii="Arial" w:hAnsi="Arial" w:cs="Arial"/>
          <w:noProof/>
        </w:rPr>
        <w:t>)</w:t>
      </w:r>
      <w:r w:rsidR="005A464B" w:rsidRPr="00594340">
        <w:rPr>
          <w:rFonts w:ascii="Arial" w:hAnsi="Arial" w:cs="Arial"/>
        </w:rPr>
        <w:fldChar w:fldCharType="end"/>
      </w:r>
      <w:r w:rsidRPr="00594340">
        <w:rPr>
          <w:rFonts w:ascii="Arial" w:hAnsi="Arial" w:cs="Arial"/>
        </w:rPr>
        <w:t xml:space="preserve"> and is supported further by Di Carlo et al</w:t>
      </w:r>
      <w:r w:rsidR="00765DEA">
        <w:rPr>
          <w:rFonts w:ascii="Arial" w:hAnsi="Arial" w:cs="Arial"/>
        </w:rPr>
        <w:t>, 2007</w:t>
      </w:r>
      <w:r w:rsidRPr="00594340">
        <w:rPr>
          <w:rFonts w:ascii="Arial" w:hAnsi="Arial" w:cs="Arial"/>
        </w:rPr>
        <w:t xml:space="preserve"> who demonstrated that leptin is significantly negatively correlated with osteocalcin in postmenopausal women receiving estrogen-progestin therapy </w:t>
      </w:r>
      <w:r w:rsidR="005A464B" w:rsidRPr="00594340">
        <w:rPr>
          <w:rFonts w:ascii="Arial" w:hAnsi="Arial" w:cs="Arial"/>
        </w:rPr>
        <w:fldChar w:fldCharType="begin">
          <w:fldData xml:space="preserve">PEVuZE5vdGU+PENpdGU+PEF1dGhvcj5EaSBDYXJsbzwvQXV0aG9yPjxZZWFyPjIwMDc8L1llYXI+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PEVuZE5vdGU+PENpdGU+PEF1dGhvcj5EaSBDYXJsbzwvQXV0aG9yPjxZZWFyPjIwMDc8L1llYXI+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5A464B" w:rsidRPr="00594340">
        <w:rPr>
          <w:rFonts w:ascii="Arial" w:hAnsi="Arial" w:cs="Arial"/>
        </w:rPr>
      </w:r>
      <w:r w:rsidR="005A464B" w:rsidRPr="00594340">
        <w:rPr>
          <w:rFonts w:ascii="Arial" w:hAnsi="Arial" w:cs="Arial"/>
        </w:rPr>
        <w:fldChar w:fldCharType="separate"/>
      </w:r>
      <w:r w:rsidR="000D155C">
        <w:rPr>
          <w:rFonts w:ascii="Arial" w:hAnsi="Arial" w:cs="Arial"/>
          <w:noProof/>
        </w:rPr>
        <w:t>(</w:t>
      </w:r>
      <w:hyperlink w:anchor="_ENREF_387" w:tooltip="Di Carlo, 2007 #192" w:history="1">
        <w:r w:rsidR="003B725E">
          <w:rPr>
            <w:rFonts w:ascii="Arial" w:hAnsi="Arial" w:cs="Arial"/>
            <w:noProof/>
          </w:rPr>
          <w:t>387</w:t>
        </w:r>
      </w:hyperlink>
      <w:r w:rsidR="000D155C">
        <w:rPr>
          <w:rFonts w:ascii="Arial" w:hAnsi="Arial" w:cs="Arial"/>
          <w:noProof/>
        </w:rPr>
        <w:t>)</w:t>
      </w:r>
      <w:r w:rsidR="005A464B" w:rsidRPr="00594340">
        <w:rPr>
          <w:rFonts w:ascii="Arial" w:hAnsi="Arial" w:cs="Arial"/>
        </w:rPr>
        <w:fldChar w:fldCharType="end"/>
      </w:r>
      <w:r w:rsidRPr="00594340">
        <w:rPr>
          <w:rFonts w:ascii="Arial" w:hAnsi="Arial" w:cs="Arial"/>
        </w:rPr>
        <w:t xml:space="preserve"> and by Glover et al</w:t>
      </w:r>
      <w:r w:rsidR="00765DEA">
        <w:rPr>
          <w:rFonts w:ascii="Arial" w:hAnsi="Arial" w:cs="Arial"/>
        </w:rPr>
        <w:t xml:space="preserve">, 2008 </w:t>
      </w:r>
      <w:r w:rsidR="00594340" w:rsidRPr="00594340">
        <w:rPr>
          <w:rFonts w:ascii="Arial" w:hAnsi="Arial" w:cs="Arial"/>
        </w:rPr>
        <w:fldChar w:fldCharType="begin"/>
      </w:r>
      <w:r w:rsidR="00B64C0F">
        <w:rPr>
          <w:rFonts w:ascii="Arial" w:hAnsi="Arial" w:cs="Arial"/>
        </w:rPr>
        <w:instrText xml:space="preserve"> ADDIN EN.CITE &lt;EndNote&gt;&lt;Cite&gt;&lt;Author&gt;Glover&lt;/Author&gt;&lt;Year&gt;2008&lt;/Year&gt;&lt;RecNum&gt;167&lt;/RecNum&gt;&lt;DisplayText&gt;(367)&lt;/DisplayText&gt;&lt;record&gt;&lt;rec-number&gt;167&lt;/rec-number&gt;&lt;foreign-keys&gt;&lt;key app="EN" db-id="p9a5ttsvyvde9me5aw2x05fp5p55axf0wr90" timestamp="1417715014"&gt;167&lt;/key&gt;&lt;/foreign-keys&gt;&lt;ref-type name="Journal Article"&gt;17&lt;/ref-type&gt;&lt;contributors&gt;&lt;authors&gt;&lt;author&gt;Glover, S. J.&lt;/author&gt;&lt;author&gt;Garnero, P.&lt;/author&gt;&lt;author&gt;Naylor, K.&lt;/author&gt;&lt;author&gt;Rogers, A.&lt;/author&gt;&lt;author&gt;Eastell, R.&lt;/author&gt;&lt;/authors&gt;&lt;/contributors&gt;&lt;auth-address&gt;Academic Unit of Bone Metabolism, School of Medicine and Biomedical Sciences, University of Sheffield, Medical School, Beech Hill Road, Sheffield, S10 2RX, UK. s.glover@sheffield.ac.uk&lt;/auth-address&gt;&lt;titles&gt;&lt;title&gt;Establishing a reference range for bone turnover markers in young, healthy women&lt;/title&gt;&lt;secondary-title&gt;Bone&lt;/secondary-title&gt;&lt;alt-title&gt;Bone&lt;/alt-title&gt;&lt;/titles&gt;&lt;periodical&gt;&lt;full-title&gt;Bone&lt;/full-title&gt;&lt;abbr-1&gt;Bone&lt;/abbr-1&gt;&lt;/periodical&gt;&lt;alt-periodical&gt;&lt;full-title&gt;Bone&lt;/full-title&gt;&lt;abbr-1&gt;Bone&lt;/abbr-1&gt;&lt;/alt-periodical&gt;&lt;pages&gt;623-30&lt;/pages&gt;&lt;volume&gt;42&lt;/volume&gt;&lt;number&gt;4&lt;/number&gt;&lt;edition&gt;2008/02/22&lt;/edition&gt;&lt;keywords&gt;&lt;keyword&gt;Adult&lt;/keyword&gt;&lt;keyword&gt;Biological Markers/ blood/ urine&lt;/keyword&gt;&lt;keyword&gt;Bone and Bones/ metabolism&lt;/keyword&gt;&lt;keyword&gt;Female&lt;/keyword&gt;&lt;keyword&gt;Health&lt;/keyword&gt;&lt;keyword&gt;Humans&lt;/keyword&gt;&lt;keyword&gt;Middle Aged&lt;/keyword&gt;&lt;keyword&gt;Reference Values&lt;/keyword&gt;&lt;/keywords&gt;&lt;dates&gt;&lt;year&gt;2008&lt;/year&gt;&lt;pub-dates&gt;&lt;date&gt;Apr&lt;/date&gt;&lt;/pub-dates&gt;&lt;/dates&gt;&lt;isbn&gt;8756-3282 (Print)&amp;#xD;1873-2763 (Linking)&lt;/isbn&gt;&lt;accession-num&gt;18289953&lt;/accession-num&gt;&lt;urls&gt;&lt;/urls&gt;&lt;electronic-resource-num&gt;10.1016/j.bone.2007.12.218&lt;/electronic-resource-num&gt;&lt;remote-database-provider&gt;NLM&lt;/remote-database-provider&gt;&lt;language&gt;eng&lt;/language&gt;&lt;/record&gt;&lt;/Cite&gt;&lt;/EndNote&gt;</w:instrText>
      </w:r>
      <w:r w:rsidR="00594340" w:rsidRPr="00594340">
        <w:rPr>
          <w:rFonts w:ascii="Arial" w:hAnsi="Arial" w:cs="Arial"/>
        </w:rPr>
        <w:fldChar w:fldCharType="separate"/>
      </w:r>
      <w:r w:rsidR="00B64C0F">
        <w:rPr>
          <w:rFonts w:ascii="Arial" w:hAnsi="Arial" w:cs="Arial"/>
          <w:noProof/>
        </w:rPr>
        <w:t>(</w:t>
      </w:r>
      <w:hyperlink w:anchor="_ENREF_367" w:tooltip="Glover, 2008 #167" w:history="1">
        <w:r w:rsidR="003B725E">
          <w:rPr>
            <w:rFonts w:ascii="Arial" w:hAnsi="Arial" w:cs="Arial"/>
            <w:noProof/>
          </w:rPr>
          <w:t>367</w:t>
        </w:r>
      </w:hyperlink>
      <w:r w:rsidR="00B64C0F">
        <w:rPr>
          <w:rFonts w:ascii="Arial" w:hAnsi="Arial" w:cs="Arial"/>
          <w:noProof/>
        </w:rPr>
        <w:t>)</w:t>
      </w:r>
      <w:r w:rsidR="00594340" w:rsidRPr="00594340">
        <w:rPr>
          <w:rFonts w:ascii="Arial" w:hAnsi="Arial" w:cs="Arial"/>
        </w:rPr>
        <w:fldChar w:fldCharType="end"/>
      </w:r>
      <w:r w:rsidRPr="00594340">
        <w:rPr>
          <w:rFonts w:ascii="Arial" w:hAnsi="Arial" w:cs="Arial"/>
        </w:rPr>
        <w:t>.</w:t>
      </w:r>
    </w:p>
    <w:p w:rsidR="00B332A2" w:rsidRPr="00594340" w:rsidRDefault="00594340" w:rsidP="003B725E">
      <w:pPr>
        <w:spacing w:line="360" w:lineRule="auto"/>
        <w:jc w:val="both"/>
        <w:rPr>
          <w:rFonts w:ascii="Arial" w:hAnsi="Arial" w:cs="Arial"/>
        </w:rPr>
      </w:pPr>
      <w:r>
        <w:rPr>
          <w:rFonts w:ascii="Arial" w:hAnsi="Arial" w:cs="Arial"/>
        </w:rPr>
        <w:t xml:space="preserve">I </w:t>
      </w:r>
      <w:r w:rsidR="00B332A2" w:rsidRPr="00594340">
        <w:rPr>
          <w:rFonts w:ascii="Arial" w:hAnsi="Arial" w:cs="Arial"/>
        </w:rPr>
        <w:t>have also demonstrated that postmenopausal women who were current smokers had higher levels of circulating CTX, NTX, PINP and bone ALP compared to non-smokers.  This finding is consistent with previous studies based on pr</w:t>
      </w:r>
      <w:r w:rsidRPr="00594340">
        <w:rPr>
          <w:rFonts w:ascii="Arial" w:hAnsi="Arial" w:cs="Arial"/>
        </w:rPr>
        <w:t xml:space="preserve">emenopausal women: Glover et al </w:t>
      </w:r>
      <w:r w:rsidRPr="00594340">
        <w:rPr>
          <w:rFonts w:ascii="Arial" w:hAnsi="Arial" w:cs="Arial"/>
        </w:rPr>
        <w:fldChar w:fldCharType="begin"/>
      </w:r>
      <w:r w:rsidR="00B64C0F">
        <w:rPr>
          <w:rFonts w:ascii="Arial" w:hAnsi="Arial" w:cs="Arial"/>
        </w:rPr>
        <w:instrText xml:space="preserve"> ADDIN EN.CITE &lt;EndNote&gt;&lt;Cite&gt;&lt;Author&gt;Glover&lt;/Author&gt;&lt;Year&gt;2008&lt;/Year&gt;&lt;RecNum&gt;167&lt;/RecNum&gt;&lt;DisplayText&gt;(367)&lt;/DisplayText&gt;&lt;record&gt;&lt;rec-number&gt;167&lt;/rec-number&gt;&lt;foreign-keys&gt;&lt;key app="EN" db-id="p9a5ttsvyvde9me5aw2x05fp5p55axf0wr90" timestamp="1417715014"&gt;167&lt;/key&gt;&lt;/foreign-keys&gt;&lt;ref-type name="Journal Article"&gt;17&lt;/ref-type&gt;&lt;contributors&gt;&lt;authors&gt;&lt;author&gt;Glover, S. J.&lt;/author&gt;&lt;author&gt;Garnero, P.&lt;/author&gt;&lt;author&gt;Naylor, K.&lt;/author&gt;&lt;author&gt;Rogers, A.&lt;/author&gt;&lt;author&gt;Eastell, R.&lt;/author&gt;&lt;/authors&gt;&lt;/contributors&gt;&lt;auth-address&gt;Academic Unit of Bone Metabolism, School of Medicine and Biomedical Sciences, University of Sheffield, Medical School, Beech Hill Road, Sheffield, S10 2RX, UK. s.glover@sheffield.ac.uk&lt;/auth-address&gt;&lt;titles&gt;&lt;title&gt;Establishing a reference range for bone turnover markers in young, healthy women&lt;/title&gt;&lt;secondary-title&gt;Bone&lt;/secondary-title&gt;&lt;alt-title&gt;Bone&lt;/alt-title&gt;&lt;/titles&gt;&lt;periodical&gt;&lt;full-title&gt;Bone&lt;/full-title&gt;&lt;abbr-1&gt;Bone&lt;/abbr-1&gt;&lt;/periodical&gt;&lt;alt-periodical&gt;&lt;full-title&gt;Bone&lt;/full-title&gt;&lt;abbr-1&gt;Bone&lt;/abbr-1&gt;&lt;/alt-periodical&gt;&lt;pages&gt;623-30&lt;/pages&gt;&lt;volume&gt;42&lt;/volume&gt;&lt;number&gt;4&lt;/number&gt;&lt;edition&gt;2008/02/22&lt;/edition&gt;&lt;keywords&gt;&lt;keyword&gt;Adult&lt;/keyword&gt;&lt;keyword&gt;Biological Markers/ blood/ urine&lt;/keyword&gt;&lt;keyword&gt;Bone and Bones/ metabolism&lt;/keyword&gt;&lt;keyword&gt;Female&lt;/keyword&gt;&lt;keyword&gt;Health&lt;/keyword&gt;&lt;keyword&gt;Humans&lt;/keyword&gt;&lt;keyword&gt;Middle Aged&lt;/keyword&gt;&lt;keyword&gt;Reference Values&lt;/keyword&gt;&lt;/keywords&gt;&lt;dates&gt;&lt;year&gt;2008&lt;/year&gt;&lt;pub-dates&gt;&lt;date&gt;Apr&lt;/date&gt;&lt;/pub-dates&gt;&lt;/dates&gt;&lt;isbn&gt;8756-3282 (Print)&amp;#xD;1873-2763 (Linking)&lt;/isbn&gt;&lt;accession-num&gt;18289953&lt;/accession-num&gt;&lt;urls&gt;&lt;/urls&gt;&lt;electronic-resource-num&gt;10.1016/j.bone.2007.12.218&lt;/electronic-resource-num&gt;&lt;remote-database-provider&gt;NLM&lt;/remote-database-provider&gt;&lt;language&gt;eng&lt;/language&gt;&lt;/record&gt;&lt;/Cite&gt;&lt;/EndNote&gt;</w:instrText>
      </w:r>
      <w:r w:rsidRPr="00594340">
        <w:rPr>
          <w:rFonts w:ascii="Arial" w:hAnsi="Arial" w:cs="Arial"/>
        </w:rPr>
        <w:fldChar w:fldCharType="separate"/>
      </w:r>
      <w:r w:rsidR="00B64C0F">
        <w:rPr>
          <w:rFonts w:ascii="Arial" w:hAnsi="Arial" w:cs="Arial"/>
          <w:noProof/>
        </w:rPr>
        <w:t>(</w:t>
      </w:r>
      <w:hyperlink w:anchor="_ENREF_367" w:tooltip="Glover, 2008 #167" w:history="1">
        <w:r w:rsidR="003B725E">
          <w:rPr>
            <w:rFonts w:ascii="Arial" w:hAnsi="Arial" w:cs="Arial"/>
            <w:noProof/>
          </w:rPr>
          <w:t>367</w:t>
        </w:r>
      </w:hyperlink>
      <w:r w:rsidR="00B64C0F">
        <w:rPr>
          <w:rFonts w:ascii="Arial" w:hAnsi="Arial" w:cs="Arial"/>
          <w:noProof/>
        </w:rPr>
        <w:t>)</w:t>
      </w:r>
      <w:r w:rsidRPr="00594340">
        <w:rPr>
          <w:rFonts w:ascii="Arial" w:hAnsi="Arial" w:cs="Arial"/>
        </w:rPr>
        <w:fldChar w:fldCharType="end"/>
      </w:r>
      <w:r w:rsidR="00B332A2" w:rsidRPr="00594340">
        <w:rPr>
          <w:rFonts w:ascii="Arial" w:hAnsi="Arial" w:cs="Arial"/>
        </w:rPr>
        <w:t xml:space="preserve"> demonstrated higher levels of NTX and bone ALP compared to non-smokers in women based in Sheffield. In another study, Glover et al </w:t>
      </w:r>
      <w:r w:rsidR="00463032">
        <w:rPr>
          <w:rFonts w:ascii="Arial" w:hAnsi="Arial" w:cs="Arial"/>
        </w:rPr>
        <w:t xml:space="preserve">2009, </w:t>
      </w:r>
      <w:r w:rsidRPr="00594340">
        <w:rPr>
          <w:rFonts w:ascii="Arial" w:hAnsi="Arial" w:cs="Arial"/>
        </w:rPr>
        <w:fldChar w:fldCharType="begin">
          <w:fldData xml:space="preserve">PEVuZE5vdGU+PENpdGU+PEF1dGhvcj5HbG92ZXI8L0F1dGhvcj48WWVhcj4yMDA5PC9ZZWFyPjxS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PEVuZE5vdGU+PENpdGU+PEF1dGhvcj5HbG92ZXI8L0F1dGhvcj48WWVhcj4yMDA5PC9ZZWFyPjxS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594340">
        <w:rPr>
          <w:rFonts w:ascii="Arial" w:hAnsi="Arial" w:cs="Arial"/>
        </w:rPr>
      </w:r>
      <w:r w:rsidRPr="00594340">
        <w:rPr>
          <w:rFonts w:ascii="Arial" w:hAnsi="Arial" w:cs="Arial"/>
        </w:rPr>
        <w:fldChar w:fldCharType="separate"/>
      </w:r>
      <w:r w:rsidR="00B64C0F">
        <w:rPr>
          <w:rFonts w:ascii="Arial" w:hAnsi="Arial" w:cs="Arial"/>
          <w:noProof/>
        </w:rPr>
        <w:t>(</w:t>
      </w:r>
      <w:hyperlink w:anchor="_ENREF_366" w:tooltip="Glover, 2009 #536" w:history="1">
        <w:r w:rsidR="003B725E">
          <w:rPr>
            <w:rFonts w:ascii="Arial" w:hAnsi="Arial" w:cs="Arial"/>
            <w:noProof/>
          </w:rPr>
          <w:t>366</w:t>
        </w:r>
      </w:hyperlink>
      <w:r w:rsidR="00B64C0F">
        <w:rPr>
          <w:rFonts w:ascii="Arial" w:hAnsi="Arial" w:cs="Arial"/>
          <w:noProof/>
        </w:rPr>
        <w:t>)</w:t>
      </w:r>
      <w:r w:rsidRPr="00594340">
        <w:rPr>
          <w:rFonts w:ascii="Arial" w:hAnsi="Arial" w:cs="Arial"/>
        </w:rPr>
        <w:fldChar w:fldCharType="end"/>
      </w:r>
      <w:r w:rsidRPr="00594340">
        <w:rPr>
          <w:rFonts w:ascii="Arial" w:hAnsi="Arial" w:cs="Arial"/>
        </w:rPr>
        <w:t xml:space="preserve"> </w:t>
      </w:r>
      <w:r w:rsidR="00B332A2" w:rsidRPr="00594340">
        <w:rPr>
          <w:rFonts w:ascii="Arial" w:hAnsi="Arial" w:cs="Arial"/>
        </w:rPr>
        <w:t>also demonstrated  higher levels of CTX and PINP compared to non-smokers in women based in the United Kingdom, France, Belgium and the United States. A possible mechanism</w:t>
      </w:r>
      <w:r w:rsidRPr="00594340">
        <w:rPr>
          <w:rFonts w:ascii="Arial" w:hAnsi="Arial" w:cs="Arial"/>
        </w:rPr>
        <w:t xml:space="preserve"> for the increase in BTMs in this</w:t>
      </w:r>
      <w:r w:rsidR="00B332A2" w:rsidRPr="00594340">
        <w:rPr>
          <w:rFonts w:ascii="Arial" w:hAnsi="Arial" w:cs="Arial"/>
        </w:rPr>
        <w:t xml:space="preserve"> study comes from work by Bjarnason and Christiansen</w:t>
      </w:r>
      <w:r w:rsidR="00765DEA">
        <w:rPr>
          <w:rFonts w:ascii="Arial" w:hAnsi="Arial" w:cs="Arial"/>
        </w:rPr>
        <w:t>, 2000</w:t>
      </w:r>
      <w:r w:rsidR="00222EF9">
        <w:rPr>
          <w:rFonts w:ascii="Arial" w:hAnsi="Arial" w:cs="Arial"/>
        </w:rPr>
        <w:t xml:space="preserve"> </w:t>
      </w:r>
      <w:r w:rsidR="00222EF9">
        <w:rPr>
          <w:rFonts w:ascii="Arial" w:hAnsi="Arial" w:cs="Arial"/>
        </w:rPr>
        <w:fldChar w:fldCharType="begin"/>
      </w:r>
      <w:r w:rsidR="000D155C">
        <w:rPr>
          <w:rFonts w:ascii="Arial" w:hAnsi="Arial" w:cs="Arial"/>
        </w:rPr>
        <w:instrText xml:space="preserve"> ADDIN EN.CITE &lt;EndNote&gt;&lt;Cite&gt;&lt;Author&gt;Bjarnason&lt;/Author&gt;&lt;Year&gt;2000&lt;/Year&gt;&lt;RecNum&gt;471&lt;/RecNum&gt;&lt;DisplayText&gt;(388)&lt;/DisplayText&gt;&lt;record&gt;&lt;rec-number&gt;471&lt;/rec-number&gt;&lt;foreign-keys&gt;&lt;key app="EN" db-id="p9a5ttsvyvde9me5aw2x05fp5p55axf0wr90" timestamp="1436198412"&gt;471&lt;/key&gt;&lt;/foreign-keys&gt;&lt;ref-type name="Journal Article"&gt;17&lt;/ref-type&gt;&lt;contributors&gt;&lt;authors&gt;&lt;author&gt;Bjarnason, N. H.&lt;/author&gt;&lt;author&gt;Christiansen, C.&lt;/author&gt;&lt;/authors&gt;&lt;/contributors&gt;&lt;auth-address&gt;Center for Clinical and Basic Research, Ballerup Byvej 222, Denmark. nb@ccbr.dk&lt;/auth-address&gt;&lt;titles&gt;&lt;title&gt;The influence of thinness and smoking on bone loss and response to hormone replacement therapy in early postmenopausal women&lt;/title&gt;&lt;secondary-title&gt;J Clin Endocrinol Metab&lt;/secondary-title&gt;&lt;/titles&gt;&lt;periodical&gt;&lt;full-title&gt;J Clin Endocrinol Metab&lt;/full-title&gt;&lt;abbr-1&gt;The Journal of clinical endocrinology and metabolism&lt;/abbr-1&gt;&lt;/periodical&gt;&lt;pages&gt;590-6&lt;/pages&gt;&lt;volume&gt;85&lt;/volume&gt;&lt;number&gt;2&lt;/number&gt;&lt;edition&gt;2000/02/26&lt;/edition&gt;&lt;keywords&gt;&lt;keyword&gt;Body Mass Index&lt;/keyword&gt;&lt;keyword&gt;Body Weight&lt;/keyword&gt;&lt;keyword&gt;Bone Density&lt;/keyword&gt;&lt;keyword&gt;Estradiol/blood&lt;/keyword&gt;&lt;keyword&gt;Estrogen Replacement Therapy&lt;/keyword&gt;&lt;keyword&gt;Female&lt;/keyword&gt;&lt;keyword&gt;Follicle Stimulating Hormone/blood&lt;/keyword&gt;&lt;keyword&gt;Humans&lt;/keyword&gt;&lt;keyword&gt;Middle Aged&lt;/keyword&gt;&lt;keyword&gt;Osteoporosis, Postmenopausal/ metabolism/ pathology&lt;/keyword&gt;&lt;keyword&gt;Smoking&lt;/keyword&gt;&lt;/keywords&gt;&lt;dates&gt;&lt;year&gt;2000&lt;/year&gt;&lt;pub-dates&gt;&lt;date&gt;Feb&lt;/date&gt;&lt;/pub-dates&gt;&lt;/dates&gt;&lt;isbn&gt;0021-972X (Print)&amp;#xD;0021-972X (Linking)&lt;/isbn&gt;&lt;accession-num&gt;10690860&lt;/accession-num&gt;&lt;urls&gt;&lt;/urls&gt;&lt;electronic-resource-num&gt;10.1210/jcem.85.2.6364&lt;/electronic-resource-num&gt;&lt;remote-database-provider&gt;NLM&lt;/remote-database-provider&gt;&lt;language&gt;eng&lt;/language&gt;&lt;/record&gt;&lt;/Cite&gt;&lt;/EndNote&gt;</w:instrText>
      </w:r>
      <w:r w:rsidR="00222EF9">
        <w:rPr>
          <w:rFonts w:ascii="Arial" w:hAnsi="Arial" w:cs="Arial"/>
        </w:rPr>
        <w:fldChar w:fldCharType="separate"/>
      </w:r>
      <w:r w:rsidR="000D155C">
        <w:rPr>
          <w:rFonts w:ascii="Arial" w:hAnsi="Arial" w:cs="Arial"/>
          <w:noProof/>
        </w:rPr>
        <w:t>(</w:t>
      </w:r>
      <w:hyperlink w:anchor="_ENREF_388" w:tooltip="Bjarnason, 2000 #471" w:history="1">
        <w:r w:rsidR="003B725E">
          <w:rPr>
            <w:rFonts w:ascii="Arial" w:hAnsi="Arial" w:cs="Arial"/>
            <w:noProof/>
          </w:rPr>
          <w:t>388</w:t>
        </w:r>
      </w:hyperlink>
      <w:r w:rsidR="000D155C">
        <w:rPr>
          <w:rFonts w:ascii="Arial" w:hAnsi="Arial" w:cs="Arial"/>
          <w:noProof/>
        </w:rPr>
        <w:t>)</w:t>
      </w:r>
      <w:r w:rsidR="00222EF9">
        <w:rPr>
          <w:rFonts w:ascii="Arial" w:hAnsi="Arial" w:cs="Arial"/>
        </w:rPr>
        <w:fldChar w:fldCharType="end"/>
      </w:r>
      <w:r w:rsidR="00B332A2" w:rsidRPr="00594340">
        <w:rPr>
          <w:rFonts w:ascii="Arial" w:hAnsi="Arial" w:cs="Arial"/>
        </w:rPr>
        <w:t>, where they demonstrated that women who smoked have increased degradation of estradiol and experience menopause at an</w:t>
      </w:r>
      <w:r w:rsidRPr="00594340">
        <w:rPr>
          <w:rFonts w:ascii="Arial" w:hAnsi="Arial" w:cs="Arial"/>
        </w:rPr>
        <w:t xml:space="preserve"> earlier age than non-smokers. </w:t>
      </w:r>
      <w:r w:rsidR="00B332A2" w:rsidRPr="00594340">
        <w:rPr>
          <w:rFonts w:ascii="Arial" w:hAnsi="Arial" w:cs="Arial"/>
        </w:rPr>
        <w:t>These factors should therefore be considered when reporting BTM data in clinical studies.</w:t>
      </w:r>
    </w:p>
    <w:p w:rsidR="00680A86" w:rsidRDefault="00B332A2" w:rsidP="005354D9">
      <w:pPr>
        <w:spacing w:line="360" w:lineRule="auto"/>
        <w:jc w:val="both"/>
        <w:rPr>
          <w:rFonts w:ascii="Arial" w:hAnsi="Arial" w:cs="Arial"/>
        </w:rPr>
      </w:pPr>
      <w:r w:rsidRPr="00594340">
        <w:rPr>
          <w:rFonts w:ascii="Arial" w:hAnsi="Arial" w:cs="Arial"/>
        </w:rPr>
        <w:lastRenderedPageBreak/>
        <w:t>In conclusion, this study presents healthy postmenopausal reference intervals for clinically useful BTMs, using valid exclusion criteria. These differ from premenopausal reference intervals and therefore ne</w:t>
      </w:r>
      <w:r w:rsidR="007D2C51">
        <w:rPr>
          <w:rFonts w:ascii="Arial" w:hAnsi="Arial" w:cs="Arial"/>
        </w:rPr>
        <w:t>ed to be determined separately.</w:t>
      </w:r>
    </w:p>
    <w:p w:rsidR="007D2C51" w:rsidRPr="007D2C51" w:rsidRDefault="007D2C51" w:rsidP="00D00363">
      <w:pPr>
        <w:spacing w:line="360" w:lineRule="auto"/>
        <w:jc w:val="both"/>
        <w:rPr>
          <w:rFonts w:ascii="Arial" w:hAnsi="Arial" w:cs="Arial"/>
        </w:rPr>
      </w:pPr>
      <w:r>
        <w:rPr>
          <w:rFonts w:ascii="Arial" w:hAnsi="Arial" w:cs="Arial"/>
        </w:rPr>
        <w:t xml:space="preserve">The main limitation in this study was that the blood was taken during a non-fasting state. </w:t>
      </w:r>
      <w:r w:rsidR="00D00363">
        <w:rPr>
          <w:rFonts w:ascii="Arial" w:hAnsi="Arial" w:cs="Arial"/>
        </w:rPr>
        <w:t xml:space="preserve">The </w:t>
      </w:r>
      <w:r>
        <w:rPr>
          <w:rFonts w:ascii="Arial" w:hAnsi="Arial" w:cs="Arial"/>
        </w:rPr>
        <w:t>subsequent chapters investigating antiresorptives treatments and their mechanisms of actions</w:t>
      </w:r>
      <w:r w:rsidR="008C6D70">
        <w:rPr>
          <w:rFonts w:ascii="Arial" w:hAnsi="Arial" w:cs="Arial"/>
        </w:rPr>
        <w:t>,</w:t>
      </w:r>
      <w:r>
        <w:rPr>
          <w:rFonts w:ascii="Arial" w:hAnsi="Arial" w:cs="Arial"/>
        </w:rPr>
        <w:t xml:space="preserve"> fasting premenopausal reference intervals were established and used. This meant that</w:t>
      </w:r>
      <w:r w:rsidR="008C6D70">
        <w:rPr>
          <w:rFonts w:ascii="Arial" w:hAnsi="Arial" w:cs="Arial"/>
        </w:rPr>
        <w:t xml:space="preserve"> food intake was not contributing to the data obtained.</w:t>
      </w:r>
    </w:p>
    <w:p w:rsidR="0081484A" w:rsidRDefault="0081484A" w:rsidP="005354D9">
      <w:pPr>
        <w:pStyle w:val="Heading1"/>
        <w:spacing w:before="0"/>
        <w:jc w:val="both"/>
      </w:pPr>
    </w:p>
    <w:p w:rsidR="0081484A" w:rsidRDefault="0081484A" w:rsidP="005354D9">
      <w:pPr>
        <w:pStyle w:val="Heading1"/>
        <w:spacing w:before="0"/>
        <w:jc w:val="both"/>
      </w:pPr>
    </w:p>
    <w:p w:rsidR="0081484A" w:rsidRDefault="0081484A" w:rsidP="005354D9">
      <w:pPr>
        <w:pStyle w:val="Heading1"/>
        <w:spacing w:before="0"/>
        <w:jc w:val="both"/>
      </w:pPr>
    </w:p>
    <w:p w:rsidR="0081484A" w:rsidRDefault="0081484A" w:rsidP="005354D9">
      <w:pPr>
        <w:pStyle w:val="Heading1"/>
        <w:spacing w:before="0"/>
        <w:jc w:val="both"/>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81484A" w:rsidRDefault="0081484A" w:rsidP="00900F2C">
      <w:pPr>
        <w:pStyle w:val="Heading1"/>
        <w:spacing w:before="0"/>
      </w:pPr>
    </w:p>
    <w:p w:rsidR="00401556" w:rsidRPr="00401556" w:rsidRDefault="00401556" w:rsidP="00900F2C"/>
    <w:p w:rsidR="00402191" w:rsidRDefault="001C26EC" w:rsidP="005354D9">
      <w:pPr>
        <w:pStyle w:val="Heading1"/>
        <w:spacing w:before="0"/>
        <w:jc w:val="both"/>
      </w:pPr>
      <w:bookmarkStart w:id="134" w:name="_Toc425418924"/>
      <w:r>
        <w:t xml:space="preserve">Chapter 4: </w:t>
      </w:r>
      <w:r w:rsidR="00320E3B">
        <w:t xml:space="preserve">Clinical utility of bone balance and bone turnover in </w:t>
      </w:r>
      <w:r w:rsidR="00DB5A96">
        <w:t>postmenopausal</w:t>
      </w:r>
      <w:r w:rsidR="00C44C46">
        <w:t xml:space="preserve"> women</w:t>
      </w:r>
      <w:bookmarkEnd w:id="134"/>
    </w:p>
    <w:p w:rsidR="001C26EC" w:rsidRDefault="001C26EC" w:rsidP="005354D9">
      <w:pPr>
        <w:pStyle w:val="Heading2"/>
        <w:jc w:val="both"/>
      </w:pPr>
      <w:bookmarkStart w:id="135" w:name="_Toc425418925"/>
      <w:r>
        <w:t>I</w:t>
      </w:r>
      <w:r w:rsidR="000C73D2">
        <w:t>ntroduction</w:t>
      </w:r>
      <w:bookmarkEnd w:id="135"/>
    </w:p>
    <w:p w:rsidR="00BE0D8E" w:rsidRDefault="00A206CA" w:rsidP="003B725E">
      <w:pPr>
        <w:spacing w:line="360" w:lineRule="auto"/>
        <w:jc w:val="both"/>
        <w:rPr>
          <w:rFonts w:ascii="Arial" w:hAnsi="Arial" w:cs="Arial"/>
        </w:rPr>
      </w:pPr>
      <w:r>
        <w:rPr>
          <w:rFonts w:ascii="Arial" w:hAnsi="Arial" w:cs="Arial"/>
          <w:noProof/>
          <w:lang w:eastAsia="zh-CN"/>
        </w:rPr>
        <mc:AlternateContent>
          <mc:Choice Requires="wps">
            <w:drawing>
              <wp:anchor distT="0" distB="0" distL="114300" distR="114300" simplePos="0" relativeHeight="251612672" behindDoc="0" locked="0" layoutInCell="1" allowOverlap="1" wp14:anchorId="1E107C75" wp14:editId="79835CE2">
                <wp:simplePos x="0" y="0"/>
                <wp:positionH relativeFrom="column">
                  <wp:posOffset>-106680</wp:posOffset>
                </wp:positionH>
                <wp:positionV relativeFrom="paragraph">
                  <wp:posOffset>2009775</wp:posOffset>
                </wp:positionV>
                <wp:extent cx="6115050" cy="1704975"/>
                <wp:effectExtent l="0" t="0" r="19050" b="28575"/>
                <wp:wrapNone/>
                <wp:docPr id="18645" name="Rectangle 18645"/>
                <wp:cNvGraphicFramePr/>
                <a:graphic xmlns:a="http://schemas.openxmlformats.org/drawingml/2006/main">
                  <a:graphicData uri="http://schemas.microsoft.com/office/word/2010/wordprocessingShape">
                    <wps:wsp>
                      <wps:cNvSpPr/>
                      <wps:spPr>
                        <a:xfrm>
                          <a:off x="0" y="0"/>
                          <a:ext cx="6115050" cy="17049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E2A26" id="Rectangle 18645" o:spid="_x0000_s1026" style="position:absolute;margin-left:-8.4pt;margin-top:158.25pt;width:481.5pt;height:134.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" filled="f" strokecolor="black [3213]"/>
            </w:pict>
          </mc:Fallback>
        </mc:AlternateContent>
      </w:r>
      <w:r w:rsidR="00BE0D8E" w:rsidRPr="00555AD2">
        <w:rPr>
          <w:rFonts w:ascii="Arial" w:hAnsi="Arial" w:cs="Arial"/>
        </w:rPr>
        <w:t>Postmenopausal osteoporosis is a skeletal disorder characterised by high bone turnover, and as a result of estrogen deficiency there is an imbalance between bone resorption and bone formation</w:t>
      </w:r>
      <w:r w:rsidR="00171900">
        <w:rPr>
          <w:rFonts w:ascii="Arial" w:hAnsi="Arial" w:cs="Arial"/>
        </w:rPr>
        <w:t xml:space="preserve">, </w:t>
      </w:r>
      <w:r w:rsidR="00171900">
        <w:rPr>
          <w:rFonts w:ascii="Arial" w:hAnsi="Arial" w:cs="Arial"/>
        </w:rPr>
        <w:fldChar w:fldCharType="begin">
          <w:fldData xml:space="preserve">PEVuZE5vdGU+PENpdGU+PEF1dGhvcj5Db21wc3RvbjwvQXV0aG9yPjxZZWFyPjIwMDc8L1llYXI+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YXJjaDwvYWJici0xPjwvYWx0LXBlcmlvZGljYWw+PHBhZ2VzPjEwMzEtNjwvcGFnZXM+PHZvbHVt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PEVuZE5vdGU+PENpdGU+PEF1dGhvcj5Db21wc3RvbjwvQXV0aG9yPjxZZWFyPjIwMDc8L1llYXI+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171900">
        <w:rPr>
          <w:rFonts w:ascii="Arial" w:hAnsi="Arial" w:cs="Arial"/>
        </w:rPr>
      </w:r>
      <w:r w:rsidR="00171900">
        <w:rPr>
          <w:rFonts w:ascii="Arial" w:hAnsi="Arial" w:cs="Arial"/>
        </w:rPr>
        <w:fldChar w:fldCharType="separate"/>
      </w:r>
      <w:r w:rsidR="005A347B">
        <w:rPr>
          <w:rFonts w:ascii="Arial" w:hAnsi="Arial" w:cs="Arial"/>
          <w:noProof/>
        </w:rPr>
        <w:t>(</w:t>
      </w:r>
      <w:hyperlink w:anchor="_ENREF_157" w:tooltip="Compston, 2007 #106" w:history="1">
        <w:r w:rsidR="003B725E">
          <w:rPr>
            <w:rFonts w:ascii="Arial" w:hAnsi="Arial" w:cs="Arial"/>
            <w:noProof/>
          </w:rPr>
          <w:t>157</w:t>
        </w:r>
      </w:hyperlink>
      <w:r w:rsidR="005A347B">
        <w:rPr>
          <w:rFonts w:ascii="Arial" w:hAnsi="Arial" w:cs="Arial"/>
          <w:noProof/>
        </w:rPr>
        <w:t>)</w:t>
      </w:r>
      <w:r w:rsidR="00171900">
        <w:rPr>
          <w:rFonts w:ascii="Arial" w:hAnsi="Arial" w:cs="Arial"/>
        </w:rPr>
        <w:fldChar w:fldCharType="end"/>
      </w:r>
      <w:r w:rsidR="00BE0D8E" w:rsidRPr="00555AD2">
        <w:rPr>
          <w:rFonts w:ascii="Arial" w:hAnsi="Arial" w:cs="Arial"/>
        </w:rPr>
        <w:t>. This is associated with bone loss, predisposing to an increased risk of fracture</w:t>
      </w:r>
      <w:r w:rsidR="00FE5129">
        <w:rPr>
          <w:rFonts w:ascii="Arial" w:hAnsi="Arial" w:cs="Arial"/>
        </w:rPr>
        <w:t>, (Figure 34</w:t>
      </w:r>
      <w:r w:rsidR="007E0FBA">
        <w:rPr>
          <w:rFonts w:ascii="Arial" w:hAnsi="Arial" w:cs="Arial"/>
        </w:rPr>
        <w:t>)</w:t>
      </w:r>
      <w:r w:rsidR="00BE0D8E" w:rsidRPr="00555AD2">
        <w:rPr>
          <w:rFonts w:ascii="Arial" w:hAnsi="Arial" w:cs="Arial"/>
        </w:rPr>
        <w:t>. A high bone turno</w:t>
      </w:r>
      <w:r w:rsidR="00171900">
        <w:rPr>
          <w:rFonts w:ascii="Arial" w:hAnsi="Arial" w:cs="Arial"/>
        </w:rPr>
        <w:t>ver state as assessed by BTMs is</w:t>
      </w:r>
      <w:r w:rsidR="00BE0D8E" w:rsidRPr="00555AD2">
        <w:rPr>
          <w:rFonts w:ascii="Arial" w:hAnsi="Arial" w:cs="Arial"/>
        </w:rPr>
        <w:t xml:space="preserve"> associated with lower BMD, accelerated bone loss and impaired bone architecture in both trabeculae and cortical bone compartments. However, increased levels of BTMs predict major osteoporotic fractures of the vertebra, hip and multiple fractures independently of age, BMD and previous fractures </w:t>
      </w:r>
      <w:r w:rsidR="00222EF9">
        <w:rPr>
          <w:rFonts w:ascii="Arial" w:hAnsi="Arial" w:cs="Arial"/>
        </w:rPr>
        <w:fldChar w:fldCharType="begin">
          <w:fldData xml:space="preserve">PEVuZE5vdGU+PENpdGU+PEF1dGhvcj5WYXNpa2FyYW48L0F1dGhvcj48WWVhcj4yMDExPC9ZZWFy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=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PjxSZWNOdW0+NTE4PC9SZWNOdW0+PERpc3BsYXlUZXh0PigzMTksIDM4OSk8L0Rpc3BsYXlUZXh0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=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222EF9">
        <w:rPr>
          <w:rFonts w:ascii="Arial" w:hAnsi="Arial" w:cs="Arial"/>
        </w:rPr>
      </w:r>
      <w:r w:rsidR="00222EF9">
        <w:rPr>
          <w:rFonts w:ascii="Arial" w:hAnsi="Arial" w:cs="Arial"/>
        </w:rPr>
        <w:fldChar w:fldCharType="separate"/>
      </w:r>
      <w:r w:rsidR="000D155C">
        <w:rPr>
          <w:rFonts w:ascii="Arial" w:hAnsi="Arial" w:cs="Arial"/>
          <w:noProof/>
        </w:rPr>
        <w:t>(</w:t>
      </w:r>
      <w:hyperlink w:anchor="_ENREF_319" w:tooltip="Vasikaran, 2011 #518" w:history="1">
        <w:r w:rsidR="003B725E">
          <w:rPr>
            <w:rFonts w:ascii="Arial" w:hAnsi="Arial" w:cs="Arial"/>
            <w:noProof/>
          </w:rPr>
          <w:t>319</w:t>
        </w:r>
      </w:hyperlink>
      <w:r w:rsidR="000D155C">
        <w:rPr>
          <w:rFonts w:ascii="Arial" w:hAnsi="Arial" w:cs="Arial"/>
          <w:noProof/>
        </w:rPr>
        <w:t xml:space="preserve">, </w:t>
      </w:r>
      <w:hyperlink w:anchor="_ENREF_389" w:tooltip="Kanis, 2014 #472" w:history="1">
        <w:r w:rsidR="003B725E">
          <w:rPr>
            <w:rFonts w:ascii="Arial" w:hAnsi="Arial" w:cs="Arial"/>
            <w:noProof/>
          </w:rPr>
          <w:t>389</w:t>
        </w:r>
      </w:hyperlink>
      <w:r w:rsidR="000D155C">
        <w:rPr>
          <w:rFonts w:ascii="Arial" w:hAnsi="Arial" w:cs="Arial"/>
          <w:noProof/>
        </w:rPr>
        <w:t>)</w:t>
      </w:r>
      <w:r w:rsidR="00222EF9">
        <w:rPr>
          <w:rFonts w:ascii="Arial" w:hAnsi="Arial" w:cs="Arial"/>
        </w:rPr>
        <w:fldChar w:fldCharType="end"/>
      </w:r>
      <w:r w:rsidR="00BE0D8E" w:rsidRPr="00555AD2">
        <w:rPr>
          <w:rFonts w:ascii="Arial" w:hAnsi="Arial" w:cs="Arial"/>
        </w:rPr>
        <w:t>.</w:t>
      </w:r>
    </w:p>
    <w:p w:rsidR="00730C4B" w:rsidRDefault="00E77FBD" w:rsidP="00900F2C">
      <w:pPr>
        <w:spacing w:line="360" w:lineRule="auto"/>
        <w:rPr>
          <w:rFonts w:ascii="Arial" w:hAnsi="Arial" w:cs="Arial"/>
        </w:rPr>
      </w:pPr>
      <w:r>
        <w:rPr>
          <w:noProof/>
          <w:lang w:eastAsia="zh-CN"/>
        </w:rPr>
        <mc:AlternateContent>
          <mc:Choice Requires="wps">
            <w:drawing>
              <wp:anchor distT="0" distB="0" distL="114300" distR="114300" simplePos="0" relativeHeight="251501056" behindDoc="0" locked="0" layoutInCell="1" allowOverlap="1" wp14:anchorId="3F8F35C6" wp14:editId="740EC784">
                <wp:simplePos x="0" y="0"/>
                <wp:positionH relativeFrom="column">
                  <wp:posOffset>0</wp:posOffset>
                </wp:positionH>
                <wp:positionV relativeFrom="paragraph">
                  <wp:posOffset>1799590</wp:posOffset>
                </wp:positionV>
                <wp:extent cx="6229350" cy="635"/>
                <wp:effectExtent l="0" t="0" r="0" b="8255"/>
                <wp:wrapNone/>
                <wp:docPr id="18646" name="Text Box 18646"/>
                <wp:cNvGraphicFramePr/>
                <a:graphic xmlns:a="http://schemas.openxmlformats.org/drawingml/2006/main">
                  <a:graphicData uri="http://schemas.microsoft.com/office/word/2010/wordprocessingShape">
                    <wps:wsp>
                      <wps:cNvSpPr txBox="1"/>
                      <wps:spPr>
                        <a:xfrm>
                          <a:off x="0" y="0"/>
                          <a:ext cx="6229350" cy="635"/>
                        </a:xfrm>
                        <a:prstGeom prst="rect">
                          <a:avLst/>
                        </a:prstGeom>
                        <a:solidFill>
                          <a:prstClr val="white"/>
                        </a:solidFill>
                        <a:ln>
                          <a:noFill/>
                        </a:ln>
                        <a:effectLst/>
                      </wps:spPr>
                      <wps:txbx>
                        <w:txbxContent>
                          <w:p w:rsidR="004166BC" w:rsidRPr="006F6DBF" w:rsidRDefault="004166BC" w:rsidP="007E0FBA">
                            <w:pPr>
                              <w:pStyle w:val="Caption"/>
                              <w:rPr>
                                <w:rFonts w:ascii="Arial" w:hAnsi="Arial" w:cs="Arial"/>
                                <w:b w:val="0"/>
                                <w:noProof/>
                              </w:rPr>
                            </w:pPr>
                            <w:bookmarkStart w:id="136" w:name="_Toc422736081"/>
                            <w:bookmarkStart w:id="137" w:name="_Toc422736189"/>
                            <w:bookmarkStart w:id="138" w:name="_Toc425419523"/>
                            <w:r w:rsidRPr="006F6DBF">
                              <w:rPr>
                                <w:rFonts w:ascii="Arial" w:hAnsi="Arial" w:cs="Arial"/>
                                <w:b w:val="0"/>
                                <w:color w:val="auto"/>
                              </w:rPr>
                              <w:t xml:space="preserve">Figure </w:t>
                            </w:r>
                            <w:r w:rsidRPr="006F6DBF">
                              <w:rPr>
                                <w:rFonts w:ascii="Arial" w:hAnsi="Arial" w:cs="Arial"/>
                                <w:b w:val="0"/>
                                <w:color w:val="auto"/>
                              </w:rPr>
                              <w:fldChar w:fldCharType="begin"/>
                            </w:r>
                            <w:r w:rsidRPr="006F6DBF">
                              <w:rPr>
                                <w:rFonts w:ascii="Arial" w:hAnsi="Arial" w:cs="Arial"/>
                                <w:b w:val="0"/>
                                <w:color w:val="auto"/>
                              </w:rPr>
                              <w:instrText xml:space="preserve"> SEQ Figure \* ARABIC </w:instrText>
                            </w:r>
                            <w:r w:rsidRPr="006F6DBF">
                              <w:rPr>
                                <w:rFonts w:ascii="Arial" w:hAnsi="Arial" w:cs="Arial"/>
                                <w:b w:val="0"/>
                                <w:color w:val="auto"/>
                              </w:rPr>
                              <w:fldChar w:fldCharType="separate"/>
                            </w:r>
                            <w:r>
                              <w:rPr>
                                <w:rFonts w:ascii="Arial" w:hAnsi="Arial" w:cs="Arial"/>
                                <w:b w:val="0"/>
                                <w:noProof/>
                                <w:color w:val="auto"/>
                              </w:rPr>
                              <w:t>34</w:t>
                            </w:r>
                            <w:r w:rsidRPr="006F6DBF">
                              <w:rPr>
                                <w:rFonts w:ascii="Arial" w:hAnsi="Arial" w:cs="Arial"/>
                                <w:b w:val="0"/>
                                <w:noProof/>
                                <w:color w:val="auto"/>
                              </w:rPr>
                              <w:fldChar w:fldCharType="end"/>
                            </w:r>
                            <w:r w:rsidRPr="006F6DBF">
                              <w:rPr>
                                <w:rFonts w:ascii="Arial" w:hAnsi="Arial" w:cs="Arial"/>
                                <w:b w:val="0"/>
                                <w:color w:val="auto"/>
                              </w:rPr>
                              <w:t xml:space="preserve">: The </w:t>
                            </w:r>
                            <w:r>
                              <w:rPr>
                                <w:rFonts w:ascii="Arial" w:hAnsi="Arial" w:cs="Arial"/>
                                <w:b w:val="0"/>
                                <w:color w:val="auto"/>
                              </w:rPr>
                              <w:t>clinical features</w:t>
                            </w:r>
                            <w:r w:rsidRPr="006F6DBF">
                              <w:rPr>
                                <w:rFonts w:ascii="Arial" w:hAnsi="Arial" w:cs="Arial"/>
                                <w:b w:val="0"/>
                                <w:color w:val="auto"/>
                              </w:rPr>
                              <w:t xml:space="preserve"> of postmenopausal osteoporosis.</w:t>
                            </w:r>
                            <w:bookmarkEnd w:id="136"/>
                            <w:bookmarkEnd w:id="137"/>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F35C6" id="Text Box 18646" o:spid="_x0000_s1147" type="#_x0000_t202" style="position:absolute;margin-left:0;margin-top:141.7pt;width:490.5pt;height:.05pt;z-index:2515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" stroked="f">
                <v:textbox style="mso-fit-shape-to-text:t" inset="0,0,0,0">
                  <w:txbxContent>
                    <w:p w:rsidR="004166BC" w:rsidRPr="006F6DBF" w:rsidRDefault="004166BC" w:rsidP="007E0FBA">
                      <w:pPr>
                        <w:pStyle w:val="Caption"/>
                        <w:rPr>
                          <w:rFonts w:ascii="Arial" w:hAnsi="Arial" w:cs="Arial"/>
                          <w:b w:val="0"/>
                          <w:noProof/>
                        </w:rPr>
                      </w:pPr>
                      <w:bookmarkStart w:id="187" w:name="_Toc422736081"/>
                      <w:bookmarkStart w:id="188" w:name="_Toc422736189"/>
                      <w:bookmarkStart w:id="189" w:name="_Toc425419523"/>
                      <w:r w:rsidRPr="006F6DBF">
                        <w:rPr>
                          <w:rFonts w:ascii="Arial" w:hAnsi="Arial" w:cs="Arial"/>
                          <w:b w:val="0"/>
                          <w:color w:val="auto"/>
                        </w:rPr>
                        <w:t xml:space="preserve">Figure </w:t>
                      </w:r>
                      <w:r w:rsidRPr="006F6DBF">
                        <w:rPr>
                          <w:rFonts w:ascii="Arial" w:hAnsi="Arial" w:cs="Arial"/>
                          <w:b w:val="0"/>
                          <w:color w:val="auto"/>
                        </w:rPr>
                        <w:fldChar w:fldCharType="begin"/>
                      </w:r>
                      <w:r w:rsidRPr="006F6DBF">
                        <w:rPr>
                          <w:rFonts w:ascii="Arial" w:hAnsi="Arial" w:cs="Arial"/>
                          <w:b w:val="0"/>
                          <w:color w:val="auto"/>
                        </w:rPr>
                        <w:instrText xml:space="preserve"> SEQ Figure \* ARABIC </w:instrText>
                      </w:r>
                      <w:r w:rsidRPr="006F6DBF">
                        <w:rPr>
                          <w:rFonts w:ascii="Arial" w:hAnsi="Arial" w:cs="Arial"/>
                          <w:b w:val="0"/>
                          <w:color w:val="auto"/>
                        </w:rPr>
                        <w:fldChar w:fldCharType="separate"/>
                      </w:r>
                      <w:r>
                        <w:rPr>
                          <w:rFonts w:ascii="Arial" w:hAnsi="Arial" w:cs="Arial"/>
                          <w:b w:val="0"/>
                          <w:noProof/>
                          <w:color w:val="auto"/>
                        </w:rPr>
                        <w:t>34</w:t>
                      </w:r>
                      <w:r w:rsidRPr="006F6DBF">
                        <w:rPr>
                          <w:rFonts w:ascii="Arial" w:hAnsi="Arial" w:cs="Arial"/>
                          <w:b w:val="0"/>
                          <w:noProof/>
                          <w:color w:val="auto"/>
                        </w:rPr>
                        <w:fldChar w:fldCharType="end"/>
                      </w:r>
                      <w:r w:rsidRPr="006F6DBF">
                        <w:rPr>
                          <w:rFonts w:ascii="Arial" w:hAnsi="Arial" w:cs="Arial"/>
                          <w:b w:val="0"/>
                          <w:color w:val="auto"/>
                        </w:rPr>
                        <w:t xml:space="preserve">: The </w:t>
                      </w:r>
                      <w:r>
                        <w:rPr>
                          <w:rFonts w:ascii="Arial" w:hAnsi="Arial" w:cs="Arial"/>
                          <w:b w:val="0"/>
                          <w:color w:val="auto"/>
                        </w:rPr>
                        <w:t>clinical features</w:t>
                      </w:r>
                      <w:r w:rsidRPr="006F6DBF">
                        <w:rPr>
                          <w:rFonts w:ascii="Arial" w:hAnsi="Arial" w:cs="Arial"/>
                          <w:b w:val="0"/>
                          <w:color w:val="auto"/>
                        </w:rPr>
                        <w:t xml:space="preserve"> of postmenopausal osteoporosis.</w:t>
                      </w:r>
                      <w:bookmarkEnd w:id="187"/>
                      <w:bookmarkEnd w:id="188"/>
                      <w:bookmarkEnd w:id="189"/>
                    </w:p>
                  </w:txbxContent>
                </v:textbox>
              </v:shape>
            </w:pict>
          </mc:Fallback>
        </mc:AlternateContent>
      </w:r>
      <w:r w:rsidR="00730C4B">
        <w:rPr>
          <w:rFonts w:ascii="Arial" w:hAnsi="Arial" w:cs="Arial"/>
          <w:noProof/>
          <w:lang w:eastAsia="zh-CN"/>
        </w:rPr>
        <w:drawing>
          <wp:inline distT="0" distB="0" distL="0" distR="0" wp14:anchorId="760903F1" wp14:editId="52E93175">
            <wp:extent cx="5967411" cy="1666875"/>
            <wp:effectExtent l="0" t="0" r="0" b="0"/>
            <wp:docPr id="18644" name="Picture 1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70956" cy="1751664"/>
                    </a:xfrm>
                    <a:prstGeom prst="rect">
                      <a:avLst/>
                    </a:prstGeom>
                    <a:noFill/>
                  </pic:spPr>
                </pic:pic>
              </a:graphicData>
            </a:graphic>
          </wp:inline>
        </w:drawing>
      </w:r>
    </w:p>
    <w:p w:rsidR="007E0FBA" w:rsidRDefault="007E0FBA" w:rsidP="00900F2C">
      <w:pPr>
        <w:spacing w:line="360" w:lineRule="auto"/>
        <w:rPr>
          <w:rFonts w:ascii="Arial" w:hAnsi="Arial" w:cs="Arial"/>
        </w:rPr>
      </w:pPr>
    </w:p>
    <w:p w:rsidR="00DE4643" w:rsidRDefault="00DE4643" w:rsidP="003B725E">
      <w:pPr>
        <w:spacing w:line="360" w:lineRule="auto"/>
        <w:jc w:val="both"/>
        <w:rPr>
          <w:rFonts w:ascii="Arial" w:hAnsi="Arial" w:cs="Arial"/>
        </w:rPr>
      </w:pPr>
      <w:r>
        <w:rPr>
          <w:rFonts w:ascii="Arial" w:hAnsi="Arial" w:cs="Arial"/>
        </w:rPr>
        <w:t xml:space="preserve">Several </w:t>
      </w:r>
      <w:r w:rsidR="007600B5">
        <w:rPr>
          <w:rFonts w:ascii="Arial" w:hAnsi="Arial" w:cs="Arial"/>
        </w:rPr>
        <w:t>clinical studies have proposed that BTMs could be used as diagnostics tools for estimating the risk of fracture</w:t>
      </w:r>
      <w:r w:rsidR="006B1CBA">
        <w:rPr>
          <w:rFonts w:ascii="Arial" w:hAnsi="Arial" w:cs="Arial"/>
        </w:rPr>
        <w:t xml:space="preserve"> in a clinical setting</w:t>
      </w:r>
      <w:r w:rsidR="007600B5">
        <w:rPr>
          <w:rFonts w:ascii="Arial" w:hAnsi="Arial" w:cs="Arial"/>
        </w:rPr>
        <w:t xml:space="preserve">. The Os des Femmes de Lyon (OFELY) and </w:t>
      </w:r>
      <w:r w:rsidR="007E775A">
        <w:rPr>
          <w:rFonts w:ascii="Arial" w:hAnsi="Arial" w:cs="Arial"/>
        </w:rPr>
        <w:t xml:space="preserve">EPIDOS demonstrated that increase levels of bone resorption markers, but not bone formation markers, increased the risk of hip fracture by twofold independently of BMD </w:t>
      </w:r>
      <w:r w:rsidR="00A206CA">
        <w:rPr>
          <w:rFonts w:ascii="Arial" w:hAnsi="Arial" w:cs="Arial"/>
        </w:rPr>
        <w:fldChar w:fldCharType="begin">
          <w:fldData xml:space="preserve">PEVuZE5vdGU+PENpdGU+PEF1dGhvcj5HYXJuZXJvPC9BdXRob3I+PFllYXI+MTk5NjwvWWVhcj48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MT48L2FsdC1wZXJpb2RpY2FsPjxwYWdlcz4xNTMxLTg8L3BhZ2VzPjx2b2x1bWU+MTE8L3ZvbHVt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b2RpY2FsPjxwYWdlcz4xNTMxLTg8L3BhZ2VzPjx2b2x1bWU+MTE8L3ZvbHVtZT48bnVtYmVyPjEw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cz4xNTMxLTg8L3BhZ2VzPjx2b2x1bWU+MTE8L3ZvbHVtZT48bnVtYmVyPjEwPC9udW1iZXI+PGVk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IEJvbmUgYW5kIE1pbmVyYWwgUmVzZWFyY2g8L2FiYnItMT48L3BlcmlvZGljYWw+PGFsdC1wZXJp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==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PEVuZE5vdGU+PENpdGU+PEF1dGhvcj5HYXJuZXJvPC9BdXRob3I+PFllYXI+MTk5NjwvWWVhcj48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MT48L2FsdC1wZXJpb2RpY2FsPjxwYWdlcz4xNTMxLTg8L3BhZ2VzPjx2b2x1bWU+MTE8L3ZvbHVt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b2RpY2FsPjxwYWdlcz4xNTMxLTg8L3BhZ2VzPjx2b2x1bWU+MTE8L3ZvbHVtZT48bnVtYmVyPjEw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cz4xNTMxLTg8L3BhZ2VzPjx2b2x1bWU+MTE8L3ZvbHVtZT48bnVtYmVyPjEwPC9udW1iZXI+PGVk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IEJvbmUgYW5kIE1pbmVyYWwgUmVzZWFyY2g8L2FiYnItMT48L3BlcmlvZGljYWw+PGFsdC1wZXJp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==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A206CA">
        <w:rPr>
          <w:rFonts w:ascii="Arial" w:hAnsi="Arial" w:cs="Arial"/>
        </w:rPr>
      </w:r>
      <w:r w:rsidR="00A206CA">
        <w:rPr>
          <w:rFonts w:ascii="Arial" w:hAnsi="Arial" w:cs="Arial"/>
        </w:rPr>
        <w:fldChar w:fldCharType="separate"/>
      </w:r>
      <w:r w:rsidR="00B64C0F">
        <w:rPr>
          <w:rFonts w:ascii="Arial" w:hAnsi="Arial" w:cs="Arial"/>
          <w:noProof/>
        </w:rPr>
        <w:t>(</w:t>
      </w:r>
      <w:hyperlink w:anchor="_ENREF_338" w:tooltip="Garnero, 2000 #190" w:history="1">
        <w:r w:rsidR="003B725E">
          <w:rPr>
            <w:rFonts w:ascii="Arial" w:hAnsi="Arial" w:cs="Arial"/>
            <w:noProof/>
          </w:rPr>
          <w:t>338</w:t>
        </w:r>
      </w:hyperlink>
      <w:r w:rsidR="00B64C0F">
        <w:rPr>
          <w:rFonts w:ascii="Arial" w:hAnsi="Arial" w:cs="Arial"/>
          <w:noProof/>
        </w:rPr>
        <w:t xml:space="preserve">, </w:t>
      </w:r>
      <w:hyperlink w:anchor="_ENREF_364" w:tooltip="Garnero, 1996 #163" w:history="1">
        <w:r w:rsidR="003B725E">
          <w:rPr>
            <w:rFonts w:ascii="Arial" w:hAnsi="Arial" w:cs="Arial"/>
            <w:noProof/>
          </w:rPr>
          <w:t>364</w:t>
        </w:r>
      </w:hyperlink>
      <w:r w:rsidR="00B64C0F">
        <w:rPr>
          <w:rFonts w:ascii="Arial" w:hAnsi="Arial" w:cs="Arial"/>
          <w:noProof/>
        </w:rPr>
        <w:t>)</w:t>
      </w:r>
      <w:r w:rsidR="00A206CA">
        <w:rPr>
          <w:rFonts w:ascii="Arial" w:hAnsi="Arial" w:cs="Arial"/>
        </w:rPr>
        <w:fldChar w:fldCharType="end"/>
      </w:r>
      <w:r w:rsidR="007E775A">
        <w:rPr>
          <w:rFonts w:ascii="Arial" w:hAnsi="Arial" w:cs="Arial"/>
        </w:rPr>
        <w:t xml:space="preserve">. Also the Rotterdam study demonstrated the high levels of bone resorption markers </w:t>
      </w:r>
      <w:r w:rsidR="000379D3">
        <w:rPr>
          <w:rFonts w:ascii="Arial" w:hAnsi="Arial" w:cs="Arial"/>
        </w:rPr>
        <w:t>were associated with</w:t>
      </w:r>
      <w:r w:rsidR="00E5449F">
        <w:rPr>
          <w:rFonts w:ascii="Arial" w:hAnsi="Arial" w:cs="Arial"/>
        </w:rPr>
        <w:t xml:space="preserve"> increased risk of hip</w:t>
      </w:r>
      <w:r w:rsidR="00382C3C">
        <w:rPr>
          <w:rFonts w:ascii="Arial" w:hAnsi="Arial" w:cs="Arial"/>
        </w:rPr>
        <w:t xml:space="preserve"> fracture after adjustment for </w:t>
      </w:r>
      <w:r w:rsidR="00E5449F">
        <w:rPr>
          <w:rFonts w:ascii="Arial" w:hAnsi="Arial" w:cs="Arial"/>
        </w:rPr>
        <w:t xml:space="preserve">BMD </w:t>
      </w:r>
      <w:r w:rsidR="00A206CA">
        <w:rPr>
          <w:rFonts w:ascii="Arial" w:hAnsi="Arial" w:cs="Arial"/>
        </w:rPr>
        <w:fldChar w:fldCharType="begin"/>
      </w:r>
      <w:r w:rsidR="000D155C">
        <w:rPr>
          <w:rFonts w:ascii="Arial" w:hAnsi="Arial" w:cs="Arial"/>
        </w:rPr>
        <w:instrText xml:space="preserve"> ADDIN EN.CITE &lt;EndNote&gt;&lt;Cite&gt;&lt;Author&gt;van Daele&lt;/Author&gt;&lt;Year&gt;1996&lt;/Year&gt;&lt;RecNum&gt;301&lt;/RecNum&gt;&lt;DisplayText&gt;(390)&lt;/DisplayText&gt;&lt;record&gt;&lt;rec-number&gt;301&lt;/rec-number&gt;&lt;foreign-keys&gt;&lt;key app="EN" db-id="p9a5ttsvyvde9me5aw2x05fp5p55axf0wr90" timestamp="1432299303"&gt;301&lt;/key&gt;&lt;/foreign-keys&gt;&lt;ref-type name="Journal Article"&gt;17&lt;/ref-type&gt;&lt;contributors&gt;&lt;authors&gt;&lt;author&gt;van Daele, P. L.&lt;/author&gt;&lt;author&gt;Seibel, M. J.&lt;/author&gt;&lt;author&gt;Burger, H.&lt;/author&gt;&lt;author&gt;Hofman, A.&lt;/author&gt;&lt;author&gt;Grobbee, D. E.&lt;/author&gt;&lt;author&gt;van Leeuwen, J. P.&lt;/author&gt;&lt;author&gt;Birkenhager, J. C.&lt;/author&gt;&lt;author&gt;Pols, H. A.&lt;/author&gt;&lt;/authors&gt;&lt;/contributors&gt;&lt;auth-address&gt;Department of Epidemiology and Biostatistics, Erasmus University Medical School, Rotterdam, Netherlands.&lt;/auth-address&gt;&lt;titles&gt;&lt;title&gt;Case-control analysis of bone resorption markers, disability, and hip fracture risk: the Rotterdam study&lt;/title&gt;&lt;secondary-title&gt;BMJ&lt;/secondary-title&gt;&lt;/titles&gt;&lt;periodical&gt;&lt;full-title&gt;BMJ&lt;/full-title&gt;&lt;/periodical&gt;&lt;pages&gt;482-3&lt;/pages&gt;&lt;volume&gt;312&lt;/volume&gt;&lt;number&gt;7029&lt;/number&gt;&lt;edition&gt;1996/02/24&lt;/edition&gt;&lt;keywords&gt;&lt;keyword&gt;Biological Markers/urine&lt;/keyword&gt;&lt;keyword&gt;Bone Density&lt;/keyword&gt;&lt;keyword&gt;Bone Resorption/ diagnosis/physiopathology&lt;/keyword&gt;&lt;keyword&gt;Case-Control Studies&lt;/keyword&gt;&lt;keyword&gt;Disabled Persons&lt;/keyword&gt;&lt;keyword&gt;Enzyme-Linked Immunosorbent Assay&lt;/keyword&gt;&lt;keyword&gt;Hip Fractures/ etiology/physiopathology&lt;/keyword&gt;&lt;keyword&gt;Humans&lt;/keyword&gt;&lt;keyword&gt;Netherlands&lt;/keyword&gt;&lt;keyword&gt;Pyridinium Compounds/ urine&lt;/keyword&gt;&lt;keyword&gt;Risk Factors&lt;/keyword&gt;&lt;/keywords&gt;&lt;dates&gt;&lt;year&gt;1996&lt;/year&gt;&lt;pub-dates&gt;&lt;date&gt;Feb 24&lt;/date&gt;&lt;/pub-dates&gt;&lt;/dates&gt;&lt;isbn&gt;0959-8138 (Print)&amp;#xD;0959-535X (Linking)&lt;/isbn&gt;&lt;accession-num&gt;8597681&lt;/accession-num&gt;&lt;urls&gt;&lt;/urls&gt;&lt;custom2&gt;PMC2349981&lt;/custom2&gt;&lt;remote-database-provider&gt;NLM&lt;/remote-database-provider&gt;&lt;language&gt;eng&lt;/language&gt;&lt;/record&gt;&lt;/Cite&gt;&lt;/EndNote&gt;</w:instrText>
      </w:r>
      <w:r w:rsidR="00A206CA">
        <w:rPr>
          <w:rFonts w:ascii="Arial" w:hAnsi="Arial" w:cs="Arial"/>
        </w:rPr>
        <w:fldChar w:fldCharType="separate"/>
      </w:r>
      <w:r w:rsidR="000D155C">
        <w:rPr>
          <w:rFonts w:ascii="Arial" w:hAnsi="Arial" w:cs="Arial"/>
          <w:noProof/>
        </w:rPr>
        <w:t>(</w:t>
      </w:r>
      <w:hyperlink w:anchor="_ENREF_390" w:tooltip="van Daele, 1996 #301" w:history="1">
        <w:r w:rsidR="003B725E">
          <w:rPr>
            <w:rFonts w:ascii="Arial" w:hAnsi="Arial" w:cs="Arial"/>
            <w:noProof/>
          </w:rPr>
          <w:t>390</w:t>
        </w:r>
      </w:hyperlink>
      <w:r w:rsidR="000D155C">
        <w:rPr>
          <w:rFonts w:ascii="Arial" w:hAnsi="Arial" w:cs="Arial"/>
          <w:noProof/>
        </w:rPr>
        <w:t>)</w:t>
      </w:r>
      <w:r w:rsidR="00A206CA">
        <w:rPr>
          <w:rFonts w:ascii="Arial" w:hAnsi="Arial" w:cs="Arial"/>
        </w:rPr>
        <w:fldChar w:fldCharType="end"/>
      </w:r>
      <w:r w:rsidR="00E5449F">
        <w:rPr>
          <w:rFonts w:ascii="Arial" w:hAnsi="Arial" w:cs="Arial"/>
        </w:rPr>
        <w:t xml:space="preserve">. </w:t>
      </w:r>
      <w:r w:rsidR="00382C3C">
        <w:rPr>
          <w:rFonts w:ascii="Arial" w:hAnsi="Arial" w:cs="Arial"/>
        </w:rPr>
        <w:t xml:space="preserve">Generally these studies have shown that </w:t>
      </w:r>
      <w:r w:rsidR="006B1CBA">
        <w:rPr>
          <w:rFonts w:ascii="Arial" w:hAnsi="Arial" w:cs="Arial"/>
        </w:rPr>
        <w:t xml:space="preserve">it is </w:t>
      </w:r>
      <w:r w:rsidR="00382C3C">
        <w:rPr>
          <w:rFonts w:ascii="Arial" w:hAnsi="Arial" w:cs="Arial"/>
        </w:rPr>
        <w:t xml:space="preserve">bone resorption markers </w:t>
      </w:r>
      <w:r w:rsidR="006B1CBA">
        <w:rPr>
          <w:rFonts w:ascii="Arial" w:hAnsi="Arial" w:cs="Arial"/>
        </w:rPr>
        <w:t xml:space="preserve">that </w:t>
      </w:r>
      <w:r w:rsidR="00382C3C">
        <w:rPr>
          <w:rFonts w:ascii="Arial" w:hAnsi="Arial" w:cs="Arial"/>
        </w:rPr>
        <w:t>are associated with fracture risk.</w:t>
      </w:r>
    </w:p>
    <w:p w:rsidR="00A97809" w:rsidRPr="00555AD2" w:rsidRDefault="001C278D" w:rsidP="003B725E">
      <w:pPr>
        <w:spacing w:line="360" w:lineRule="auto"/>
        <w:jc w:val="both"/>
        <w:rPr>
          <w:rFonts w:ascii="Arial" w:hAnsi="Arial" w:cs="Arial"/>
        </w:rPr>
      </w:pPr>
      <w:r>
        <w:rPr>
          <w:rFonts w:ascii="Arial" w:hAnsi="Arial" w:cs="Arial"/>
        </w:rPr>
        <w:t>Some</w:t>
      </w:r>
      <w:r w:rsidR="006B1CBA">
        <w:rPr>
          <w:rFonts w:ascii="Arial" w:hAnsi="Arial" w:cs="Arial"/>
        </w:rPr>
        <w:t xml:space="preserve"> have proposed that BTMs could be used as a diagnostic tool for estimating</w:t>
      </w:r>
      <w:r>
        <w:rPr>
          <w:rFonts w:ascii="Arial" w:hAnsi="Arial" w:cs="Arial"/>
        </w:rPr>
        <w:t xml:space="preserve"> bone loss</w:t>
      </w:r>
      <w:r w:rsidR="006B1CBA">
        <w:rPr>
          <w:rFonts w:ascii="Arial" w:hAnsi="Arial" w:cs="Arial"/>
        </w:rPr>
        <w:t xml:space="preserve">. Initially it was considered for identifying women who would benefit from HRT administration </w:t>
      </w:r>
      <w:r w:rsidR="00A206CA">
        <w:rPr>
          <w:rFonts w:ascii="Arial" w:hAnsi="Arial" w:cs="Arial"/>
        </w:rPr>
        <w:fldChar w:fldCharType="begin"/>
      </w:r>
      <w:r w:rsidR="000D155C">
        <w:rPr>
          <w:rFonts w:ascii="Arial" w:hAnsi="Arial" w:cs="Arial"/>
        </w:rPr>
        <w:instrText xml:space="preserve"> ADDIN EN.CITE &lt;EndNote&gt;&lt;Cite&gt;&lt;Author&gt;Hansen&lt;/Author&gt;&lt;Year&gt;1991&lt;/Year&gt;&lt;RecNum&gt;474&lt;/RecNum&gt;&lt;DisplayText&gt;(391)&lt;/DisplayText&gt;&lt;record&gt;&lt;rec-number&gt;474&lt;/rec-number&gt;&lt;foreign-keys&gt;&lt;key app="EN" db-id="p9a5ttsvyvde9me5aw2x05fp5p55axf0wr90" timestamp="1436199859"&gt;474&lt;/key&gt;&lt;/foreign-keys&gt;&lt;ref-type name="Journal Article"&gt;17&lt;/ref-type&gt;&lt;contributors&gt;&lt;authors&gt;&lt;author&gt;Hansen, M. A.&lt;/author&gt;&lt;author&gt;Overgaard, K.&lt;/author&gt;&lt;author&gt;Riis, B. J.&lt;/author&gt;&lt;author&gt;Christiansen, C.&lt;/author&gt;&lt;/authors&gt;&lt;/contributors&gt;&lt;auth-address&gt;Department of Clinical Chemistry, Glostrup Hospital, University of Copenhagen, Denmark.&lt;/auth-address&gt;&lt;titles&gt;&lt;title&gt;Role of peak bone mass and bone loss in postmenopausal osteoporosis: 12 year study&lt;/title&gt;&lt;secondary-title&gt;BMJ&lt;/secondary-title&gt;&lt;/titles&gt;&lt;periodical&gt;&lt;full-title&gt;BMJ&lt;/full-title&gt;&lt;/periodical&gt;&lt;pages&gt;961-4&lt;/pages&gt;&lt;volume&gt;303&lt;/volume&gt;&lt;number&gt;6808&lt;/number&gt;&lt;edition&gt;1991/10/19&lt;/edition&gt;&lt;keywords&gt;&lt;keyword&gt;Age Factors&lt;/keyword&gt;&lt;keyword&gt;Alkaline Phosphatase/blood&lt;/keyword&gt;&lt;keyword&gt;Bone Density/physiology&lt;/keyword&gt;&lt;keyword&gt;Bone and Bones/ metabolism&lt;/keyword&gt;&lt;keyword&gt;Calcium/urine&lt;/keyword&gt;&lt;keyword&gt;Creatinine/urine&lt;/keyword&gt;&lt;keyword&gt;Female&lt;/keyword&gt;&lt;keyword&gt;Fractures, Spontaneous/prevention &amp;amp; control&lt;/keyword&gt;&lt;keyword&gt;Humans&lt;/keyword&gt;&lt;keyword&gt;Hydroxyproline/urine&lt;/keyword&gt;&lt;keyword&gt;Middle Aged&lt;/keyword&gt;&lt;keyword&gt;Osteoporosis, Postmenopausal/ metabolism&lt;/keyword&gt;&lt;keyword&gt;Predictive Value of Tests&lt;/keyword&gt;&lt;keyword&gt;Risk&lt;/keyword&gt;&lt;/keywords&gt;&lt;dates&gt;&lt;year&gt;1991&lt;/year&gt;&lt;pub-dates&gt;&lt;date&gt;Oct 19&lt;/date&gt;&lt;/pub-dates&gt;&lt;/dates&gt;&lt;isbn&gt;0959-8138 (Print)&amp;#xD;0959-535X (Linking)&lt;/isbn&gt;&lt;accession-num&gt;1954420&lt;/accession-num&gt;&lt;urls&gt;&lt;/urls&gt;&lt;custom2&gt;PMC1671323&lt;/custom2&gt;&lt;remote-database-provider&gt;NLM&lt;/remote-database-provider&gt;&lt;language&gt;eng&lt;/language&gt;&lt;/record&gt;&lt;/Cite&gt;&lt;/EndNote&gt;</w:instrText>
      </w:r>
      <w:r w:rsidR="00A206CA">
        <w:rPr>
          <w:rFonts w:ascii="Arial" w:hAnsi="Arial" w:cs="Arial"/>
        </w:rPr>
        <w:fldChar w:fldCharType="separate"/>
      </w:r>
      <w:r w:rsidR="000D155C">
        <w:rPr>
          <w:rFonts w:ascii="Arial" w:hAnsi="Arial" w:cs="Arial"/>
          <w:noProof/>
        </w:rPr>
        <w:t>(</w:t>
      </w:r>
      <w:hyperlink w:anchor="_ENREF_391" w:tooltip="Hansen, 1991 #474" w:history="1">
        <w:r w:rsidR="003B725E">
          <w:rPr>
            <w:rFonts w:ascii="Arial" w:hAnsi="Arial" w:cs="Arial"/>
            <w:noProof/>
          </w:rPr>
          <w:t>391</w:t>
        </w:r>
      </w:hyperlink>
      <w:r w:rsidR="000D155C">
        <w:rPr>
          <w:rFonts w:ascii="Arial" w:hAnsi="Arial" w:cs="Arial"/>
          <w:noProof/>
        </w:rPr>
        <w:t>)</w:t>
      </w:r>
      <w:r w:rsidR="00A206CA">
        <w:rPr>
          <w:rFonts w:ascii="Arial" w:hAnsi="Arial" w:cs="Arial"/>
        </w:rPr>
        <w:fldChar w:fldCharType="end"/>
      </w:r>
      <w:r w:rsidR="00A206CA">
        <w:rPr>
          <w:rFonts w:ascii="Arial" w:hAnsi="Arial" w:cs="Arial"/>
        </w:rPr>
        <w:t xml:space="preserve"> </w:t>
      </w:r>
      <w:r w:rsidR="001D279E">
        <w:rPr>
          <w:rFonts w:ascii="Arial" w:hAnsi="Arial" w:cs="Arial"/>
        </w:rPr>
        <w:t xml:space="preserve">but since then studies have demonstrated associations between increased levels of BTMs and bone loss at the distal forearm, total hip and the lumbar spine </w:t>
      </w:r>
      <w:r w:rsidR="00A206CA">
        <w:rPr>
          <w:rFonts w:ascii="Arial" w:hAnsi="Arial" w:cs="Arial"/>
        </w:rPr>
        <w:fldChar w:fldCharType="begin">
          <w:fldData xml:space="preserve">PEVuZE5vdGU+PENpdGU+PEF1dGhvcj5EZWxtYXM8L0F1dGhvcj48WWVhcj4yMDAwPC9ZZWFyPjxS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PEVuZE5vdGU+PENpdGU+PEF1dGhvcj5EZWxtYXM8L0F1dGhvcj48WWVhcj4yMDAwPC9ZZWFyPjxS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A206CA">
        <w:rPr>
          <w:rFonts w:ascii="Arial" w:hAnsi="Arial" w:cs="Arial"/>
        </w:rPr>
      </w:r>
      <w:r w:rsidR="00A206CA">
        <w:rPr>
          <w:rFonts w:ascii="Arial" w:hAnsi="Arial" w:cs="Arial"/>
        </w:rPr>
        <w:fldChar w:fldCharType="separate"/>
      </w:r>
      <w:r w:rsidR="000D155C">
        <w:rPr>
          <w:rFonts w:ascii="Arial" w:hAnsi="Arial" w:cs="Arial"/>
          <w:noProof/>
        </w:rPr>
        <w:t>(</w:t>
      </w:r>
      <w:hyperlink w:anchor="_ENREF_392" w:tooltip="Delmas, 2000 #475" w:history="1">
        <w:r w:rsidR="003B725E">
          <w:rPr>
            <w:rFonts w:ascii="Arial" w:hAnsi="Arial" w:cs="Arial"/>
            <w:noProof/>
          </w:rPr>
          <w:t>392</w:t>
        </w:r>
      </w:hyperlink>
      <w:r w:rsidR="000D155C">
        <w:rPr>
          <w:rFonts w:ascii="Arial" w:hAnsi="Arial" w:cs="Arial"/>
          <w:noProof/>
        </w:rPr>
        <w:t>)</w:t>
      </w:r>
      <w:r w:rsidR="00A206CA">
        <w:rPr>
          <w:rFonts w:ascii="Arial" w:hAnsi="Arial" w:cs="Arial"/>
        </w:rPr>
        <w:fldChar w:fldCharType="end"/>
      </w:r>
      <w:r w:rsidR="001D279E">
        <w:rPr>
          <w:rFonts w:ascii="Arial" w:hAnsi="Arial" w:cs="Arial"/>
        </w:rPr>
        <w:t>.</w:t>
      </w:r>
      <w:r>
        <w:rPr>
          <w:rFonts w:ascii="Arial" w:hAnsi="Arial" w:cs="Arial"/>
        </w:rPr>
        <w:t xml:space="preserve"> However it have been demonstrated that BTMs cannot be used for predicting bone loss at the individual level </w:t>
      </w:r>
      <w:r>
        <w:rPr>
          <w:rFonts w:ascii="Arial" w:hAnsi="Arial" w:cs="Arial"/>
        </w:rPr>
        <w:fldChar w:fldCharType="begin">
          <w:fldData xml:space="preserve">PEVuZE5vdGU+PENpdGU+PEF1dGhvcj5TdGVwYW48L0F1dGhvcj48WWVhcj4yMDAwPC9ZZWFyPjxS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PEVuZE5vdGU+PENpdGU+PEF1dGhvcj5TdGVwYW48L0F1dGhvcj48WWVhcj4yMDAwPC9ZZWFyPjxS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Pr>
          <w:rFonts w:ascii="Arial" w:hAnsi="Arial" w:cs="Arial"/>
        </w:rPr>
      </w:r>
      <w:r>
        <w:rPr>
          <w:rFonts w:ascii="Arial" w:hAnsi="Arial" w:cs="Arial"/>
        </w:rPr>
        <w:fldChar w:fldCharType="separate"/>
      </w:r>
      <w:r w:rsidR="000D155C">
        <w:rPr>
          <w:rFonts w:ascii="Arial" w:hAnsi="Arial" w:cs="Arial"/>
          <w:noProof/>
        </w:rPr>
        <w:t>(</w:t>
      </w:r>
      <w:hyperlink w:anchor="_ENREF_393" w:tooltip="Stepan, 2000 #596" w:history="1">
        <w:r w:rsidR="003B725E">
          <w:rPr>
            <w:rFonts w:ascii="Arial" w:hAnsi="Arial" w:cs="Arial"/>
            <w:noProof/>
          </w:rPr>
          <w:t>393</w:t>
        </w:r>
      </w:hyperlink>
      <w:r w:rsidR="000D155C">
        <w:rPr>
          <w:rFonts w:ascii="Arial" w:hAnsi="Arial" w:cs="Arial"/>
          <w:noProof/>
        </w:rPr>
        <w:t>)</w:t>
      </w:r>
      <w:r>
        <w:rPr>
          <w:rFonts w:ascii="Arial" w:hAnsi="Arial" w:cs="Arial"/>
        </w:rPr>
        <w:fldChar w:fldCharType="end"/>
      </w:r>
      <w:r>
        <w:rPr>
          <w:rFonts w:ascii="Arial" w:hAnsi="Arial" w:cs="Arial"/>
        </w:rPr>
        <w:t xml:space="preserve"> There may be a potential utility of bone markers for fracture prediction </w:t>
      </w:r>
      <w:r>
        <w:rPr>
          <w:rFonts w:ascii="Arial" w:hAnsi="Arial" w:cs="Arial"/>
        </w:rPr>
        <w:fldChar w:fldCharType="begin"/>
      </w:r>
      <w:r w:rsidR="000D155C">
        <w:rPr>
          <w:rFonts w:ascii="Arial" w:hAnsi="Arial" w:cs="Arial"/>
        </w:rPr>
        <w:instrText xml:space="preserve"> ADDIN EN.CITE &lt;EndNote&gt;&lt;Cite&gt;&lt;Author&gt;Johansson&lt;/Author&gt;&lt;Year&gt;2014&lt;/Year&gt;&lt;RecNum&gt;538&lt;/RecNum&gt;&lt;DisplayText&gt;(394)&lt;/DisplayText&gt;&lt;record&gt;&lt;rec-number&gt;538&lt;/rec-number&gt;&lt;foreign-keys&gt;&lt;key app="EN" db-id="p9a5ttsvyvde9me5aw2x05fp5p55axf0wr90" timestamp="1470741370"&gt;538&lt;/key&gt;&lt;/foreign-keys&gt;&lt;ref-type name="Journal Article"&gt;17&lt;/ref-type&gt;&lt;contributors&gt;&lt;authors&gt;&lt;author&gt;Johansson, H.&lt;/author&gt;&lt;author&gt;Oden, A.&lt;/author&gt;&lt;author&gt;Kanis, J. A.&lt;/author&gt;&lt;author&gt;McCloskey, E. V.&lt;/author&gt;&lt;author&gt;Morris, H. A.&lt;/author&gt;&lt;author&gt;Cooper, C.&lt;/author&gt;&lt;author&gt;Vasikaran, S.&lt;/author&gt;&lt;/authors&gt;&lt;/contributors&gt;&lt;auth-address&gt;WHO Collaborating Centre for Metabolic Bone Diseases, University of Sheffield Medical School, Beech Hill Road, Sheffield, S10 2RX, UK, Helena.johansson@mbox319.swipnet.se.&lt;/auth-address&gt;&lt;titles&gt;&lt;title&gt;A meta-analysis of reference markers of bone turnover for prediction of fracture&lt;/title&gt;&lt;secondary-title&gt;Calcif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international&lt;/abbr-1&gt;&lt;/alt-periodical&gt;&lt;pages&gt;560-7&lt;/pages&gt;&lt;volume&gt;94&lt;/volume&gt;&lt;number&gt;5&lt;/number&gt;&lt;edition&gt;2014/03/05&lt;/edition&gt;&lt;keywords&gt;&lt;keyword&gt;Biomarkers/*blood&lt;/keyword&gt;&lt;keyword&gt;Bone Remodeling/*physiology&lt;/keyword&gt;&lt;keyword&gt;Fractures, Bone/*blood&lt;/keyword&gt;&lt;keyword&gt;Humans&lt;/keyword&gt;&lt;keyword&gt;Risk Factors&lt;/keyword&gt;&lt;/keywords&gt;&lt;dates&gt;&lt;year&gt;2014&lt;/year&gt;&lt;pub-dates&gt;&lt;date&gt;May&lt;/date&gt;&lt;/pub-dates&gt;&lt;/dates&gt;&lt;isbn&gt;0171-967x&lt;/isbn&gt;&lt;accession-num&gt;24590144&lt;/accession-num&gt;&lt;urls&gt;&lt;/urls&gt;&lt;electronic-resource-num&gt;10.1007/s00223-014-9842-y&lt;/electronic-resource-num&gt;&lt;remote-database-provider&gt;NLM&lt;/remote-database-provider&gt;&lt;language&gt;eng&lt;/language&gt;&lt;/record&gt;&lt;/Cite&gt;&lt;/EndNote&gt;</w:instrText>
      </w:r>
      <w:r>
        <w:rPr>
          <w:rFonts w:ascii="Arial" w:hAnsi="Arial" w:cs="Arial"/>
        </w:rPr>
        <w:fldChar w:fldCharType="separate"/>
      </w:r>
      <w:r w:rsidR="000D155C">
        <w:rPr>
          <w:rFonts w:ascii="Arial" w:hAnsi="Arial" w:cs="Arial"/>
          <w:noProof/>
        </w:rPr>
        <w:t>(</w:t>
      </w:r>
      <w:hyperlink w:anchor="_ENREF_394" w:tooltip="Johansson, 2014 #538" w:history="1">
        <w:r w:rsidR="003B725E">
          <w:rPr>
            <w:rFonts w:ascii="Arial" w:hAnsi="Arial" w:cs="Arial"/>
            <w:noProof/>
          </w:rPr>
          <w:t>394</w:t>
        </w:r>
      </w:hyperlink>
      <w:r w:rsidR="000D155C">
        <w:rPr>
          <w:rFonts w:ascii="Arial" w:hAnsi="Arial" w:cs="Arial"/>
          <w:noProof/>
        </w:rPr>
        <w:t>)</w:t>
      </w:r>
      <w:r>
        <w:rPr>
          <w:rFonts w:ascii="Arial" w:hAnsi="Arial" w:cs="Arial"/>
        </w:rPr>
        <w:fldChar w:fldCharType="end"/>
      </w:r>
      <w:r w:rsidR="00E42087">
        <w:rPr>
          <w:rFonts w:ascii="Arial" w:hAnsi="Arial" w:cs="Arial"/>
        </w:rPr>
        <w:t>.</w:t>
      </w:r>
    </w:p>
    <w:p w:rsidR="006C4FDE" w:rsidRPr="00555AD2" w:rsidRDefault="006C4FDE" w:rsidP="005354D9">
      <w:pPr>
        <w:spacing w:line="360" w:lineRule="auto"/>
        <w:jc w:val="both"/>
        <w:rPr>
          <w:rFonts w:ascii="Arial" w:hAnsi="Arial" w:cs="Arial"/>
        </w:rPr>
      </w:pPr>
      <w:r w:rsidRPr="00555AD2">
        <w:rPr>
          <w:rFonts w:ascii="Arial" w:hAnsi="Arial" w:cs="Arial"/>
        </w:rPr>
        <w:t>The research in this area has used bone turnover</w:t>
      </w:r>
      <w:r w:rsidR="00A80456">
        <w:rPr>
          <w:rFonts w:ascii="Arial" w:hAnsi="Arial" w:cs="Arial"/>
        </w:rPr>
        <w:t xml:space="preserve"> as assessed by BTMs</w:t>
      </w:r>
      <w:r w:rsidRPr="00555AD2">
        <w:rPr>
          <w:rFonts w:ascii="Arial" w:hAnsi="Arial" w:cs="Arial"/>
        </w:rPr>
        <w:t xml:space="preserve"> as a t</w:t>
      </w:r>
      <w:r w:rsidR="00A80456">
        <w:rPr>
          <w:rFonts w:ascii="Arial" w:hAnsi="Arial" w:cs="Arial"/>
        </w:rPr>
        <w:t xml:space="preserve">ool for assessing </w:t>
      </w:r>
      <w:r w:rsidR="006B1CBA">
        <w:rPr>
          <w:rFonts w:ascii="Arial" w:hAnsi="Arial" w:cs="Arial"/>
        </w:rPr>
        <w:t>bone loss</w:t>
      </w:r>
      <w:r w:rsidR="006B62FC">
        <w:rPr>
          <w:rFonts w:ascii="Arial" w:hAnsi="Arial" w:cs="Arial"/>
        </w:rPr>
        <w:t xml:space="preserve"> and </w:t>
      </w:r>
      <w:r w:rsidR="00A80456">
        <w:rPr>
          <w:rFonts w:ascii="Arial" w:hAnsi="Arial" w:cs="Arial"/>
        </w:rPr>
        <w:t>fracture risk</w:t>
      </w:r>
      <w:r w:rsidRPr="00555AD2">
        <w:rPr>
          <w:rFonts w:ascii="Arial" w:hAnsi="Arial" w:cs="Arial"/>
        </w:rPr>
        <w:t xml:space="preserve"> and the findings are</w:t>
      </w:r>
      <w:r w:rsidR="00A80456">
        <w:rPr>
          <w:rFonts w:ascii="Arial" w:hAnsi="Arial" w:cs="Arial"/>
        </w:rPr>
        <w:t xml:space="preserve"> inconclusive. However, </w:t>
      </w:r>
      <w:r w:rsidRPr="00555AD2">
        <w:rPr>
          <w:rFonts w:ascii="Arial" w:hAnsi="Arial" w:cs="Arial"/>
        </w:rPr>
        <w:t>in postmenopausal osteoporosis there</w:t>
      </w:r>
      <w:r w:rsidR="0081252B">
        <w:rPr>
          <w:rFonts w:ascii="Arial" w:hAnsi="Arial" w:cs="Arial"/>
        </w:rPr>
        <w:t xml:space="preserve"> is also a negative</w:t>
      </w:r>
      <w:r w:rsidR="009A163F">
        <w:rPr>
          <w:rFonts w:ascii="Arial" w:hAnsi="Arial" w:cs="Arial"/>
        </w:rPr>
        <w:t xml:space="preserve"> balance </w:t>
      </w:r>
      <w:r w:rsidRPr="00555AD2">
        <w:rPr>
          <w:rFonts w:ascii="Arial" w:hAnsi="Arial" w:cs="Arial"/>
        </w:rPr>
        <w:t>between bone resorption and for</w:t>
      </w:r>
      <w:r w:rsidR="0081252B">
        <w:rPr>
          <w:rFonts w:ascii="Arial" w:hAnsi="Arial" w:cs="Arial"/>
        </w:rPr>
        <w:t>mation, it may be this</w:t>
      </w:r>
      <w:r w:rsidRPr="00555AD2">
        <w:rPr>
          <w:rFonts w:ascii="Arial" w:hAnsi="Arial" w:cs="Arial"/>
        </w:rPr>
        <w:t xml:space="preserve"> that is associated with </w:t>
      </w:r>
      <w:r w:rsidR="006B62FC">
        <w:rPr>
          <w:rFonts w:ascii="Arial" w:hAnsi="Arial" w:cs="Arial"/>
        </w:rPr>
        <w:t>BMD</w:t>
      </w:r>
      <w:r w:rsidR="009A163F">
        <w:rPr>
          <w:rFonts w:ascii="Arial" w:hAnsi="Arial" w:cs="Arial"/>
        </w:rPr>
        <w:t>, bone l</w:t>
      </w:r>
      <w:r w:rsidR="0081252B">
        <w:rPr>
          <w:rFonts w:ascii="Arial" w:hAnsi="Arial" w:cs="Arial"/>
        </w:rPr>
        <w:t>oss</w:t>
      </w:r>
      <w:r w:rsidR="006B62FC">
        <w:rPr>
          <w:rFonts w:ascii="Arial" w:hAnsi="Arial" w:cs="Arial"/>
        </w:rPr>
        <w:t xml:space="preserve"> and </w:t>
      </w:r>
      <w:r w:rsidRPr="00555AD2">
        <w:rPr>
          <w:rFonts w:ascii="Arial" w:hAnsi="Arial" w:cs="Arial"/>
        </w:rPr>
        <w:t>fracture risk and this has yet to be investigated.</w:t>
      </w:r>
    </w:p>
    <w:p w:rsidR="00565251" w:rsidRPr="00A80456" w:rsidRDefault="00A80456" w:rsidP="003B725E">
      <w:pPr>
        <w:spacing w:line="360" w:lineRule="auto"/>
        <w:jc w:val="both"/>
        <w:rPr>
          <w:rFonts w:ascii="Arial" w:hAnsi="Arial" w:cs="Arial"/>
        </w:rPr>
      </w:pPr>
      <w:r>
        <w:rPr>
          <w:rFonts w:ascii="Arial" w:hAnsi="Arial" w:cs="Arial"/>
        </w:rPr>
        <w:t>Methods have previously been described for calculating bone balance from bone turnover; i) c</w:t>
      </w:r>
      <w:r w:rsidR="00775DF7" w:rsidRPr="00A80456">
        <w:rPr>
          <w:rFonts w:ascii="Arial" w:hAnsi="Arial" w:cs="Arial"/>
        </w:rPr>
        <w:t xml:space="preserve">alculating the ratio between bone resorption and formation </w:t>
      </w:r>
      <w:r w:rsidR="006F6EDD">
        <w:rPr>
          <w:rFonts w:ascii="Arial" w:hAnsi="Arial" w:cs="Arial"/>
        </w:rPr>
        <w:t>ii) calculating the Z</w:t>
      </w:r>
      <w:r w:rsidR="00320E3B">
        <w:rPr>
          <w:rFonts w:ascii="Arial" w:hAnsi="Arial" w:cs="Arial"/>
        </w:rPr>
        <w:t xml:space="preserve">-scores </w:t>
      </w:r>
      <w:r w:rsidR="00BE5400">
        <w:rPr>
          <w:rFonts w:ascii="Arial" w:hAnsi="Arial" w:cs="Arial"/>
        </w:rPr>
        <w:t xml:space="preserve">for postmenopausal women relative to an age-matched group. Then </w:t>
      </w:r>
      <w:r w:rsidR="00320E3B">
        <w:rPr>
          <w:rFonts w:ascii="Arial" w:hAnsi="Arial" w:cs="Arial"/>
        </w:rPr>
        <w:t>subtracting them for resorption and formation</w:t>
      </w:r>
      <w:r w:rsidR="001B00FC">
        <w:rPr>
          <w:rFonts w:ascii="Arial" w:hAnsi="Arial" w:cs="Arial"/>
        </w:rPr>
        <w:t xml:space="preserve"> </w:t>
      </w:r>
      <w:r w:rsidR="001B00FC">
        <w:rPr>
          <w:rFonts w:ascii="Arial" w:hAnsi="Arial" w:cs="Arial"/>
        </w:rPr>
        <w:fldChar w:fldCharType="begin">
          <w:fldData xml:space="preserve">PEVuZE5vdGU+PENpdGU+PEF1dGhvcj5HdW88L0F1dGhvcj48WWVhcj4xOTk2PC9ZZWFyPjxSZWNO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PEVuZE5vdGU+PENpdGU+PEF1dGhvcj5HdW88L0F1dGhvcj48WWVhcj4xOTk2PC9ZZWFyPjxSZWNO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B00FC">
        <w:rPr>
          <w:rFonts w:ascii="Arial" w:hAnsi="Arial" w:cs="Arial"/>
        </w:rPr>
      </w:r>
      <w:r w:rsidR="001B00FC">
        <w:rPr>
          <w:rFonts w:ascii="Arial" w:hAnsi="Arial" w:cs="Arial"/>
        </w:rPr>
        <w:fldChar w:fldCharType="separate"/>
      </w:r>
      <w:r w:rsidR="000D155C">
        <w:rPr>
          <w:rFonts w:ascii="Arial" w:hAnsi="Arial" w:cs="Arial"/>
          <w:noProof/>
        </w:rPr>
        <w:t>(</w:t>
      </w:r>
      <w:hyperlink w:anchor="_ENREF_395" w:tooltip="Guo, 1996 #476" w:history="1">
        <w:r w:rsidR="003B725E">
          <w:rPr>
            <w:rFonts w:ascii="Arial" w:hAnsi="Arial" w:cs="Arial"/>
            <w:noProof/>
          </w:rPr>
          <w:t>395</w:t>
        </w:r>
      </w:hyperlink>
      <w:r w:rsidR="000D155C">
        <w:rPr>
          <w:rFonts w:ascii="Arial" w:hAnsi="Arial" w:cs="Arial"/>
          <w:noProof/>
        </w:rPr>
        <w:t>)</w:t>
      </w:r>
      <w:r w:rsidR="001B00FC">
        <w:rPr>
          <w:rFonts w:ascii="Arial" w:hAnsi="Arial" w:cs="Arial"/>
        </w:rPr>
        <w:fldChar w:fldCharType="end"/>
      </w:r>
      <w:r w:rsidR="00320E3B">
        <w:rPr>
          <w:rFonts w:ascii="Arial" w:hAnsi="Arial" w:cs="Arial"/>
        </w:rPr>
        <w:t xml:space="preserve"> </w:t>
      </w:r>
      <w:r>
        <w:rPr>
          <w:rFonts w:ascii="Arial" w:hAnsi="Arial" w:cs="Arial"/>
        </w:rPr>
        <w:t>and ii</w:t>
      </w:r>
      <w:r w:rsidR="0081252B">
        <w:rPr>
          <w:rFonts w:ascii="Arial" w:hAnsi="Arial" w:cs="Arial"/>
        </w:rPr>
        <w:t>i</w:t>
      </w:r>
      <w:r>
        <w:rPr>
          <w:rFonts w:ascii="Arial" w:hAnsi="Arial" w:cs="Arial"/>
        </w:rPr>
        <w:t>) u</w:t>
      </w:r>
      <w:r w:rsidR="0036288C" w:rsidRPr="00A80456">
        <w:rPr>
          <w:rFonts w:ascii="Arial" w:hAnsi="Arial" w:cs="Arial"/>
        </w:rPr>
        <w:t xml:space="preserve">sing the multiple of the medians to calculate bone turnover and bone balance </w:t>
      </w:r>
      <w:r w:rsidR="0036288C" w:rsidRPr="00A80456">
        <w:rPr>
          <w:rFonts w:ascii="Arial" w:hAnsi="Arial" w:cs="Arial"/>
        </w:rPr>
        <w:fldChar w:fldCharType="begin"/>
      </w:r>
      <w:r w:rsidR="000D155C">
        <w:rPr>
          <w:rFonts w:ascii="Arial" w:hAnsi="Arial" w:cs="Arial"/>
        </w:rPr>
        <w:instrText xml:space="preserve"> ADDIN EN.CITE &lt;EndNote&gt;&lt;Cite&gt;&lt;Author&gt;Bieglmayer&lt;/Author&gt;&lt;Year&gt;2009&lt;/Year&gt;&lt;RecNum&gt;194&lt;/RecNum&gt;&lt;DisplayText&gt;(396)&lt;/DisplayText&gt;&lt;record&gt;&lt;rec-number&gt;194&lt;/rec-number&gt;&lt;foreign-keys&gt;&lt;key app="EN" db-id="p9a5ttsvyvde9me5aw2x05fp5p55axf0wr90" timestamp="1417715019"&gt;194&lt;/key&gt;&lt;/foreign-keys&gt;&lt;ref-type name="Journal Article"&gt;17&lt;/ref-type&gt;&lt;contributors&gt;&lt;authors&gt;&lt;author&gt;Bieglmayer, C.&lt;/author&gt;&lt;author&gt;Kudlacek, S.&lt;/author&gt;&lt;/authors&gt;&lt;/contributors&gt;&lt;auth-address&gt;Medical University Hospital, General Hospitalof Vienna, Vienna, Austria.&lt;/auth-address&gt;&lt;titles&gt;&lt;title&gt;The bone marker plot: an innovative method to assess bone turnover in women&lt;/title&gt;&lt;secondary-title&gt;Eur J Clin Invest&lt;/secondary-title&gt;&lt;alt-title&gt;European journal of clinical investigation&lt;/alt-title&gt;&lt;/titles&gt;&lt;periodical&gt;&lt;full-title&gt;Eur J Clin Invest&lt;/full-title&gt;&lt;abbr-1&gt;European journal of clinical investigation&lt;/abbr-1&gt;&lt;/periodical&gt;&lt;alt-periodical&gt;&lt;full-title&gt;Eur J Clin Invest&lt;/full-title&gt;&lt;abbr-1&gt;European journal of clinical investigation&lt;/abbr-1&gt;&lt;/alt-periodical&gt;&lt;pages&gt;230-8&lt;/pages&gt;&lt;volume&gt;39&lt;/volume&gt;&lt;number&gt;3&lt;/number&gt;&lt;edition&gt;2009/03/06&lt;/edition&gt;&lt;keywords&gt;&lt;keyword&gt;Adult&lt;/keyword&gt;&lt;keyword&gt;Aged&lt;/keyword&gt;&lt;keyword&gt;Biological Markers/ analysis&lt;/keyword&gt;&lt;keyword&gt;Bone Density&lt;/keyword&gt;&lt;keyword&gt;Bone Resorption/ metabolism&lt;/keyword&gt;&lt;keyword&gt;Bone and Bones/ metabolism&lt;/keyword&gt;&lt;keyword&gt;Female&lt;/keyword&gt;&lt;keyword&gt;Humans&lt;/keyword&gt;&lt;keyword&gt;Middle Aged&lt;/keyword&gt;&lt;keyword&gt;Models, Theoretical&lt;/keyword&gt;&lt;keyword&gt;Perimenopause/physiology&lt;/keyword&gt;&lt;keyword&gt;Postmenopause/physiology&lt;/keyword&gt;&lt;keyword&gt;Premenopause/physiology&lt;/keyword&gt;&lt;keyword&gt;Reference Values&lt;/keyword&gt;&lt;keyword&gt;Time Factors&lt;/keyword&gt;&lt;/keywords&gt;&lt;dates&gt;&lt;year&gt;2009&lt;/year&gt;&lt;pub-dates&gt;&lt;date&gt;Mar&lt;/date&gt;&lt;/pub-dates&gt;&lt;/dates&gt;&lt;isbn&gt;1365-2362 (Electronic)&amp;#xD;0014-2972 (Linking)&lt;/isbn&gt;&lt;accession-num&gt;19260953&lt;/accession-num&gt;&lt;urls&gt;&lt;/urls&gt;&lt;electronic-resource-num&gt;10.1111/j.1365-2362.2009.02087.x&lt;/electronic-resource-num&gt;&lt;remote-database-provider&gt;NLM&lt;/remote-database-provider&gt;&lt;language&gt;eng&lt;/language&gt;&lt;/record&gt;&lt;/Cite&gt;&lt;/EndNote&gt;</w:instrText>
      </w:r>
      <w:r w:rsidR="0036288C" w:rsidRPr="00A80456">
        <w:rPr>
          <w:rFonts w:ascii="Arial" w:hAnsi="Arial" w:cs="Arial"/>
        </w:rPr>
        <w:fldChar w:fldCharType="separate"/>
      </w:r>
      <w:r w:rsidR="000D155C">
        <w:rPr>
          <w:rFonts w:ascii="Arial" w:hAnsi="Arial" w:cs="Arial"/>
          <w:noProof/>
        </w:rPr>
        <w:t>(</w:t>
      </w:r>
      <w:hyperlink w:anchor="_ENREF_396" w:tooltip="Bieglmayer, 2009 #194" w:history="1">
        <w:r w:rsidR="003B725E">
          <w:rPr>
            <w:rFonts w:ascii="Arial" w:hAnsi="Arial" w:cs="Arial"/>
            <w:noProof/>
          </w:rPr>
          <w:t>396</w:t>
        </w:r>
      </w:hyperlink>
      <w:r w:rsidR="000D155C">
        <w:rPr>
          <w:rFonts w:ascii="Arial" w:hAnsi="Arial" w:cs="Arial"/>
          <w:noProof/>
        </w:rPr>
        <w:t>)</w:t>
      </w:r>
      <w:r w:rsidR="0036288C" w:rsidRPr="00A80456">
        <w:rPr>
          <w:rFonts w:ascii="Arial" w:hAnsi="Arial" w:cs="Arial"/>
        </w:rPr>
        <w:fldChar w:fldCharType="end"/>
      </w:r>
      <w:r w:rsidR="00320E3B">
        <w:rPr>
          <w:rFonts w:ascii="Arial" w:hAnsi="Arial" w:cs="Arial"/>
        </w:rPr>
        <w:t xml:space="preserve">. However, each method has </w:t>
      </w:r>
      <w:r w:rsidR="0081252B">
        <w:rPr>
          <w:rFonts w:ascii="Arial" w:hAnsi="Arial" w:cs="Arial"/>
        </w:rPr>
        <w:t>its</w:t>
      </w:r>
      <w:r w:rsidR="00320E3B">
        <w:rPr>
          <w:rFonts w:ascii="Arial" w:hAnsi="Arial" w:cs="Arial"/>
        </w:rPr>
        <w:t xml:space="preserve"> limitations. Methods i) and iii) assume that BTMs are specific to bone and that all BTMs have the same relative distribution. Method ii) only evaluates bone balance and not the overall bone turnover. Thus, in this chapter, I describe a method that evaluates both bone balance and bone turnover together by combining methods i) and ii).</w:t>
      </w:r>
      <w:r w:rsidR="00564E7C">
        <w:rPr>
          <w:rFonts w:ascii="Arial" w:hAnsi="Arial" w:cs="Arial"/>
        </w:rPr>
        <w:t xml:space="preserve"> This method used</w:t>
      </w:r>
      <w:r w:rsidR="00BE5400">
        <w:rPr>
          <w:rFonts w:ascii="Arial" w:hAnsi="Arial" w:cs="Arial"/>
        </w:rPr>
        <w:t xml:space="preserve"> healthy premenopausal women as the control gr</w:t>
      </w:r>
      <w:r w:rsidR="00192A46">
        <w:rPr>
          <w:rFonts w:ascii="Arial" w:hAnsi="Arial" w:cs="Arial"/>
        </w:rPr>
        <w:t>oup and hence it is called the T</w:t>
      </w:r>
      <w:r w:rsidR="00BE5400">
        <w:rPr>
          <w:rFonts w:ascii="Arial" w:hAnsi="Arial" w:cs="Arial"/>
        </w:rPr>
        <w:t>-score bone marker plot.</w:t>
      </w:r>
    </w:p>
    <w:p w:rsidR="001B00FC" w:rsidRDefault="00E774B7" w:rsidP="005354D9">
      <w:pPr>
        <w:spacing w:line="360" w:lineRule="auto"/>
        <w:jc w:val="both"/>
        <w:rPr>
          <w:rFonts w:ascii="Arial" w:hAnsi="Arial" w:cs="Arial"/>
        </w:rPr>
      </w:pPr>
      <w:r w:rsidRPr="00E774B7">
        <w:rPr>
          <w:rFonts w:ascii="Arial" w:hAnsi="Arial" w:cs="Arial"/>
        </w:rPr>
        <w:t>The aims of this study were to</w:t>
      </w:r>
      <w:r w:rsidR="001B00FC">
        <w:rPr>
          <w:rFonts w:ascii="Arial" w:hAnsi="Arial" w:cs="Arial"/>
        </w:rPr>
        <w:t>:</w:t>
      </w:r>
    </w:p>
    <w:p w:rsidR="001B00FC" w:rsidRPr="001B00FC" w:rsidRDefault="001B00FC" w:rsidP="005354D9">
      <w:pPr>
        <w:pStyle w:val="ListParagraph"/>
        <w:numPr>
          <w:ilvl w:val="0"/>
          <w:numId w:val="42"/>
        </w:numPr>
        <w:spacing w:line="360" w:lineRule="auto"/>
        <w:jc w:val="both"/>
        <w:rPr>
          <w:rFonts w:ascii="Arial" w:hAnsi="Arial" w:cs="Arial"/>
        </w:rPr>
      </w:pPr>
      <w:r>
        <w:rPr>
          <w:rFonts w:ascii="Arial" w:hAnsi="Arial" w:cs="Arial"/>
        </w:rPr>
        <w:t>C</w:t>
      </w:r>
      <w:r w:rsidR="00E774B7" w:rsidRPr="001B00FC">
        <w:rPr>
          <w:rFonts w:ascii="Arial" w:hAnsi="Arial" w:cs="Arial"/>
        </w:rPr>
        <w:t>ompare bone balance and bone turnover between healthy premenopausal women and postmenopausal women with osteoporosis, usi</w:t>
      </w:r>
      <w:r w:rsidR="00BE5400" w:rsidRPr="001B00FC">
        <w:rPr>
          <w:rFonts w:ascii="Arial" w:hAnsi="Arial" w:cs="Arial"/>
        </w:rPr>
        <w:t>ng the t</w:t>
      </w:r>
      <w:r w:rsidR="00E774B7" w:rsidRPr="001B00FC">
        <w:rPr>
          <w:rFonts w:ascii="Arial" w:hAnsi="Arial" w:cs="Arial"/>
        </w:rPr>
        <w:t xml:space="preserve">-score bone marker plot </w:t>
      </w:r>
    </w:p>
    <w:p w:rsidR="001B00FC" w:rsidRDefault="001B00FC" w:rsidP="005354D9">
      <w:pPr>
        <w:pStyle w:val="ListParagraph"/>
        <w:numPr>
          <w:ilvl w:val="0"/>
          <w:numId w:val="42"/>
        </w:numPr>
        <w:spacing w:line="360" w:lineRule="auto"/>
        <w:jc w:val="both"/>
        <w:rPr>
          <w:rFonts w:ascii="Arial" w:hAnsi="Arial" w:cs="Arial"/>
        </w:rPr>
      </w:pPr>
      <w:r>
        <w:rPr>
          <w:rFonts w:ascii="Arial" w:hAnsi="Arial" w:cs="Arial"/>
        </w:rPr>
        <w:lastRenderedPageBreak/>
        <w:t>D</w:t>
      </w:r>
      <w:r w:rsidR="006B62FC" w:rsidRPr="001B00FC">
        <w:rPr>
          <w:rFonts w:ascii="Arial" w:hAnsi="Arial" w:cs="Arial"/>
        </w:rPr>
        <w:t>etermine the relationship betw</w:t>
      </w:r>
      <w:r w:rsidR="00EF3E74" w:rsidRPr="001B00FC">
        <w:rPr>
          <w:rFonts w:ascii="Arial" w:hAnsi="Arial" w:cs="Arial"/>
        </w:rPr>
        <w:t>een bone balance, bone turnover</w:t>
      </w:r>
      <w:r w:rsidR="006B62FC" w:rsidRPr="001B00FC">
        <w:rPr>
          <w:rFonts w:ascii="Arial" w:hAnsi="Arial" w:cs="Arial"/>
        </w:rPr>
        <w:t xml:space="preserve"> and bone turnover markers with </w:t>
      </w:r>
      <w:r w:rsidR="00B15B0C" w:rsidRPr="001B00FC">
        <w:rPr>
          <w:rFonts w:ascii="Arial" w:hAnsi="Arial" w:cs="Arial"/>
        </w:rPr>
        <w:t>BMD</w:t>
      </w:r>
      <w:r w:rsidR="006B62FC" w:rsidRPr="001B00FC">
        <w:rPr>
          <w:rFonts w:ascii="Arial" w:hAnsi="Arial" w:cs="Arial"/>
        </w:rPr>
        <w:t xml:space="preserve"> </w:t>
      </w:r>
      <w:r w:rsidR="00FB610D" w:rsidRPr="001B00FC">
        <w:rPr>
          <w:rFonts w:ascii="Arial" w:hAnsi="Arial" w:cs="Arial"/>
        </w:rPr>
        <w:t xml:space="preserve">(and change in BMD) </w:t>
      </w:r>
      <w:r w:rsidR="006B62FC" w:rsidRPr="001B00FC">
        <w:rPr>
          <w:rFonts w:ascii="Arial" w:hAnsi="Arial" w:cs="Arial"/>
        </w:rPr>
        <w:t>at total hip</w:t>
      </w:r>
      <w:r w:rsidR="00B15B0C" w:rsidRPr="001B00FC">
        <w:rPr>
          <w:rFonts w:ascii="Arial" w:hAnsi="Arial" w:cs="Arial"/>
        </w:rPr>
        <w:t xml:space="preserve"> in postmenopausal women </w:t>
      </w:r>
      <w:r w:rsidR="00E774B7" w:rsidRPr="001B00FC">
        <w:rPr>
          <w:rFonts w:ascii="Arial" w:hAnsi="Arial" w:cs="Arial"/>
        </w:rPr>
        <w:t>and</w:t>
      </w:r>
    </w:p>
    <w:p w:rsidR="00E774B7" w:rsidRPr="001B00FC" w:rsidRDefault="001B00FC" w:rsidP="005354D9">
      <w:pPr>
        <w:pStyle w:val="ListParagraph"/>
        <w:numPr>
          <w:ilvl w:val="0"/>
          <w:numId w:val="42"/>
        </w:numPr>
        <w:spacing w:line="360" w:lineRule="auto"/>
        <w:jc w:val="both"/>
        <w:rPr>
          <w:rFonts w:ascii="Arial" w:hAnsi="Arial" w:cs="Arial"/>
        </w:rPr>
      </w:pPr>
      <w:r>
        <w:rPr>
          <w:rFonts w:ascii="Arial" w:hAnsi="Arial" w:cs="Arial"/>
        </w:rPr>
        <w:t>D</w:t>
      </w:r>
      <w:r w:rsidR="006B62FC" w:rsidRPr="001B00FC">
        <w:rPr>
          <w:rFonts w:ascii="Arial" w:hAnsi="Arial" w:cs="Arial"/>
        </w:rPr>
        <w:t>etermine the relationship betw</w:t>
      </w:r>
      <w:r w:rsidR="00EF3E74" w:rsidRPr="001B00FC">
        <w:rPr>
          <w:rFonts w:ascii="Arial" w:hAnsi="Arial" w:cs="Arial"/>
        </w:rPr>
        <w:t>een bone balance, bone turnover</w:t>
      </w:r>
      <w:r w:rsidR="006B62FC" w:rsidRPr="001B00FC">
        <w:rPr>
          <w:rFonts w:ascii="Arial" w:hAnsi="Arial" w:cs="Arial"/>
        </w:rPr>
        <w:t xml:space="preserve"> and bone turn</w:t>
      </w:r>
      <w:r w:rsidR="00EF3E74" w:rsidRPr="001B00FC">
        <w:rPr>
          <w:rFonts w:ascii="Arial" w:hAnsi="Arial" w:cs="Arial"/>
        </w:rPr>
        <w:t>over markers with fracture risk in postmenopausal women.</w:t>
      </w:r>
    </w:p>
    <w:p w:rsidR="000C73D2" w:rsidRDefault="000C73D2" w:rsidP="005354D9">
      <w:pPr>
        <w:pStyle w:val="Heading2"/>
        <w:jc w:val="both"/>
      </w:pPr>
      <w:bookmarkStart w:id="139" w:name="_Toc425418926"/>
      <w:r>
        <w:t>Subjects and methods</w:t>
      </w:r>
      <w:bookmarkEnd w:id="139"/>
    </w:p>
    <w:p w:rsidR="00775DF7" w:rsidRDefault="00775DF7" w:rsidP="005354D9">
      <w:pPr>
        <w:pStyle w:val="Heading3"/>
        <w:jc w:val="both"/>
      </w:pPr>
      <w:bookmarkStart w:id="140" w:name="_Toc425418927"/>
      <w:r>
        <w:t>Subjects</w:t>
      </w:r>
      <w:bookmarkEnd w:id="140"/>
    </w:p>
    <w:p w:rsidR="00DD384F" w:rsidRDefault="0042319B" w:rsidP="003B725E">
      <w:pPr>
        <w:spacing w:line="360" w:lineRule="auto"/>
        <w:jc w:val="both"/>
        <w:rPr>
          <w:rFonts w:ascii="Arial" w:hAnsi="Arial" w:cs="Arial"/>
        </w:rPr>
      </w:pPr>
      <w:r w:rsidRPr="0042319B">
        <w:rPr>
          <w:rFonts w:ascii="Arial" w:hAnsi="Arial" w:cs="Arial"/>
        </w:rPr>
        <w:t xml:space="preserve">A main outcome from the OPUS study is vertebral </w:t>
      </w:r>
      <w:r w:rsidR="007F7CD5">
        <w:rPr>
          <w:rFonts w:ascii="Arial" w:hAnsi="Arial" w:cs="Arial"/>
        </w:rPr>
        <w:t>and</w:t>
      </w:r>
      <w:r w:rsidR="00052B0B">
        <w:rPr>
          <w:rFonts w:ascii="Arial" w:hAnsi="Arial" w:cs="Arial"/>
        </w:rPr>
        <w:t xml:space="preserve"> </w:t>
      </w:r>
      <w:r w:rsidRPr="0042319B">
        <w:rPr>
          <w:rFonts w:ascii="Arial" w:hAnsi="Arial" w:cs="Arial"/>
        </w:rPr>
        <w:t xml:space="preserve">non-vertebral fracture </w:t>
      </w:r>
      <w:r w:rsidR="007F7CD5">
        <w:rPr>
          <w:rFonts w:ascii="Arial" w:hAnsi="Arial" w:cs="Arial"/>
        </w:rPr>
        <w:t xml:space="preserve">risk </w:t>
      </w:r>
      <w:r w:rsidRPr="0042319B">
        <w:rPr>
          <w:rFonts w:ascii="Arial" w:hAnsi="Arial" w:cs="Arial"/>
        </w:rPr>
        <w:t>and femoral neck BMD at the 6 year follow up visit.</w:t>
      </w:r>
      <w:r>
        <w:rPr>
          <w:rFonts w:ascii="Arial" w:hAnsi="Arial" w:cs="Arial"/>
        </w:rPr>
        <w:t xml:space="preserve"> </w:t>
      </w:r>
      <w:r w:rsidR="00DD384F">
        <w:rPr>
          <w:rFonts w:ascii="Arial" w:hAnsi="Arial" w:cs="Arial"/>
        </w:rPr>
        <w:t>In order to investigate this further I used subjects from this</w:t>
      </w:r>
      <w:r w:rsidR="001B5ACF" w:rsidRPr="001C3434">
        <w:rPr>
          <w:rFonts w:ascii="Arial" w:hAnsi="Arial" w:cs="Arial"/>
        </w:rPr>
        <w:t xml:space="preserve"> study </w:t>
      </w:r>
      <w:r w:rsidR="009C3AF8" w:rsidRPr="001C3434">
        <w:rPr>
          <w:rFonts w:ascii="Arial" w:hAnsi="Arial" w:cs="Arial"/>
        </w:rPr>
        <w:t>po</w:t>
      </w:r>
      <w:r w:rsidR="009C45F3">
        <w:rPr>
          <w:rFonts w:ascii="Arial" w:hAnsi="Arial" w:cs="Arial"/>
        </w:rPr>
        <w:t>pulation (described in chapter 3</w:t>
      </w:r>
      <w:r w:rsidR="009C3AF8" w:rsidRPr="001C3434">
        <w:rPr>
          <w:rFonts w:ascii="Arial" w:hAnsi="Arial" w:cs="Arial"/>
        </w:rPr>
        <w:t xml:space="preserve">). </w:t>
      </w:r>
      <w:r>
        <w:rPr>
          <w:rFonts w:ascii="Arial" w:hAnsi="Arial" w:cs="Arial"/>
        </w:rPr>
        <w:t>Subjects were included in this data analysis if</w:t>
      </w:r>
      <w:r w:rsidR="007D6682">
        <w:rPr>
          <w:rFonts w:ascii="Arial" w:hAnsi="Arial" w:cs="Arial"/>
        </w:rPr>
        <w:t xml:space="preserve"> they were postmenopausal and</w:t>
      </w:r>
      <w:r>
        <w:rPr>
          <w:rFonts w:ascii="Arial" w:hAnsi="Arial" w:cs="Arial"/>
        </w:rPr>
        <w:t xml:space="preserve"> had </w:t>
      </w:r>
      <w:r w:rsidR="009C45F3">
        <w:rPr>
          <w:rFonts w:ascii="Arial" w:hAnsi="Arial" w:cs="Arial"/>
        </w:rPr>
        <w:t xml:space="preserve">a </w:t>
      </w:r>
      <w:r>
        <w:rPr>
          <w:rFonts w:ascii="Arial" w:hAnsi="Arial" w:cs="Arial"/>
        </w:rPr>
        <w:t xml:space="preserve">complete data </w:t>
      </w:r>
      <w:r w:rsidR="009C45F3">
        <w:rPr>
          <w:rFonts w:ascii="Arial" w:hAnsi="Arial" w:cs="Arial"/>
        </w:rPr>
        <w:t xml:space="preserve">set </w:t>
      </w:r>
      <w:r>
        <w:rPr>
          <w:rFonts w:ascii="Arial" w:hAnsi="Arial" w:cs="Arial"/>
        </w:rPr>
        <w:t>of interest (BTM</w:t>
      </w:r>
      <w:r w:rsidR="00121713">
        <w:rPr>
          <w:rFonts w:ascii="Arial" w:hAnsi="Arial" w:cs="Arial"/>
        </w:rPr>
        <w:t>s</w:t>
      </w:r>
      <w:r>
        <w:rPr>
          <w:rFonts w:ascii="Arial" w:hAnsi="Arial" w:cs="Arial"/>
        </w:rPr>
        <w:t xml:space="preserve">, BMD </w:t>
      </w:r>
      <w:r w:rsidR="00DD384F">
        <w:rPr>
          <w:rFonts w:ascii="Arial" w:hAnsi="Arial" w:cs="Arial"/>
        </w:rPr>
        <w:t xml:space="preserve">at the total hip </w:t>
      </w:r>
      <w:r>
        <w:rPr>
          <w:rFonts w:ascii="Arial" w:hAnsi="Arial" w:cs="Arial"/>
        </w:rPr>
        <w:t>and fracture data at baseline and 6 years)</w:t>
      </w:r>
      <w:r w:rsidR="007D6682">
        <w:rPr>
          <w:rFonts w:ascii="Arial" w:hAnsi="Arial" w:cs="Arial"/>
        </w:rPr>
        <w:t xml:space="preserve"> and were not suffering</w:t>
      </w:r>
      <w:r w:rsidR="007D6682" w:rsidRPr="001C3434">
        <w:rPr>
          <w:rFonts w:ascii="Arial" w:hAnsi="Arial" w:cs="Arial"/>
        </w:rPr>
        <w:t xml:space="preserve"> from any disease or taking any medications known to affect bone metabolism</w:t>
      </w:r>
      <w:r w:rsidR="007D6682">
        <w:rPr>
          <w:rFonts w:ascii="Arial" w:hAnsi="Arial" w:cs="Arial"/>
        </w:rPr>
        <w:t xml:space="preserve">. From the 2419 postmenopausal who attended both visits 745 </w:t>
      </w:r>
      <w:r w:rsidR="00DD384F">
        <w:rPr>
          <w:rFonts w:ascii="Arial" w:hAnsi="Arial" w:cs="Arial"/>
        </w:rPr>
        <w:t>aged between 55 to 79 years</w:t>
      </w:r>
      <w:r w:rsidR="00F40474">
        <w:rPr>
          <w:rFonts w:ascii="Arial" w:hAnsi="Arial" w:cs="Arial"/>
        </w:rPr>
        <w:t xml:space="preserve"> at baseline</w:t>
      </w:r>
      <w:r w:rsidR="00DD384F">
        <w:rPr>
          <w:rFonts w:ascii="Arial" w:hAnsi="Arial" w:cs="Arial"/>
        </w:rPr>
        <w:t xml:space="preserve"> </w:t>
      </w:r>
      <w:r w:rsidR="007D6682">
        <w:rPr>
          <w:rFonts w:ascii="Arial" w:hAnsi="Arial" w:cs="Arial"/>
        </w:rPr>
        <w:t>remained</w:t>
      </w:r>
      <w:r w:rsidR="00DD384F">
        <w:rPr>
          <w:rFonts w:ascii="Arial" w:hAnsi="Arial" w:cs="Arial"/>
        </w:rPr>
        <w:t xml:space="preserve"> that fitted these criteria</w:t>
      </w:r>
      <w:r w:rsidR="007D6682">
        <w:rPr>
          <w:rFonts w:ascii="Arial" w:hAnsi="Arial" w:cs="Arial"/>
        </w:rPr>
        <w:t xml:space="preserve">, 24 of </w:t>
      </w:r>
      <w:r w:rsidR="00F40474">
        <w:rPr>
          <w:rFonts w:ascii="Arial" w:hAnsi="Arial" w:cs="Arial"/>
        </w:rPr>
        <w:t>whom</w:t>
      </w:r>
      <w:r w:rsidR="007D6682">
        <w:rPr>
          <w:rFonts w:ascii="Arial" w:hAnsi="Arial" w:cs="Arial"/>
        </w:rPr>
        <w:t xml:space="preserve"> had vertebral fractures and 94 had non-vertebral fractures.</w:t>
      </w:r>
      <w:r w:rsidR="00DD384F">
        <w:rPr>
          <w:rFonts w:ascii="Arial" w:hAnsi="Arial" w:cs="Arial"/>
        </w:rPr>
        <w:t xml:space="preserve"> The comparator group were 213 premenopausal women aged between 30 and 39 and </w:t>
      </w:r>
      <w:r w:rsidR="007D6682">
        <w:rPr>
          <w:rFonts w:ascii="Arial" w:hAnsi="Arial" w:cs="Arial"/>
        </w:rPr>
        <w:t>had a complete data of interest.</w:t>
      </w:r>
      <w:r w:rsidR="00F40474">
        <w:rPr>
          <w:rFonts w:ascii="Arial" w:hAnsi="Arial" w:cs="Arial"/>
        </w:rPr>
        <w:t xml:space="preserve"> </w:t>
      </w:r>
      <w:r w:rsidR="00121713">
        <w:rPr>
          <w:rFonts w:ascii="Arial" w:hAnsi="Arial" w:cs="Arial"/>
        </w:rPr>
        <w:t>I did not exclude women who were vitamin d deficient from either age group so the numbers were more for th</w:t>
      </w:r>
      <w:r w:rsidR="000D155C">
        <w:rPr>
          <w:rFonts w:ascii="Arial" w:hAnsi="Arial" w:cs="Arial"/>
        </w:rPr>
        <w:t xml:space="preserve">is analysis than in chapter 1. </w:t>
      </w:r>
      <w:r w:rsidR="000D155C" w:rsidRPr="00C41067">
        <w:rPr>
          <w:rFonts w:ascii="Arial" w:hAnsi="Arial" w:cs="Arial"/>
          <w:highlight w:val="yellow"/>
        </w:rPr>
        <w:t xml:space="preserve">Further </w:t>
      </w:r>
      <w:r w:rsidR="000D155C">
        <w:rPr>
          <w:rFonts w:ascii="Arial" w:hAnsi="Arial" w:cs="Arial"/>
          <w:highlight w:val="yellow"/>
        </w:rPr>
        <w:t xml:space="preserve">details regarding </w:t>
      </w:r>
      <w:r w:rsidR="000D155C" w:rsidRPr="00C41067">
        <w:rPr>
          <w:rFonts w:ascii="Arial" w:hAnsi="Arial" w:cs="Arial"/>
          <w:highlight w:val="yellow"/>
        </w:rPr>
        <w:t>clinical features of the subjects have been published, (</w:t>
      </w:r>
      <w:r w:rsidR="000D155C" w:rsidRPr="000D155C">
        <w:rPr>
          <w:rFonts w:ascii="Arial" w:hAnsi="Arial" w:cs="Arial"/>
          <w:highlight w:val="yellow"/>
        </w:rPr>
        <w:t xml:space="preserve">Appendices 2), </w:t>
      </w:r>
      <w:r w:rsidR="000D155C" w:rsidRPr="000D155C">
        <w:rPr>
          <w:rFonts w:ascii="Arial" w:hAnsi="Arial" w:cs="Arial"/>
          <w:highlight w:val="yellow"/>
        </w:rPr>
        <w:fldChar w:fldCharType="begin">
          <w:fldData xml:space="preserve">PEVuZE5vdGU+PENpdGU+PEF1dGhvcj5Hb3NzaWVsPC9BdXRob3I+PFllYXI+MjAxODwvWWVhcj48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b2RpY2FsPjxwYWdlcz40NC00ODwvcGFnZXM+PHZvbHVtZT4xMTE8L3ZvbHVtZT48ZWRpdGlvbj4y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</w:fldData>
        </w:fldChar>
      </w:r>
      <w:r w:rsidR="000D155C" w:rsidRPr="000D155C">
        <w:rPr>
          <w:rFonts w:ascii="Arial" w:hAnsi="Arial" w:cs="Arial"/>
          <w:highlight w:val="yellow"/>
        </w:rPr>
        <w:instrText xml:space="preserve"> ADDIN EN.CITE </w:instrText>
      </w:r>
      <w:r w:rsidR="000D155C" w:rsidRPr="000D155C">
        <w:rPr>
          <w:rFonts w:ascii="Arial" w:hAnsi="Arial" w:cs="Arial"/>
          <w:highlight w:val="yellow"/>
        </w:rPr>
        <w:fldChar w:fldCharType="begin">
          <w:fldData xml:space="preserve">PEVuZE5vdGU+PENpdGU+PEF1dGhvcj5Hb3NzaWVsPC9BdXRob3I+PFllYXI+MjAxODwvWWVhcj48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</w:fldData>
        </w:fldChar>
      </w:r>
      <w:r w:rsidR="000D155C" w:rsidRPr="000D155C">
        <w:rPr>
          <w:rFonts w:ascii="Arial" w:hAnsi="Arial" w:cs="Arial"/>
          <w:highlight w:val="yellow"/>
        </w:rPr>
        <w:instrText xml:space="preserve"> ADDIN EN.CITE.DATA </w:instrText>
      </w:r>
      <w:r w:rsidR="000D155C" w:rsidRPr="000D155C">
        <w:rPr>
          <w:rFonts w:ascii="Arial" w:hAnsi="Arial" w:cs="Arial"/>
          <w:highlight w:val="yellow"/>
        </w:rPr>
      </w:r>
      <w:r w:rsidR="000D155C" w:rsidRPr="000D155C">
        <w:rPr>
          <w:rFonts w:ascii="Arial" w:hAnsi="Arial" w:cs="Arial"/>
          <w:highlight w:val="yellow"/>
        </w:rPr>
        <w:fldChar w:fldCharType="end"/>
      </w:r>
      <w:r w:rsidR="000D155C" w:rsidRPr="000D155C">
        <w:rPr>
          <w:rFonts w:ascii="Arial" w:hAnsi="Arial" w:cs="Arial"/>
          <w:highlight w:val="yellow"/>
        </w:rPr>
      </w:r>
      <w:r w:rsidR="000D155C" w:rsidRPr="000D155C">
        <w:rPr>
          <w:rFonts w:ascii="Arial" w:hAnsi="Arial" w:cs="Arial"/>
          <w:highlight w:val="yellow"/>
        </w:rPr>
        <w:fldChar w:fldCharType="separate"/>
      </w:r>
      <w:r w:rsidR="000D155C" w:rsidRPr="000D155C">
        <w:rPr>
          <w:rFonts w:ascii="Arial" w:hAnsi="Arial" w:cs="Arial"/>
          <w:noProof/>
          <w:highlight w:val="yellow"/>
        </w:rPr>
        <w:t>(</w:t>
      </w:r>
      <w:hyperlink w:anchor="_ENREF_397" w:tooltip="Gossiel, 2018 #542" w:history="1">
        <w:r w:rsidR="003B725E" w:rsidRPr="000D155C">
          <w:rPr>
            <w:rFonts w:ascii="Arial" w:hAnsi="Arial" w:cs="Arial"/>
            <w:noProof/>
            <w:highlight w:val="yellow"/>
          </w:rPr>
          <w:t>397</w:t>
        </w:r>
      </w:hyperlink>
      <w:r w:rsidR="000D155C" w:rsidRPr="000D155C">
        <w:rPr>
          <w:rFonts w:ascii="Arial" w:hAnsi="Arial" w:cs="Arial"/>
          <w:noProof/>
          <w:highlight w:val="yellow"/>
        </w:rPr>
        <w:t>)</w:t>
      </w:r>
      <w:r w:rsidR="000D155C" w:rsidRPr="000D155C">
        <w:rPr>
          <w:rFonts w:ascii="Arial" w:hAnsi="Arial" w:cs="Arial"/>
          <w:highlight w:val="yellow"/>
        </w:rPr>
        <w:fldChar w:fldCharType="end"/>
      </w:r>
      <w:r w:rsidR="000D155C" w:rsidRPr="000D155C">
        <w:rPr>
          <w:rFonts w:ascii="Arial" w:hAnsi="Arial" w:cs="Arial"/>
          <w:highlight w:val="yellow"/>
        </w:rPr>
        <w:t>.</w:t>
      </w:r>
    </w:p>
    <w:p w:rsidR="001B5ACF" w:rsidRPr="0042319B" w:rsidRDefault="001C3434" w:rsidP="005354D9">
      <w:pPr>
        <w:spacing w:line="360" w:lineRule="auto"/>
        <w:jc w:val="both"/>
        <w:rPr>
          <w:rFonts w:ascii="Arial" w:hAnsi="Arial" w:cs="Arial"/>
        </w:rPr>
      </w:pPr>
      <w:r w:rsidRPr="001C3434">
        <w:rPr>
          <w:rFonts w:ascii="Arial" w:hAnsi="Arial" w:cs="Arial"/>
          <w:bCs/>
        </w:rPr>
        <w:t xml:space="preserve">Vertebral and non-vertebral fractures were </w:t>
      </w:r>
      <w:r w:rsidR="004409D1">
        <w:rPr>
          <w:rFonts w:ascii="Arial" w:hAnsi="Arial" w:cs="Arial"/>
          <w:bCs/>
        </w:rPr>
        <w:t>identified from the 6 year EVOS</w:t>
      </w:r>
      <w:r w:rsidRPr="001C3434">
        <w:rPr>
          <w:rFonts w:ascii="Arial" w:hAnsi="Arial" w:cs="Arial"/>
          <w:bCs/>
        </w:rPr>
        <w:t xml:space="preserve"> risk factor study questionnaire and </w:t>
      </w:r>
      <w:r w:rsidR="00F40474">
        <w:rPr>
          <w:rFonts w:ascii="Arial" w:hAnsi="Arial" w:cs="Arial"/>
          <w:bCs/>
        </w:rPr>
        <w:t xml:space="preserve">from </w:t>
      </w:r>
      <w:r w:rsidRPr="001C3434">
        <w:rPr>
          <w:rFonts w:ascii="Arial" w:hAnsi="Arial" w:cs="Arial"/>
          <w:bCs/>
        </w:rPr>
        <w:t>spine radiographs.</w:t>
      </w:r>
    </w:p>
    <w:p w:rsidR="001C3434" w:rsidRPr="001C3434" w:rsidRDefault="001C3434" w:rsidP="005354D9">
      <w:pPr>
        <w:pStyle w:val="Heading3"/>
        <w:jc w:val="both"/>
      </w:pPr>
      <w:bookmarkStart w:id="141" w:name="_Toc425418928"/>
      <w:r>
        <w:t>Laboratory methods</w:t>
      </w:r>
      <w:bookmarkEnd w:id="141"/>
    </w:p>
    <w:p w:rsidR="001C3434" w:rsidRDefault="002653B8" w:rsidP="005354D9">
      <w:pPr>
        <w:spacing w:line="360" w:lineRule="auto"/>
        <w:jc w:val="both"/>
        <w:rPr>
          <w:rFonts w:ascii="Arial" w:hAnsi="Arial" w:cs="Arial"/>
          <w:lang w:val="en-US"/>
        </w:rPr>
      </w:pPr>
      <w:r>
        <w:rPr>
          <w:rFonts w:ascii="Arial" w:hAnsi="Arial" w:cs="Arial"/>
          <w:lang w:val="en-US"/>
        </w:rPr>
        <w:t xml:space="preserve">From the non-fasting venous blood samples collected at baseline, </w:t>
      </w:r>
      <w:r w:rsidR="00765DEA">
        <w:rPr>
          <w:rFonts w:ascii="Arial" w:hAnsi="Arial" w:cs="Arial"/>
          <w:lang w:val="en-US"/>
        </w:rPr>
        <w:t>CTX and PINP</w:t>
      </w:r>
      <w:r w:rsidR="001C3434" w:rsidRPr="004A65DA">
        <w:rPr>
          <w:rFonts w:ascii="Arial" w:hAnsi="Arial" w:cs="Arial"/>
          <w:lang w:val="en-US"/>
        </w:rPr>
        <w:t xml:space="preserve"> were measured in serum using the IDS-iSYS automated immunoassays (Immunodiagnostic Systems, Boldon, United Kingdom). The inter assay </w:t>
      </w:r>
      <w:r w:rsidR="00765DEA">
        <w:rPr>
          <w:rFonts w:ascii="Arial" w:hAnsi="Arial" w:cs="Arial"/>
          <w:lang w:val="en-US"/>
        </w:rPr>
        <w:t>CV</w:t>
      </w:r>
      <w:r w:rsidR="001C3434" w:rsidRPr="004A65DA">
        <w:rPr>
          <w:rFonts w:ascii="Arial" w:hAnsi="Arial" w:cs="Arial"/>
          <w:lang w:val="en-US"/>
        </w:rPr>
        <w:t xml:space="preserve"> were </w:t>
      </w:r>
      <w:r w:rsidR="00765DEA">
        <w:rPr>
          <w:rFonts w:ascii="Arial" w:hAnsi="Arial" w:cs="Arial"/>
          <w:lang w:val="en-US"/>
        </w:rPr>
        <w:t xml:space="preserve">below 10% for each BTM using each of the quality control materials described in chapter 2. </w:t>
      </w:r>
    </w:p>
    <w:p w:rsidR="00BC337D" w:rsidRDefault="00775DF7" w:rsidP="005354D9">
      <w:pPr>
        <w:pStyle w:val="Heading3"/>
        <w:jc w:val="both"/>
      </w:pPr>
      <w:bookmarkStart w:id="142" w:name="_Toc425418929"/>
      <w:r>
        <w:t>Statistical analyses</w:t>
      </w:r>
      <w:bookmarkEnd w:id="142"/>
    </w:p>
    <w:p w:rsidR="00A80456" w:rsidRPr="00A80456" w:rsidRDefault="008613C2" w:rsidP="005354D9">
      <w:pPr>
        <w:pStyle w:val="Heading4"/>
        <w:jc w:val="both"/>
      </w:pPr>
      <w:r>
        <w:t>The</w:t>
      </w:r>
      <w:r w:rsidR="00662A4D">
        <w:t xml:space="preserve"> T</w:t>
      </w:r>
      <w:r w:rsidR="00A80456">
        <w:t>-score bone marker plot</w:t>
      </w:r>
    </w:p>
    <w:p w:rsidR="00A80456" w:rsidRDefault="00A80456" w:rsidP="003B725E">
      <w:pPr>
        <w:spacing w:line="360" w:lineRule="auto"/>
        <w:jc w:val="both"/>
        <w:rPr>
          <w:rFonts w:ascii="Arial" w:hAnsi="Arial" w:cs="Arial"/>
        </w:rPr>
      </w:pPr>
      <w:r>
        <w:rPr>
          <w:rFonts w:ascii="Arial" w:hAnsi="Arial" w:cs="Arial"/>
        </w:rPr>
        <w:t xml:space="preserve">This method </w:t>
      </w:r>
      <w:r w:rsidR="00E35DE9">
        <w:rPr>
          <w:rFonts w:ascii="Arial" w:hAnsi="Arial" w:cs="Arial"/>
        </w:rPr>
        <w:t>uses</w:t>
      </w:r>
      <w:r w:rsidR="00394458">
        <w:rPr>
          <w:rFonts w:ascii="Arial" w:hAnsi="Arial" w:cs="Arial"/>
        </w:rPr>
        <w:t xml:space="preserve"> the T</w:t>
      </w:r>
      <w:r w:rsidR="006B62FC">
        <w:rPr>
          <w:rFonts w:ascii="Arial" w:hAnsi="Arial" w:cs="Arial"/>
        </w:rPr>
        <w:t xml:space="preserve">-scores for each of the bone resorption and bone formation marker </w:t>
      </w:r>
      <w:r w:rsidR="001D2B6D">
        <w:rPr>
          <w:rFonts w:ascii="Arial" w:hAnsi="Arial" w:cs="Arial"/>
        </w:rPr>
        <w:t>to calculate bone turnover and bone balance</w:t>
      </w:r>
      <w:r w:rsidRPr="00A80456">
        <w:rPr>
          <w:rFonts w:ascii="Arial" w:hAnsi="Arial" w:cs="Arial"/>
        </w:rPr>
        <w:t xml:space="preserve"> </w:t>
      </w:r>
      <w:r w:rsidRPr="00A80456">
        <w:rPr>
          <w:rFonts w:ascii="Arial" w:hAnsi="Arial" w:cs="Arial"/>
        </w:rPr>
        <w:fldChar w:fldCharType="begin">
          <w:fldData xml:space="preserve">PEVuZE5vdGU+PENpdGU+PEF1dGhvcj5FYXN0ZWxsPC9BdXRob3I+PFllYXI+MTk5MzwvWWVhcj48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PEVuZE5vdGU+PENpdGU+PEF1dGhvcj5FYXN0ZWxsPC9BdXRob3I+PFllYXI+MTk5MzwvWWVhcj48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A80456">
        <w:rPr>
          <w:rFonts w:ascii="Arial" w:hAnsi="Arial" w:cs="Arial"/>
        </w:rPr>
      </w:r>
      <w:r w:rsidRPr="00A80456">
        <w:rPr>
          <w:rFonts w:ascii="Arial" w:hAnsi="Arial" w:cs="Arial"/>
        </w:rPr>
        <w:fldChar w:fldCharType="separate"/>
      </w:r>
      <w:r w:rsidR="000D155C">
        <w:rPr>
          <w:rFonts w:ascii="Arial" w:hAnsi="Arial" w:cs="Arial"/>
          <w:noProof/>
        </w:rPr>
        <w:t>(</w:t>
      </w:r>
      <w:hyperlink w:anchor="_ENREF_398" w:tooltip="Eastell, 1993 #195" w:history="1">
        <w:r w:rsidR="003B725E">
          <w:rPr>
            <w:rFonts w:ascii="Arial" w:hAnsi="Arial" w:cs="Arial"/>
            <w:noProof/>
          </w:rPr>
          <w:t>398</w:t>
        </w:r>
      </w:hyperlink>
      <w:r w:rsidR="000D155C">
        <w:rPr>
          <w:rFonts w:ascii="Arial" w:hAnsi="Arial" w:cs="Arial"/>
          <w:noProof/>
        </w:rPr>
        <w:t>)</w:t>
      </w:r>
      <w:r w:rsidRPr="00A80456">
        <w:rPr>
          <w:rFonts w:ascii="Arial" w:hAnsi="Arial" w:cs="Arial"/>
        </w:rPr>
        <w:fldChar w:fldCharType="end"/>
      </w:r>
      <w:r w:rsidRPr="00A80456">
        <w:rPr>
          <w:rFonts w:ascii="Arial" w:hAnsi="Arial" w:cs="Arial"/>
        </w:rPr>
        <w:t>. This allows bone turnover and bone balance to be examined in the same model.</w:t>
      </w:r>
    </w:p>
    <w:p w:rsidR="001D2B6D" w:rsidRDefault="001D2B6D" w:rsidP="005354D9">
      <w:pPr>
        <w:pStyle w:val="Heading5"/>
        <w:jc w:val="both"/>
      </w:pPr>
      <w:r>
        <w:t>Logarithmic transformation</w:t>
      </w:r>
    </w:p>
    <w:p w:rsidR="001D2B6D" w:rsidRPr="001D2B6D" w:rsidRDefault="001D2B6D" w:rsidP="005354D9">
      <w:pPr>
        <w:spacing w:line="360" w:lineRule="auto"/>
        <w:jc w:val="both"/>
        <w:rPr>
          <w:rFonts w:ascii="Arial" w:hAnsi="Arial" w:cs="Arial"/>
          <w:b/>
        </w:rPr>
      </w:pPr>
      <w:r w:rsidRPr="001A6417">
        <w:rPr>
          <w:rFonts w:ascii="Arial" w:hAnsi="Arial" w:cs="Arial"/>
        </w:rPr>
        <w:t>The bone resorption and formation markers are log</w:t>
      </w:r>
      <w:r>
        <w:rPr>
          <w:rFonts w:ascii="Arial" w:hAnsi="Arial" w:cs="Arial"/>
          <w:vertAlign w:val="subscript"/>
        </w:rPr>
        <w:t>10</w:t>
      </w:r>
      <w:r w:rsidRPr="001A6417">
        <w:rPr>
          <w:rFonts w:ascii="Arial" w:hAnsi="Arial" w:cs="Arial"/>
        </w:rPr>
        <w:t>-transformed and normalised</w:t>
      </w:r>
      <w:r>
        <w:rPr>
          <w:rFonts w:ascii="Arial" w:hAnsi="Arial" w:cs="Arial"/>
        </w:rPr>
        <w:t>.</w:t>
      </w:r>
    </w:p>
    <w:p w:rsidR="000A30EA" w:rsidRDefault="000A30EA" w:rsidP="005354D9">
      <w:pPr>
        <w:pStyle w:val="Heading5"/>
        <w:jc w:val="both"/>
      </w:pPr>
      <w:r w:rsidRPr="000A30EA">
        <w:lastRenderedPageBreak/>
        <w:t>Calculatio</w:t>
      </w:r>
      <w:r w:rsidR="00A51DCD">
        <w:t>n of the T</w:t>
      </w:r>
      <w:r w:rsidR="005C0039">
        <w:t xml:space="preserve">-scores for PINP and </w:t>
      </w:r>
      <w:r w:rsidR="0092098C">
        <w:t>CTX</w:t>
      </w:r>
      <w:r w:rsidRPr="000A30EA">
        <w:t>:</w:t>
      </w:r>
    </w:p>
    <w:p w:rsidR="005C0039" w:rsidRPr="005C0039" w:rsidRDefault="008613C2" w:rsidP="005354D9">
      <w:pPr>
        <w:spacing w:line="360" w:lineRule="auto"/>
        <w:jc w:val="both"/>
        <w:rPr>
          <w:rFonts w:ascii="Arial" w:hAnsi="Arial" w:cs="Arial"/>
        </w:rPr>
      </w:pPr>
      <w:r>
        <w:rPr>
          <w:rFonts w:ascii="Arial" w:hAnsi="Arial" w:cs="Arial"/>
        </w:rPr>
        <w:t>T</w:t>
      </w:r>
      <w:r w:rsidR="00662A4D">
        <w:rPr>
          <w:rFonts w:ascii="Arial" w:hAnsi="Arial" w:cs="Arial"/>
        </w:rPr>
        <w:t>he T</w:t>
      </w:r>
      <w:r w:rsidR="005C0039" w:rsidRPr="005C0039">
        <w:rPr>
          <w:rFonts w:ascii="Arial" w:hAnsi="Arial" w:cs="Arial"/>
        </w:rPr>
        <w:t>-scores for each BTM value from the postmenopausal women were calculated from the mean and standard deviation of the results in the premenopausal women (controls)</w:t>
      </w:r>
      <w:r w:rsidR="006F6EDD">
        <w:rPr>
          <w:rFonts w:ascii="Arial" w:hAnsi="Arial" w:cs="Arial"/>
        </w:rPr>
        <w:t>:</w:t>
      </w:r>
    </w:p>
    <w:p w:rsidR="001D2B6D" w:rsidRPr="005C0039" w:rsidRDefault="008613C2" w:rsidP="005354D9">
      <w:pPr>
        <w:spacing w:line="360" w:lineRule="auto"/>
        <w:ind w:left="720" w:firstLine="720"/>
        <w:jc w:val="both"/>
        <w:rPr>
          <w:rFonts w:ascii="Arial" w:hAnsi="Arial" w:cs="Arial"/>
        </w:rPr>
      </w:pPr>
      <w:r>
        <w:rPr>
          <w:rFonts w:ascii="Arial" w:hAnsi="Arial" w:cs="Arial"/>
        </w:rPr>
        <w:t>T</w:t>
      </w:r>
      <w:r w:rsidR="001D2B6D" w:rsidRPr="005C0039">
        <w:rPr>
          <w:rFonts w:ascii="Arial" w:hAnsi="Arial" w:cs="Arial"/>
        </w:rPr>
        <w:t>-score = BTM – mean BTM / standard deviation BTM</w:t>
      </w:r>
    </w:p>
    <w:p w:rsidR="001D2B6D" w:rsidRDefault="001D2B6D" w:rsidP="005354D9">
      <w:pPr>
        <w:pStyle w:val="Heading5"/>
        <w:jc w:val="both"/>
      </w:pPr>
      <w:r w:rsidRPr="00370BDE">
        <w:t>Calcula</w:t>
      </w:r>
      <w:r w:rsidR="008613C2">
        <w:t>tion of bone turnover from the t</w:t>
      </w:r>
      <w:r w:rsidRPr="00370BDE">
        <w:t xml:space="preserve">-scores for </w:t>
      </w:r>
      <w:r w:rsidR="00370BDE" w:rsidRPr="00370BDE">
        <w:t>bone resorption and bone formation:</w:t>
      </w:r>
    </w:p>
    <w:p w:rsidR="001D2B6D" w:rsidRPr="005C0039" w:rsidRDefault="00370BDE" w:rsidP="005354D9">
      <w:pPr>
        <w:ind w:left="720" w:firstLine="720"/>
        <w:jc w:val="both"/>
        <w:rPr>
          <w:rFonts w:ascii="Arial" w:hAnsi="Arial" w:cs="Arial"/>
        </w:rPr>
      </w:pPr>
      <w:r w:rsidRPr="005C0039">
        <w:rPr>
          <w:rFonts w:ascii="Arial" w:hAnsi="Arial" w:cs="Arial"/>
        </w:rPr>
        <w:t xml:space="preserve">Bone </w:t>
      </w:r>
      <w:r w:rsidR="00A51DCD">
        <w:rPr>
          <w:rFonts w:ascii="Arial" w:hAnsi="Arial" w:cs="Arial"/>
        </w:rPr>
        <w:t>turnover = T–score bone resorption + T</w:t>
      </w:r>
      <w:r w:rsidRPr="005C0039">
        <w:rPr>
          <w:rFonts w:ascii="Arial" w:hAnsi="Arial" w:cs="Arial"/>
        </w:rPr>
        <w:t>-</w:t>
      </w:r>
      <w:r w:rsidR="00CD3C29">
        <w:rPr>
          <w:rFonts w:ascii="Arial" w:hAnsi="Arial" w:cs="Arial"/>
        </w:rPr>
        <w:t xml:space="preserve">score </w:t>
      </w:r>
      <w:r w:rsidRPr="005C0039">
        <w:rPr>
          <w:rFonts w:ascii="Arial" w:hAnsi="Arial" w:cs="Arial"/>
        </w:rPr>
        <w:t>bone formation / 2</w:t>
      </w:r>
    </w:p>
    <w:p w:rsidR="000A30EA" w:rsidRDefault="000A30EA" w:rsidP="005354D9">
      <w:pPr>
        <w:pStyle w:val="Heading5"/>
        <w:jc w:val="both"/>
      </w:pPr>
      <w:r w:rsidRPr="000A30EA">
        <w:t>Calculation on bone balance</w:t>
      </w:r>
      <w:r w:rsidR="00370BDE">
        <w:t xml:space="preserve"> </w:t>
      </w:r>
      <w:r w:rsidR="008613C2">
        <w:t>from the t</w:t>
      </w:r>
      <w:r w:rsidR="00370BDE" w:rsidRPr="00370BDE">
        <w:t>-scores for bone resorption and bone formation</w:t>
      </w:r>
      <w:r w:rsidRPr="000A30EA">
        <w:t>:</w:t>
      </w:r>
    </w:p>
    <w:p w:rsidR="00370BDE" w:rsidRPr="00F3359B" w:rsidRDefault="00CD3C29" w:rsidP="005354D9">
      <w:pPr>
        <w:ind w:left="720" w:firstLine="720"/>
        <w:jc w:val="both"/>
        <w:rPr>
          <w:rFonts w:ascii="Arial" w:hAnsi="Arial" w:cs="Arial"/>
          <w:lang w:val="fr-FR"/>
        </w:rPr>
      </w:pPr>
      <w:r w:rsidRPr="00F3359B">
        <w:rPr>
          <w:rFonts w:ascii="Arial" w:hAnsi="Arial" w:cs="Arial"/>
          <w:lang w:val="fr-FR"/>
        </w:rPr>
        <w:t>B</w:t>
      </w:r>
      <w:r w:rsidR="00A51DCD" w:rsidRPr="00F3359B">
        <w:rPr>
          <w:rFonts w:ascii="Arial" w:hAnsi="Arial" w:cs="Arial"/>
          <w:lang w:val="fr-FR"/>
        </w:rPr>
        <w:t>one balance = T-score bone formation – T</w:t>
      </w:r>
      <w:r w:rsidR="00370BDE" w:rsidRPr="00F3359B">
        <w:rPr>
          <w:rFonts w:ascii="Arial" w:hAnsi="Arial" w:cs="Arial"/>
          <w:lang w:val="fr-FR"/>
        </w:rPr>
        <w:t>-</w:t>
      </w:r>
      <w:r w:rsidRPr="00F3359B">
        <w:rPr>
          <w:rFonts w:ascii="Arial" w:hAnsi="Arial" w:cs="Arial"/>
          <w:lang w:val="fr-FR"/>
        </w:rPr>
        <w:t xml:space="preserve">score </w:t>
      </w:r>
      <w:r w:rsidR="00370BDE" w:rsidRPr="00F3359B">
        <w:rPr>
          <w:rFonts w:ascii="Arial" w:hAnsi="Arial" w:cs="Arial"/>
          <w:lang w:val="fr-FR"/>
        </w:rPr>
        <w:t>bone resorption</w:t>
      </w:r>
    </w:p>
    <w:p w:rsidR="001A6417" w:rsidRDefault="0094045F" w:rsidP="005354D9">
      <w:pPr>
        <w:pStyle w:val="Heading5"/>
        <w:jc w:val="both"/>
      </w:pPr>
      <w:r w:rsidRPr="000A30EA">
        <w:t>Presentation of the data by 95% confidenc</w:t>
      </w:r>
      <w:r w:rsidR="001A6417">
        <w:t>e ellipse</w:t>
      </w:r>
    </w:p>
    <w:p w:rsidR="00CD2A0E" w:rsidRDefault="001A6417" w:rsidP="005354D9">
      <w:pPr>
        <w:spacing w:after="0" w:line="360" w:lineRule="auto"/>
        <w:jc w:val="both"/>
        <w:rPr>
          <w:rFonts w:ascii="Arial" w:hAnsi="Arial" w:cs="Arial"/>
        </w:rPr>
      </w:pPr>
      <w:r>
        <w:rPr>
          <w:rFonts w:ascii="Arial" w:hAnsi="Arial" w:cs="Arial"/>
        </w:rPr>
        <w:t>B</w:t>
      </w:r>
      <w:r w:rsidR="0094045F" w:rsidRPr="000A30EA">
        <w:rPr>
          <w:rFonts w:ascii="Arial" w:hAnsi="Arial" w:cs="Arial"/>
        </w:rPr>
        <w:t xml:space="preserve">one balance and bone turnover obtained after log transformation of the bone turnover </w:t>
      </w:r>
      <w:r w:rsidR="00B332A2" w:rsidRPr="000A30EA">
        <w:rPr>
          <w:rFonts w:ascii="Arial" w:hAnsi="Arial" w:cs="Arial"/>
        </w:rPr>
        <w:t>markers</w:t>
      </w:r>
      <w:r w:rsidR="0094045F" w:rsidRPr="000A30EA">
        <w:rPr>
          <w:rFonts w:ascii="Arial" w:hAnsi="Arial" w:cs="Arial"/>
        </w:rPr>
        <w:t xml:space="preserve"> </w:t>
      </w:r>
      <w:r w:rsidR="00FE3590">
        <w:rPr>
          <w:rFonts w:ascii="Arial" w:hAnsi="Arial" w:cs="Arial"/>
        </w:rPr>
        <w:t>were</w:t>
      </w:r>
      <w:r w:rsidR="0094045F" w:rsidRPr="000A30EA">
        <w:rPr>
          <w:rFonts w:ascii="Arial" w:hAnsi="Arial" w:cs="Arial"/>
        </w:rPr>
        <w:t xml:space="preserve"> plotted against each other</w:t>
      </w:r>
      <w:r w:rsidR="00FE3590">
        <w:rPr>
          <w:rFonts w:ascii="Arial" w:hAnsi="Arial" w:cs="Arial"/>
        </w:rPr>
        <w:t xml:space="preserve">, </w:t>
      </w:r>
      <w:r w:rsidR="00121713">
        <w:rPr>
          <w:rFonts w:ascii="Arial" w:hAnsi="Arial" w:cs="Arial"/>
        </w:rPr>
        <w:t>(F</w:t>
      </w:r>
      <w:r w:rsidR="00A777D7">
        <w:rPr>
          <w:rFonts w:ascii="Arial" w:hAnsi="Arial" w:cs="Arial"/>
        </w:rPr>
        <w:t>igure 41</w:t>
      </w:r>
      <w:r w:rsidR="00121713">
        <w:rPr>
          <w:rFonts w:ascii="Arial" w:hAnsi="Arial" w:cs="Arial"/>
        </w:rPr>
        <w:t>)</w:t>
      </w:r>
      <w:r w:rsidR="00FE3590">
        <w:rPr>
          <w:rFonts w:ascii="Arial" w:hAnsi="Arial" w:cs="Arial"/>
        </w:rPr>
        <w:t>. This produced</w:t>
      </w:r>
      <w:r w:rsidR="0094045F" w:rsidRPr="000A30EA">
        <w:rPr>
          <w:rFonts w:ascii="Arial" w:hAnsi="Arial" w:cs="Arial"/>
        </w:rPr>
        <w:t xml:space="preserve"> a four-quadrant graph</w:t>
      </w:r>
      <w:r w:rsidR="00F94E2F">
        <w:rPr>
          <w:rFonts w:ascii="Arial" w:hAnsi="Arial" w:cs="Arial"/>
        </w:rPr>
        <w:t xml:space="preserve">. </w:t>
      </w:r>
      <w:r w:rsidR="00370BDE">
        <w:rPr>
          <w:rFonts w:ascii="Arial" w:hAnsi="Arial" w:cs="Arial"/>
        </w:rPr>
        <w:t xml:space="preserve">A </w:t>
      </w:r>
      <w:r w:rsidR="000A30EA">
        <w:rPr>
          <w:rFonts w:ascii="Arial" w:hAnsi="Arial" w:cs="Arial"/>
        </w:rPr>
        <w:t xml:space="preserve">bivariate </w:t>
      </w:r>
      <w:r w:rsidR="004A5D80">
        <w:rPr>
          <w:rFonts w:ascii="Arial" w:hAnsi="Arial" w:cs="Arial"/>
        </w:rPr>
        <w:t>95% confidence ellipse was</w:t>
      </w:r>
      <w:r w:rsidR="0094045F" w:rsidRPr="000A30EA">
        <w:rPr>
          <w:rFonts w:ascii="Arial" w:hAnsi="Arial" w:cs="Arial"/>
        </w:rPr>
        <w:t xml:space="preserve"> drawn to surround the data for postmenopausal women and for premenopausal women. The </w:t>
      </w:r>
      <w:r w:rsidR="000136D1">
        <w:rPr>
          <w:rFonts w:ascii="Arial" w:hAnsi="Arial" w:cs="Arial"/>
        </w:rPr>
        <w:t xml:space="preserve">Mahalanobis </w:t>
      </w:r>
      <w:r w:rsidR="0094045F" w:rsidRPr="000A30EA">
        <w:rPr>
          <w:rFonts w:ascii="Arial" w:hAnsi="Arial" w:cs="Arial"/>
        </w:rPr>
        <w:t xml:space="preserve">distance between the </w:t>
      </w:r>
      <w:r w:rsidR="0014388E">
        <w:rPr>
          <w:rFonts w:ascii="Arial" w:hAnsi="Arial" w:cs="Arial"/>
        </w:rPr>
        <w:t>centres</w:t>
      </w:r>
      <w:r w:rsidR="000136D1">
        <w:rPr>
          <w:rFonts w:ascii="Arial" w:hAnsi="Arial" w:cs="Arial"/>
        </w:rPr>
        <w:t xml:space="preserve"> of the 2 ellipses was calculated</w:t>
      </w:r>
      <w:r w:rsidR="0014388E">
        <w:rPr>
          <w:rFonts w:ascii="Arial" w:hAnsi="Arial" w:cs="Arial"/>
        </w:rPr>
        <w:t xml:space="preserve"> (</w:t>
      </w:r>
      <w:r w:rsidR="0014388E" w:rsidRPr="00765DEA">
        <w:rPr>
          <w:rStyle w:val="citation"/>
          <w:rFonts w:ascii="Arial" w:hAnsi="Arial" w:cs="Arial"/>
          <w:lang w:val="en"/>
        </w:rPr>
        <w:t xml:space="preserve">Mahalanobis, Prasanta Chandra (1936). </w:t>
      </w:r>
      <w:hyperlink r:id="rId140" w:history="1">
        <w:r w:rsidR="0014388E" w:rsidRPr="00765DEA">
          <w:rPr>
            <w:rStyle w:val="Hyperlink"/>
            <w:rFonts w:ascii="Arial" w:hAnsi="Arial" w:cs="Arial"/>
            <w:lang w:val="en"/>
          </w:rPr>
          <w:t>"On the generalised distance in statistics"</w:t>
        </w:r>
      </w:hyperlink>
      <w:r w:rsidR="0014388E" w:rsidRPr="00765DEA">
        <w:rPr>
          <w:rStyle w:val="citation"/>
          <w:rFonts w:ascii="Arial" w:hAnsi="Arial" w:cs="Arial"/>
          <w:lang w:val="en"/>
        </w:rPr>
        <w:t xml:space="preserve">. </w:t>
      </w:r>
      <w:r w:rsidR="0014388E" w:rsidRPr="00765DEA">
        <w:rPr>
          <w:rStyle w:val="citation"/>
          <w:rFonts w:ascii="Arial" w:hAnsi="Arial" w:cs="Arial"/>
          <w:i/>
          <w:iCs/>
          <w:lang w:val="en"/>
        </w:rPr>
        <w:t>Proceedings of the National Institute of Sciences of India</w:t>
      </w:r>
      <w:r w:rsidR="0014388E" w:rsidRPr="00765DEA">
        <w:rPr>
          <w:rStyle w:val="citation"/>
          <w:rFonts w:ascii="Arial" w:hAnsi="Arial" w:cs="Arial"/>
          <w:lang w:val="en"/>
        </w:rPr>
        <w:t xml:space="preserve"> </w:t>
      </w:r>
      <w:r w:rsidR="0014388E" w:rsidRPr="00765DEA">
        <w:rPr>
          <w:rStyle w:val="citation"/>
          <w:rFonts w:ascii="Arial" w:hAnsi="Arial" w:cs="Arial"/>
          <w:b/>
          <w:bCs/>
          <w:lang w:val="en"/>
        </w:rPr>
        <w:t>2</w:t>
      </w:r>
      <w:r w:rsidR="0014388E" w:rsidRPr="00765DEA">
        <w:rPr>
          <w:rStyle w:val="citation"/>
          <w:rFonts w:ascii="Arial" w:hAnsi="Arial" w:cs="Arial"/>
          <w:lang w:val="en"/>
        </w:rPr>
        <w:t xml:space="preserve"> (1): 49–55</w:t>
      </w:r>
      <w:r w:rsidR="0014388E" w:rsidRPr="00765DEA">
        <w:rPr>
          <w:rStyle w:val="reference-accessdate"/>
          <w:rFonts w:ascii="Arial" w:hAnsi="Arial" w:cs="Arial"/>
          <w:lang w:val="en"/>
        </w:rPr>
        <w:t>. Retrieved 2012-05-03</w:t>
      </w:r>
      <w:r w:rsidR="00765DEA">
        <w:rPr>
          <w:rStyle w:val="reference-accessdate"/>
          <w:rFonts w:ascii="Arial" w:hAnsi="Arial" w:cs="Arial"/>
          <w:lang w:val="en"/>
        </w:rPr>
        <w:t>)</w:t>
      </w:r>
      <w:r w:rsidR="000136D1">
        <w:rPr>
          <w:rFonts w:ascii="Arial" w:hAnsi="Arial" w:cs="Arial"/>
        </w:rPr>
        <w:t xml:space="preserve">. </w:t>
      </w:r>
      <w:r w:rsidR="00804EE5">
        <w:rPr>
          <w:rFonts w:ascii="Arial" w:hAnsi="Arial" w:cs="Arial"/>
        </w:rPr>
        <w:t xml:space="preserve">This is a multi-dimensional measurement of the number of standard deviations from the centre of the premenopausal ellipse to the </w:t>
      </w:r>
      <w:r w:rsidR="00370BDE">
        <w:rPr>
          <w:rFonts w:ascii="Arial" w:hAnsi="Arial" w:cs="Arial"/>
        </w:rPr>
        <w:t>centre</w:t>
      </w:r>
      <w:r w:rsidR="00804EE5">
        <w:rPr>
          <w:rFonts w:ascii="Arial" w:hAnsi="Arial" w:cs="Arial"/>
        </w:rPr>
        <w:t xml:space="preserve"> of the postmenopausal ellipse</w:t>
      </w:r>
      <w:r w:rsidR="00370BDE">
        <w:rPr>
          <w:rFonts w:ascii="Arial" w:hAnsi="Arial" w:cs="Arial"/>
        </w:rPr>
        <w:t>, taking in to account the covariance between bone balance and bone turnover</w:t>
      </w:r>
      <w:r w:rsidR="00804EE5">
        <w:rPr>
          <w:rFonts w:ascii="Arial" w:hAnsi="Arial" w:cs="Arial"/>
        </w:rPr>
        <w:t>. This distance is zero if the centre of the prem</w:t>
      </w:r>
      <w:r w:rsidR="00370BDE">
        <w:rPr>
          <w:rFonts w:ascii="Arial" w:hAnsi="Arial" w:cs="Arial"/>
        </w:rPr>
        <w:t>enopausal ellipse is at the mean</w:t>
      </w:r>
      <w:r w:rsidR="00804EE5">
        <w:rPr>
          <w:rFonts w:ascii="Arial" w:hAnsi="Arial" w:cs="Arial"/>
        </w:rPr>
        <w:t xml:space="preserve"> of the </w:t>
      </w:r>
      <w:r w:rsidR="00370BDE">
        <w:rPr>
          <w:rFonts w:ascii="Arial" w:hAnsi="Arial" w:cs="Arial"/>
        </w:rPr>
        <w:t>postmenopausal ellipse</w:t>
      </w:r>
      <w:r w:rsidR="00804EE5">
        <w:rPr>
          <w:rFonts w:ascii="Arial" w:hAnsi="Arial" w:cs="Arial"/>
        </w:rPr>
        <w:t xml:space="preserve"> and increases as this centre moves away from the mean. </w:t>
      </w:r>
    </w:p>
    <w:p w:rsidR="00CD2A0E" w:rsidRDefault="00CD2A0E" w:rsidP="00900F2C">
      <w:pPr>
        <w:spacing w:after="0" w:line="360" w:lineRule="auto"/>
        <w:rPr>
          <w:rFonts w:ascii="Arial" w:eastAsiaTheme="minorEastAsia" w:hAnsi="Arial" w:cs="Arial"/>
        </w:rPr>
      </w:pPr>
      <w:r w:rsidRPr="00CD2A0E">
        <w:rPr>
          <w:rFonts w:ascii="Arial" w:hAnsi="Arial" w:cs="Arial"/>
        </w:rPr>
        <w:t>Given samples of sizes n</w:t>
      </w:r>
      <w:r w:rsidRPr="00CD2A0E">
        <w:rPr>
          <w:rFonts w:ascii="Arial" w:hAnsi="Arial" w:cs="Arial"/>
          <w:vertAlign w:val="subscript"/>
        </w:rPr>
        <w:t>1</w:t>
      </w:r>
      <w:r w:rsidRPr="00CD2A0E">
        <w:rPr>
          <w:rFonts w:ascii="Arial" w:hAnsi="Arial" w:cs="Arial"/>
        </w:rPr>
        <w:t xml:space="preserve"> and n</w:t>
      </w:r>
      <w:r w:rsidRPr="00CD2A0E">
        <w:rPr>
          <w:rFonts w:ascii="Arial" w:hAnsi="Arial" w:cs="Arial"/>
          <w:vertAlign w:val="subscript"/>
        </w:rPr>
        <w:t>2</w:t>
      </w:r>
      <w:r w:rsidRPr="00CD2A0E">
        <w:rPr>
          <w:rFonts w:ascii="Arial" w:hAnsi="Arial" w:cs="Arial"/>
        </w:rPr>
        <w:t xml:space="preserve">, means </w:t>
      </w:r>
      <m:oMath>
        <m:sSub>
          <m:sSubPr>
            <m:ctrlPr>
              <w:rPr>
                <w:rFonts w:ascii="Cambria Math" w:hAnsi="Cambria Math" w:cs="Arial"/>
                <w:i/>
              </w:rPr>
            </m:ctrlPr>
          </m:sSubPr>
          <m:e>
            <m:acc>
              <m:accPr>
                <m:chr m:val="̅"/>
                <m:ctrlPr>
                  <w:rPr>
                    <w:rFonts w:ascii="Cambria Math" w:hAnsi="Cambria Math" w:cs="Arial"/>
                    <w:i/>
                  </w:rPr>
                </m:ctrlPr>
              </m:accPr>
              <m:e>
                <m:r>
                  <w:rPr>
                    <w:rFonts w:ascii="Cambria Math" w:hAnsi="Cambria Math" w:cs="Arial"/>
                  </w:rPr>
                  <m:t>x</m:t>
                </m:r>
              </m:e>
            </m:acc>
          </m:e>
          <m:sub>
            <m:r>
              <w:rPr>
                <w:rFonts w:ascii="Cambria Math" w:hAnsi="Cambria Math" w:cs="Arial"/>
              </w:rPr>
              <m:t>1</m:t>
            </m:r>
          </m:sub>
        </m:sSub>
      </m:oMath>
      <w:r w:rsidRPr="00CD2A0E">
        <w:rPr>
          <w:rFonts w:ascii="Arial" w:eastAsiaTheme="minorEastAsia" w:hAnsi="Arial" w:cs="Arial"/>
        </w:rPr>
        <w:t xml:space="preserve"> </w:t>
      </w:r>
      <w:proofErr w:type="gramStart"/>
      <w:r w:rsidRPr="00CD2A0E">
        <w:rPr>
          <w:rFonts w:ascii="Arial" w:eastAsiaTheme="minorEastAsia" w:hAnsi="Arial" w:cs="Arial"/>
        </w:rPr>
        <w:t xml:space="preserve">and </w:t>
      </w:r>
      <w:proofErr w:type="gramEnd"/>
      <m:oMath>
        <m:sSub>
          <m:sSubPr>
            <m:ctrlPr>
              <w:rPr>
                <w:rFonts w:ascii="Cambria Math" w:hAnsi="Cambria Math" w:cs="Arial"/>
                <w:i/>
              </w:rPr>
            </m:ctrlPr>
          </m:sSubPr>
          <m:e>
            <m:acc>
              <m:accPr>
                <m:chr m:val="̅"/>
                <m:ctrlPr>
                  <w:rPr>
                    <w:rFonts w:ascii="Cambria Math" w:hAnsi="Cambria Math" w:cs="Arial"/>
                    <w:i/>
                  </w:rPr>
                </m:ctrlPr>
              </m:accPr>
              <m:e>
                <m:r>
                  <w:rPr>
                    <w:rFonts w:ascii="Cambria Math" w:hAnsi="Cambria Math" w:cs="Arial"/>
                  </w:rPr>
                  <m:t>x</m:t>
                </m:r>
              </m:e>
            </m:acc>
          </m:e>
          <m:sub>
            <m:r>
              <w:rPr>
                <w:rFonts w:ascii="Cambria Math" w:hAnsi="Cambria Math" w:cs="Arial"/>
              </w:rPr>
              <m:t>2</m:t>
            </m:r>
          </m:sub>
        </m:sSub>
      </m:oMath>
      <w:r w:rsidRPr="00CD2A0E">
        <w:rPr>
          <w:rFonts w:ascii="Arial" w:eastAsiaTheme="minorEastAsia" w:hAnsi="Arial" w:cs="Arial"/>
        </w:rPr>
        <w:t xml:space="preserve">, and variances </w:t>
      </w:r>
      <m:oMath>
        <m:sSub>
          <m:sSubPr>
            <m:ctrlPr>
              <w:rPr>
                <w:rFonts w:ascii="Cambria Math" w:eastAsiaTheme="minorEastAsia" w:hAnsi="Cambria Math" w:cs="Arial"/>
                <w:i/>
              </w:rPr>
            </m:ctrlPr>
          </m:sSubPr>
          <m:e>
            <m:r>
              <w:rPr>
                <w:rFonts w:ascii="Cambria Math" w:eastAsiaTheme="minorEastAsia" w:hAnsi="Cambria Math" w:cs="Arial"/>
              </w:rPr>
              <m:t>S</m:t>
            </m:r>
          </m:e>
          <m:sub>
            <m:r>
              <w:rPr>
                <w:rFonts w:ascii="Cambria Math" w:eastAsiaTheme="minorEastAsia" w:hAnsi="Cambria Math" w:cs="Arial"/>
              </w:rPr>
              <m:t>1</m:t>
            </m:r>
          </m:sub>
        </m:sSub>
      </m:oMath>
      <w:r w:rsidRPr="00CD2A0E">
        <w:rPr>
          <w:rFonts w:ascii="Arial" w:eastAsiaTheme="minorEastAsia" w:hAnsi="Arial" w:cs="Arial"/>
        </w:rPr>
        <w:t xml:space="preserve"> and </w:t>
      </w:r>
      <m:oMath>
        <m:sSub>
          <m:sSubPr>
            <m:ctrlPr>
              <w:rPr>
                <w:rFonts w:ascii="Cambria Math" w:eastAsiaTheme="minorEastAsia" w:hAnsi="Cambria Math" w:cs="Arial"/>
                <w:i/>
              </w:rPr>
            </m:ctrlPr>
          </m:sSubPr>
          <m:e>
            <m:r>
              <w:rPr>
                <w:rFonts w:ascii="Cambria Math" w:eastAsiaTheme="minorEastAsia" w:hAnsi="Cambria Math" w:cs="Arial"/>
              </w:rPr>
              <m:t>S</m:t>
            </m:r>
          </m:e>
          <m:sub>
            <m:r>
              <w:rPr>
                <w:rFonts w:ascii="Cambria Math" w:eastAsiaTheme="minorEastAsia" w:hAnsi="Cambria Math" w:cs="Arial"/>
              </w:rPr>
              <m:t>2</m:t>
            </m:r>
          </m:sub>
        </m:sSub>
      </m:oMath>
      <w:r w:rsidRPr="00CD2A0E">
        <w:rPr>
          <w:rFonts w:ascii="Arial" w:eastAsiaTheme="minorEastAsia" w:hAnsi="Arial" w:cs="Arial"/>
        </w:rPr>
        <w:t xml:space="preserve"> then the Mahalanobis distance is defined as</w:t>
      </w:r>
      <w:r>
        <w:rPr>
          <w:rFonts w:ascii="Arial" w:eastAsiaTheme="minorEastAsia" w:hAnsi="Arial" w:cs="Arial"/>
        </w:rPr>
        <w:t>:</w:t>
      </w:r>
    </w:p>
    <w:p w:rsidR="00765DEA" w:rsidRDefault="00765DEA" w:rsidP="00900F2C">
      <w:pPr>
        <w:spacing w:after="0" w:line="360" w:lineRule="auto"/>
        <w:rPr>
          <w:rFonts w:ascii="Arial" w:eastAsiaTheme="minorEastAsia" w:hAnsi="Arial" w:cs="Arial"/>
        </w:rPr>
      </w:pPr>
    </w:p>
    <w:p w:rsidR="00CD2A0E" w:rsidRPr="002B74E8" w:rsidRDefault="008432B5" w:rsidP="00900F2C">
      <w:pPr>
        <w:spacing w:after="0"/>
        <w:ind w:left="1276" w:firstLine="1134"/>
        <w:rPr>
          <w:rFonts w:ascii="Cambria Math" w:eastAsiaTheme="minorEastAsia" w:hAnsi="Cambria Math" w:cs="Arial"/>
          <w:i/>
        </w:rPr>
      </w:pPr>
      <m:oMathPara>
        <m:oMathParaPr>
          <m:jc m:val="left"/>
        </m:oMathParaPr>
        <m:oMath>
          <m:sSup>
            <m:sSupPr>
              <m:ctrlPr>
                <w:rPr>
                  <w:rFonts w:ascii="Cambria Math" w:hAnsi="Cambria Math" w:cs="Arial"/>
                  <w:i/>
                </w:rPr>
              </m:ctrlPr>
            </m:sSupPr>
            <m:e>
              <m:r>
                <m:rPr>
                  <m:nor/>
                </m:rPr>
                <w:rPr>
                  <w:rFonts w:ascii="Cambria Math" w:hAnsi="Cambria Math" w:cs="Arial"/>
                  <w:i/>
                </w:rPr>
                <m:t>D</m:t>
              </m:r>
            </m:e>
            <m:sup>
              <m:r>
                <m:rPr>
                  <m:nor/>
                </m:rPr>
                <w:rPr>
                  <w:rFonts w:ascii="Cambria Math" w:hAnsi="Cambria Math" w:cs="Arial"/>
                  <w:i/>
                </w:rPr>
                <m:t>2</m:t>
              </m:r>
            </m:sup>
          </m:sSup>
          <m:r>
            <m:rPr>
              <m:nor/>
            </m:rPr>
            <w:rPr>
              <w:rFonts w:ascii="Cambria Math" w:hAnsi="Cambria Math" w:cs="Arial"/>
              <w:i/>
            </w:rPr>
            <m:t>=</m:t>
          </m:r>
          <m:d>
            <m:dPr>
              <m:ctrlPr>
                <w:rPr>
                  <w:rFonts w:ascii="Cambria Math" w:hAnsi="Cambria Math" w:cs="Arial"/>
                  <w:i/>
                </w:rPr>
              </m:ctrlPr>
            </m:dPr>
            <m:e>
              <m:sSub>
                <m:sSubPr>
                  <m:ctrlPr>
                    <w:rPr>
                      <w:rFonts w:ascii="Cambria Math" w:hAnsi="Cambria Math" w:cs="Arial"/>
                      <w:i/>
                    </w:rPr>
                  </m:ctrlPr>
                </m:sSubPr>
                <m:e>
                  <m:acc>
                    <m:accPr>
                      <m:chr m:val="̅"/>
                      <m:ctrlPr>
                        <w:rPr>
                          <w:rFonts w:ascii="Cambria Math" w:hAnsi="Cambria Math" w:cs="Arial"/>
                          <w:i/>
                        </w:rPr>
                      </m:ctrlPr>
                    </m:accPr>
                    <m:e>
                      <m:r>
                        <m:rPr>
                          <m:nor/>
                        </m:rPr>
                        <w:rPr>
                          <w:rFonts w:ascii="Cambria Math" w:hAnsi="Cambria Math" w:cs="Arial"/>
                          <w:i/>
                        </w:rPr>
                        <m:t>x</m:t>
                      </m:r>
                    </m:e>
                  </m:acc>
                </m:e>
                <m:sub>
                  <m:r>
                    <m:rPr>
                      <m:nor/>
                    </m:rPr>
                    <w:rPr>
                      <w:rFonts w:ascii="Cambria Math" w:hAnsi="Cambria Math" w:cs="Arial"/>
                      <w:i/>
                    </w:rPr>
                    <m:t>1</m:t>
                  </m:r>
                </m:sub>
              </m:sSub>
              <m:r>
                <m:rPr>
                  <m:nor/>
                </m:rPr>
                <w:rPr>
                  <w:rFonts w:ascii="Cambria Math" w:hAnsi="Cambria Math" w:cs="Arial"/>
                  <w:i/>
                </w:rPr>
                <m:t>-</m:t>
              </m:r>
              <m:sSub>
                <m:sSubPr>
                  <m:ctrlPr>
                    <w:rPr>
                      <w:rFonts w:ascii="Cambria Math" w:hAnsi="Cambria Math" w:cs="Arial"/>
                      <w:i/>
                    </w:rPr>
                  </m:ctrlPr>
                </m:sSubPr>
                <m:e>
                  <m:acc>
                    <m:accPr>
                      <m:chr m:val="̅"/>
                      <m:ctrlPr>
                        <w:rPr>
                          <w:rFonts w:ascii="Cambria Math" w:hAnsi="Cambria Math" w:cs="Arial"/>
                          <w:i/>
                        </w:rPr>
                      </m:ctrlPr>
                    </m:accPr>
                    <m:e>
                      <m:r>
                        <m:rPr>
                          <m:nor/>
                        </m:rPr>
                        <w:rPr>
                          <w:rFonts w:ascii="Cambria Math" w:hAnsi="Cambria Math" w:cs="Arial"/>
                          <w:i/>
                        </w:rPr>
                        <m:t>x</m:t>
                      </m:r>
                    </m:e>
                  </m:acc>
                </m:e>
                <m:sub>
                  <m:r>
                    <m:rPr>
                      <m:nor/>
                    </m:rPr>
                    <w:rPr>
                      <w:rFonts w:ascii="Cambria Math" w:hAnsi="Cambria Math" w:cs="Arial"/>
                      <w:i/>
                    </w:rPr>
                    <m:t>2</m:t>
                  </m:r>
                </m:sub>
              </m:sSub>
            </m:e>
          </m:d>
          <m:sSup>
            <m:sSupPr>
              <m:ctrlPr>
                <w:rPr>
                  <w:rFonts w:ascii="Cambria Math" w:hAnsi="Cambria Math" w:cs="Arial"/>
                  <w:i/>
                </w:rPr>
              </m:ctrlPr>
            </m:sSupPr>
            <m:e>
              <m:r>
                <m:rPr>
                  <m:nor/>
                </m:rPr>
                <w:rPr>
                  <w:rFonts w:ascii="Cambria Math" w:hAnsi="Cambria Math" w:cs="Arial"/>
                  <w:i/>
                </w:rPr>
                <m:t>S</m:t>
              </m:r>
            </m:e>
            <m:sup>
              <m:r>
                <m:rPr>
                  <m:nor/>
                </m:rPr>
                <w:rPr>
                  <w:rFonts w:ascii="Cambria Math" w:hAnsi="Cambria Math" w:cs="Arial"/>
                  <w:i/>
                </w:rPr>
                <m:t>-1</m:t>
              </m:r>
            </m:sup>
          </m:sSup>
          <m:sSup>
            <m:sSupPr>
              <m:ctrlPr>
                <w:rPr>
                  <w:rFonts w:ascii="Cambria Math" w:hAnsi="Cambria Math" w:cs="Arial"/>
                  <w:i/>
                </w:rPr>
              </m:ctrlPr>
            </m:sSupPr>
            <m:e>
              <m:d>
                <m:dPr>
                  <m:ctrlPr>
                    <w:rPr>
                      <w:rFonts w:ascii="Cambria Math" w:hAnsi="Cambria Math" w:cs="Arial"/>
                      <w:i/>
                    </w:rPr>
                  </m:ctrlPr>
                </m:dPr>
                <m:e>
                  <m:sSub>
                    <m:sSubPr>
                      <m:ctrlPr>
                        <w:rPr>
                          <w:rFonts w:ascii="Cambria Math" w:hAnsi="Cambria Math" w:cs="Arial"/>
                          <w:i/>
                        </w:rPr>
                      </m:ctrlPr>
                    </m:sSubPr>
                    <m:e>
                      <m:acc>
                        <m:accPr>
                          <m:chr m:val="̅"/>
                          <m:ctrlPr>
                            <w:rPr>
                              <w:rFonts w:ascii="Cambria Math" w:hAnsi="Cambria Math" w:cs="Arial"/>
                              <w:i/>
                            </w:rPr>
                          </m:ctrlPr>
                        </m:accPr>
                        <m:e>
                          <m:r>
                            <m:rPr>
                              <m:nor/>
                            </m:rPr>
                            <w:rPr>
                              <w:rFonts w:ascii="Cambria Math" w:hAnsi="Cambria Math" w:cs="Arial"/>
                              <w:i/>
                            </w:rPr>
                            <m:t>x</m:t>
                          </m:r>
                        </m:e>
                      </m:acc>
                    </m:e>
                    <m:sub>
                      <m:r>
                        <m:rPr>
                          <m:nor/>
                        </m:rPr>
                        <w:rPr>
                          <w:rFonts w:ascii="Cambria Math" w:hAnsi="Cambria Math" w:cs="Arial"/>
                          <w:i/>
                        </w:rPr>
                        <m:t>1</m:t>
                      </m:r>
                    </m:sub>
                  </m:sSub>
                  <m:r>
                    <m:rPr>
                      <m:nor/>
                    </m:rPr>
                    <w:rPr>
                      <w:rFonts w:ascii="Cambria Math" w:hAnsi="Cambria Math" w:cs="Arial"/>
                      <w:i/>
                    </w:rPr>
                    <m:t>-</m:t>
                  </m:r>
                  <m:sSub>
                    <m:sSubPr>
                      <m:ctrlPr>
                        <w:rPr>
                          <w:rFonts w:ascii="Cambria Math" w:hAnsi="Cambria Math" w:cs="Arial"/>
                          <w:i/>
                        </w:rPr>
                      </m:ctrlPr>
                    </m:sSubPr>
                    <m:e>
                      <m:acc>
                        <m:accPr>
                          <m:chr m:val="̅"/>
                          <m:ctrlPr>
                            <w:rPr>
                              <w:rFonts w:ascii="Cambria Math" w:hAnsi="Cambria Math" w:cs="Arial"/>
                              <w:i/>
                            </w:rPr>
                          </m:ctrlPr>
                        </m:accPr>
                        <m:e>
                          <m:r>
                            <m:rPr>
                              <m:nor/>
                            </m:rPr>
                            <w:rPr>
                              <w:rFonts w:ascii="Cambria Math" w:hAnsi="Cambria Math" w:cs="Arial"/>
                              <w:i/>
                            </w:rPr>
                            <m:t>x</m:t>
                          </m:r>
                        </m:e>
                      </m:acc>
                    </m:e>
                    <m:sub>
                      <m:r>
                        <m:rPr>
                          <m:nor/>
                        </m:rPr>
                        <w:rPr>
                          <w:rFonts w:ascii="Cambria Math" w:hAnsi="Cambria Math" w:cs="Arial"/>
                          <w:i/>
                        </w:rPr>
                        <m:t>2</m:t>
                      </m:r>
                    </m:sub>
                  </m:sSub>
                </m:e>
              </m:d>
            </m:e>
            <m:sup>
              <m:r>
                <m:rPr>
                  <m:nor/>
                </m:rPr>
                <w:rPr>
                  <w:rFonts w:ascii="Cambria Math" w:hAnsi="Cambria Math" w:cs="Arial"/>
                  <w:i/>
                </w:rPr>
                <m:t>T</m:t>
              </m:r>
            </m:sup>
          </m:sSup>
        </m:oMath>
      </m:oMathPara>
    </w:p>
    <w:p w:rsidR="00CD2A0E" w:rsidRDefault="002B74E8" w:rsidP="005354D9">
      <w:pPr>
        <w:ind w:firstLine="720"/>
        <w:jc w:val="both"/>
        <w:rPr>
          <w:rFonts w:eastAsiaTheme="minorEastAsia"/>
        </w:rPr>
      </w:pPr>
      <w:proofErr w:type="gramStart"/>
      <w:r>
        <w:rPr>
          <w:rFonts w:eastAsiaTheme="minorEastAsia"/>
        </w:rPr>
        <w:t>where</w:t>
      </w:r>
      <w:proofErr w:type="gramEnd"/>
      <w:r w:rsidR="00CD2A0E">
        <w:rPr>
          <w:rFonts w:eastAsiaTheme="minorEastAsia"/>
        </w:rPr>
        <w:t xml:space="preserve"> S is the pooled variance-covariance matrix. </w:t>
      </w:r>
    </w:p>
    <w:p w:rsidR="005354D9" w:rsidRPr="005354D9" w:rsidRDefault="00CD2A0E" w:rsidP="005354D9">
      <w:pPr>
        <w:spacing w:after="0" w:line="360" w:lineRule="auto"/>
        <w:ind w:left="709"/>
        <w:rPr>
          <w:rFonts w:ascii="Arial" w:eastAsiaTheme="minorEastAsia" w:hAnsi="Arial" w:cs="Arial"/>
        </w:rPr>
      </w:pPr>
      <w:r w:rsidRPr="00CD2A0E">
        <w:rPr>
          <w:rFonts w:ascii="Arial" w:eastAsiaTheme="minorEastAsia" w:hAnsi="Arial" w:cs="Arial"/>
        </w:rPr>
        <w:t>The two-sample Hotelling T² test is used to test for a</w:t>
      </w:r>
      <w:r w:rsidR="005354D9">
        <w:rPr>
          <w:rFonts w:ascii="Arial" w:eastAsiaTheme="minorEastAsia" w:hAnsi="Arial" w:cs="Arial"/>
        </w:rPr>
        <w:t xml:space="preserve"> difference in means. The test </w:t>
      </w:r>
      <w:r w:rsidRPr="00CD2A0E">
        <w:rPr>
          <w:rFonts w:ascii="Arial" w:eastAsiaTheme="minorEastAsia" w:hAnsi="Arial" w:cs="Arial"/>
        </w:rPr>
        <w:t>statistic is given by</w:t>
      </w:r>
      <w:r>
        <w:rPr>
          <w:rFonts w:ascii="Arial" w:eastAsiaTheme="minorEastAsia" w:hAnsi="Arial" w:cs="Arial"/>
        </w:rPr>
        <w:t>:</w:t>
      </w:r>
    </w:p>
    <w:p w:rsidR="00CD2A0E" w:rsidRPr="005354D9" w:rsidRDefault="008432B5" w:rsidP="005354D9">
      <w:pPr>
        <w:spacing w:after="0" w:line="360" w:lineRule="auto"/>
        <w:ind w:left="1276" w:hanging="567"/>
        <w:rPr>
          <w:rFonts w:ascii="Arial" w:eastAsiaTheme="minorEastAsia" w:hAnsi="Arial" w:cs="Arial"/>
        </w:rPr>
      </w:pPr>
      <m:oMathPara>
        <m:oMathParaPr>
          <m:jc m:val="left"/>
        </m:oMathParaPr>
        <m:oMath>
          <m:f>
            <m:fPr>
              <m:ctrlPr>
                <w:rPr>
                  <w:rFonts w:ascii="Cambria Math" w:eastAsiaTheme="minorEastAsia" w:hAnsi="Cambria Math" w:cs="Arial"/>
                  <w:i/>
                </w:rPr>
              </m:ctrlPr>
            </m:fPr>
            <m:num>
              <m:sSub>
                <m:sSubPr>
                  <m:ctrlPr>
                    <w:rPr>
                      <w:rFonts w:ascii="Cambria Math" w:eastAsiaTheme="minorEastAsia" w:hAnsi="Cambria Math" w:cs="Arial"/>
                      <w:i/>
                    </w:rPr>
                  </m:ctrlPr>
                </m:sSubPr>
                <m:e>
                  <m:r>
                    <w:rPr>
                      <w:rFonts w:ascii="Cambria Math" w:eastAsiaTheme="minorEastAsia" w:hAnsi="Cambria Math" w:cs="Arial"/>
                    </w:rPr>
                    <m:t>n</m:t>
                  </m:r>
                </m:e>
                <m:sub>
                  <m:r>
                    <w:rPr>
                      <w:rFonts w:ascii="Cambria Math" w:eastAsiaTheme="minorEastAsia" w:hAnsi="Cambria Math" w:cs="Arial"/>
                    </w:rPr>
                    <m:t>1</m:t>
                  </m:r>
                </m:sub>
              </m:sSub>
              <m:sSub>
                <m:sSubPr>
                  <m:ctrlPr>
                    <w:rPr>
                      <w:rFonts w:ascii="Cambria Math" w:eastAsiaTheme="minorEastAsia" w:hAnsi="Cambria Math" w:cs="Arial"/>
                      <w:i/>
                    </w:rPr>
                  </m:ctrlPr>
                </m:sSubPr>
                <m:e>
                  <m:r>
                    <w:rPr>
                      <w:rFonts w:ascii="Cambria Math" w:eastAsiaTheme="minorEastAsia" w:hAnsi="Cambria Math" w:cs="Arial"/>
                    </w:rPr>
                    <m:t>n</m:t>
                  </m:r>
                </m:e>
                <m:sub>
                  <m:r>
                    <w:rPr>
                      <w:rFonts w:ascii="Cambria Math" w:eastAsiaTheme="minorEastAsia" w:hAnsi="Cambria Math" w:cs="Arial"/>
                    </w:rPr>
                    <m:t>2</m:t>
                  </m:r>
                </m:sub>
              </m:sSub>
              <m:d>
                <m:dPr>
                  <m:ctrlPr>
                    <w:rPr>
                      <w:rFonts w:ascii="Cambria Math" w:eastAsiaTheme="minorEastAsia" w:hAnsi="Cambria Math" w:cs="Arial"/>
                      <w:i/>
                    </w:rPr>
                  </m:ctrlPr>
                </m:dPr>
                <m:e>
                  <m:r>
                    <w:rPr>
                      <w:rFonts w:ascii="Cambria Math" w:eastAsiaTheme="minorEastAsia" w:hAnsi="Cambria Math" w:cs="Arial"/>
                    </w:rPr>
                    <m:t>n-p-1</m:t>
                  </m:r>
                </m:e>
              </m:d>
            </m:num>
            <m:den>
              <m:r>
                <w:rPr>
                  <w:rFonts w:ascii="Cambria Math" w:eastAsiaTheme="minorEastAsia" w:hAnsi="Cambria Math" w:cs="Arial"/>
                </w:rPr>
                <m:t>n</m:t>
              </m:r>
              <m:d>
                <m:dPr>
                  <m:ctrlPr>
                    <w:rPr>
                      <w:rFonts w:ascii="Cambria Math" w:eastAsiaTheme="minorEastAsia" w:hAnsi="Cambria Math" w:cs="Arial"/>
                      <w:i/>
                    </w:rPr>
                  </m:ctrlPr>
                </m:dPr>
                <m:e>
                  <m:r>
                    <w:rPr>
                      <w:rFonts w:ascii="Cambria Math" w:eastAsiaTheme="minorEastAsia" w:hAnsi="Cambria Math" w:cs="Arial"/>
                    </w:rPr>
                    <m:t>n-2</m:t>
                  </m:r>
                </m:e>
              </m:d>
              <m:r>
                <w:rPr>
                  <w:rFonts w:ascii="Cambria Math" w:eastAsiaTheme="minorEastAsia" w:hAnsi="Cambria Math" w:cs="Arial"/>
                </w:rPr>
                <m:t>p</m:t>
              </m:r>
            </m:den>
          </m:f>
          <m:sSup>
            <m:sSupPr>
              <m:ctrlPr>
                <w:rPr>
                  <w:rFonts w:ascii="Cambria Math" w:eastAsiaTheme="minorEastAsia" w:hAnsi="Cambria Math" w:cs="Arial"/>
                  <w:i/>
                </w:rPr>
              </m:ctrlPr>
            </m:sSupPr>
            <m:e>
              <m:r>
                <w:rPr>
                  <w:rFonts w:ascii="Cambria Math" w:eastAsiaTheme="minorEastAsia" w:hAnsi="Cambria Math" w:cs="Arial"/>
                </w:rPr>
                <m:t>D</m:t>
              </m:r>
            </m:e>
            <m:sup>
              <m:r>
                <w:rPr>
                  <w:rFonts w:ascii="Cambria Math" w:eastAsiaTheme="minorEastAsia" w:hAnsi="Cambria Math" w:cs="Arial"/>
                </w:rPr>
                <m:t>2</m:t>
              </m:r>
            </m:sup>
          </m:sSup>
        </m:oMath>
      </m:oMathPara>
    </w:p>
    <w:p w:rsidR="00CD2A0E" w:rsidRDefault="002B74E8" w:rsidP="005354D9">
      <w:pPr>
        <w:spacing w:line="360" w:lineRule="auto"/>
        <w:ind w:left="720"/>
        <w:jc w:val="both"/>
        <w:rPr>
          <w:rFonts w:ascii="Arial" w:eastAsiaTheme="minorEastAsia" w:hAnsi="Arial" w:cs="Arial"/>
        </w:rPr>
      </w:pPr>
      <w:proofErr w:type="gramStart"/>
      <w:r w:rsidRPr="002B74E8">
        <w:rPr>
          <w:rFonts w:ascii="Arial" w:eastAsiaTheme="minorEastAsia" w:hAnsi="Arial" w:cs="Arial"/>
        </w:rPr>
        <w:t>where</w:t>
      </w:r>
      <w:proofErr w:type="gramEnd"/>
      <w:r w:rsidRPr="002B74E8">
        <w:rPr>
          <w:rFonts w:ascii="Arial" w:eastAsiaTheme="minorEastAsia" w:hAnsi="Arial" w:cs="Arial"/>
        </w:rPr>
        <w:t xml:space="preserve"> n = n</w:t>
      </w:r>
      <w:r w:rsidRPr="002B74E8">
        <w:rPr>
          <w:rFonts w:ascii="Arial" w:eastAsiaTheme="minorEastAsia" w:hAnsi="Arial" w:cs="Arial"/>
          <w:vertAlign w:val="subscript"/>
        </w:rPr>
        <w:t>1</w:t>
      </w:r>
      <w:r w:rsidRPr="002B74E8">
        <w:rPr>
          <w:rFonts w:ascii="Arial" w:eastAsiaTheme="minorEastAsia" w:hAnsi="Arial" w:cs="Arial"/>
        </w:rPr>
        <w:t xml:space="preserve"> + n</w:t>
      </w:r>
      <w:r w:rsidRPr="002B74E8">
        <w:rPr>
          <w:rFonts w:ascii="Arial" w:eastAsiaTheme="minorEastAsia" w:hAnsi="Arial" w:cs="Arial"/>
          <w:vertAlign w:val="subscript"/>
        </w:rPr>
        <w:t>2</w:t>
      </w:r>
      <w:r w:rsidRPr="002B74E8">
        <w:rPr>
          <w:rFonts w:ascii="Arial" w:eastAsiaTheme="minorEastAsia" w:hAnsi="Arial" w:cs="Arial"/>
        </w:rPr>
        <w:t xml:space="preserve">.  </w:t>
      </w:r>
      <w:r>
        <w:rPr>
          <w:rFonts w:ascii="Arial" w:eastAsiaTheme="minorEastAsia" w:hAnsi="Arial" w:cs="Arial"/>
        </w:rPr>
        <w:t>T</w:t>
      </w:r>
      <w:r w:rsidRPr="002B74E8">
        <w:rPr>
          <w:rFonts w:ascii="Arial" w:eastAsiaTheme="minorEastAsia" w:hAnsi="Arial" w:cs="Arial"/>
        </w:rPr>
        <w:t xml:space="preserve">he null hypothesis </w:t>
      </w:r>
      <w:r>
        <w:rPr>
          <w:rFonts w:ascii="Arial" w:eastAsiaTheme="minorEastAsia" w:hAnsi="Arial" w:cs="Arial"/>
        </w:rPr>
        <w:t xml:space="preserve">is rejected </w:t>
      </w:r>
      <w:r w:rsidRPr="002B74E8">
        <w:rPr>
          <w:rFonts w:ascii="Arial" w:eastAsiaTheme="minorEastAsia" w:hAnsi="Arial" w:cs="Arial"/>
        </w:rPr>
        <w:t>that there is no difference between the means when the test statistic is improbably large when compared with an F-distribution with p, n-p-1 degrees of freedom (i.e. F</w:t>
      </w:r>
      <w:r w:rsidRPr="002B74E8">
        <w:rPr>
          <w:rFonts w:ascii="Arial" w:eastAsiaTheme="minorEastAsia" w:hAnsi="Arial" w:cs="Arial"/>
          <w:vertAlign w:val="subscript"/>
        </w:rPr>
        <w:t>p</w:t>
      </w:r>
      <w:proofErr w:type="gramStart"/>
      <w:r w:rsidRPr="002B74E8">
        <w:rPr>
          <w:rFonts w:ascii="Arial" w:eastAsiaTheme="minorEastAsia" w:hAnsi="Arial" w:cs="Arial"/>
          <w:vertAlign w:val="subscript"/>
        </w:rPr>
        <w:t>,n</w:t>
      </w:r>
      <w:proofErr w:type="gramEnd"/>
      <w:r w:rsidRPr="002B74E8">
        <w:rPr>
          <w:rFonts w:ascii="Arial" w:eastAsiaTheme="minorEastAsia" w:hAnsi="Arial" w:cs="Arial"/>
          <w:vertAlign w:val="subscript"/>
        </w:rPr>
        <w:t>-p-1</w:t>
      </w:r>
      <w:r w:rsidRPr="002B74E8">
        <w:rPr>
          <w:rFonts w:ascii="Arial" w:eastAsiaTheme="minorEastAsia" w:hAnsi="Arial" w:cs="Arial"/>
        </w:rPr>
        <w:t>).</w:t>
      </w:r>
    </w:p>
    <w:p w:rsidR="00F36301" w:rsidRDefault="00F36301" w:rsidP="005354D9">
      <w:pPr>
        <w:spacing w:line="360" w:lineRule="auto"/>
        <w:jc w:val="both"/>
        <w:rPr>
          <w:rFonts w:ascii="Arial" w:hAnsi="Arial" w:cs="Arial"/>
        </w:rPr>
      </w:pPr>
      <w:r>
        <w:rPr>
          <w:rFonts w:ascii="Arial" w:hAnsi="Arial" w:cs="Arial"/>
          <w:bCs/>
        </w:rPr>
        <w:t>These analyses</w:t>
      </w:r>
      <w:r w:rsidRPr="00574DA5">
        <w:rPr>
          <w:rFonts w:ascii="Arial" w:hAnsi="Arial" w:cs="Arial"/>
          <w:bCs/>
        </w:rPr>
        <w:t xml:space="preserve"> were performed using programme R: </w:t>
      </w:r>
      <w:r w:rsidRPr="00574DA5">
        <w:rPr>
          <w:rFonts w:ascii="Arial" w:hAnsi="Arial" w:cs="Arial"/>
        </w:rPr>
        <w:t>R Core Team (2013). R: A language and environment for statistical computing.</w:t>
      </w:r>
      <w:r w:rsidRPr="00574DA5">
        <w:rPr>
          <w:rFonts w:ascii="Arial" w:hAnsi="Arial" w:cs="Arial"/>
          <w:bCs/>
        </w:rPr>
        <w:t xml:space="preserve"> </w:t>
      </w:r>
      <w:r w:rsidRPr="00574DA5">
        <w:rPr>
          <w:rFonts w:ascii="Arial" w:hAnsi="Arial" w:cs="Arial"/>
        </w:rPr>
        <w:t xml:space="preserve">R Foundation for Statistical Computing, Vienna, Austria. URL: </w:t>
      </w:r>
      <w:hyperlink r:id="rId141" w:history="1">
        <w:r w:rsidRPr="00574DA5">
          <w:rPr>
            <w:rStyle w:val="Hyperlink"/>
            <w:rFonts w:ascii="Arial" w:hAnsi="Arial" w:cs="Arial"/>
          </w:rPr>
          <w:t>http://www.R-project.org/</w:t>
        </w:r>
      </w:hyperlink>
    </w:p>
    <w:p w:rsidR="00FE3590" w:rsidRPr="00F36301" w:rsidRDefault="00F36301" w:rsidP="005354D9">
      <w:pPr>
        <w:tabs>
          <w:tab w:val="left" w:pos="1980"/>
        </w:tabs>
        <w:spacing w:line="360" w:lineRule="auto"/>
        <w:jc w:val="both"/>
        <w:rPr>
          <w:rFonts w:ascii="Arial" w:hAnsi="Arial" w:cs="Arial"/>
        </w:rPr>
      </w:pPr>
      <w:r w:rsidRPr="00574DA5">
        <w:rPr>
          <w:rFonts w:ascii="Arial" w:hAnsi="Arial" w:cs="Arial"/>
        </w:rPr>
        <w:lastRenderedPageBreak/>
        <w:t>The 95% confid</w:t>
      </w:r>
      <w:r>
        <w:rPr>
          <w:rFonts w:ascii="Arial" w:hAnsi="Arial" w:cs="Arial"/>
        </w:rPr>
        <w:t>ence ellipses were plotted using</w:t>
      </w:r>
      <w:r w:rsidRPr="00574DA5">
        <w:rPr>
          <w:rFonts w:ascii="Arial" w:hAnsi="Arial" w:cs="Arial"/>
        </w:rPr>
        <w:t xml:space="preserve"> the car library: J Fox, S Weisberg (2011) An R Companion to Applied Regression, Second Edition.  Thousand Oaks CA: Sage</w:t>
      </w:r>
    </w:p>
    <w:p w:rsidR="00566653" w:rsidRDefault="00F36301" w:rsidP="00745AA9">
      <w:pPr>
        <w:pStyle w:val="Caption"/>
        <w:jc w:val="center"/>
        <w:rPr>
          <w:rFonts w:ascii="Arial" w:hAnsi="Arial" w:cs="Arial"/>
          <w:b w:val="0"/>
          <w:color w:val="auto"/>
        </w:rPr>
      </w:pPr>
      <w:r>
        <w:rPr>
          <w:rFonts w:ascii="Arial" w:hAnsi="Arial" w:cs="Arial"/>
          <w:b w:val="0"/>
          <w:noProof/>
          <w:color w:val="auto"/>
          <w:lang w:eastAsia="zh-CN"/>
        </w:rPr>
        <w:drawing>
          <wp:inline distT="0" distB="0" distL="0" distR="0" wp14:anchorId="571B278D" wp14:editId="47C92217">
            <wp:extent cx="4091940" cy="3497580"/>
            <wp:effectExtent l="0" t="0" r="3810" b="7620"/>
            <wp:docPr id="18553" name="Picture 1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91940" cy="3497580"/>
                    </a:xfrm>
                    <a:prstGeom prst="rect">
                      <a:avLst/>
                    </a:prstGeom>
                    <a:noFill/>
                  </pic:spPr>
                </pic:pic>
              </a:graphicData>
            </a:graphic>
          </wp:inline>
        </w:drawing>
      </w:r>
    </w:p>
    <w:p w:rsidR="004A5D80" w:rsidRPr="004F4B10" w:rsidRDefault="00FE3590" w:rsidP="00844C20">
      <w:pPr>
        <w:pStyle w:val="Caption"/>
        <w:jc w:val="both"/>
        <w:rPr>
          <w:rFonts w:ascii="Arial" w:hAnsi="Arial" w:cs="Arial"/>
          <w:b w:val="0"/>
          <w:color w:val="auto"/>
        </w:rPr>
      </w:pPr>
      <w:bookmarkStart w:id="143" w:name="_Toc425419524"/>
      <w:r w:rsidRPr="004F4B10">
        <w:rPr>
          <w:rFonts w:ascii="Arial" w:hAnsi="Arial" w:cs="Arial"/>
          <w:b w:val="0"/>
          <w:color w:val="auto"/>
        </w:rPr>
        <w:t xml:space="preserve">Figure </w:t>
      </w:r>
      <w:r w:rsidRPr="004F4B10">
        <w:rPr>
          <w:rFonts w:ascii="Arial" w:hAnsi="Arial" w:cs="Arial"/>
          <w:b w:val="0"/>
          <w:color w:val="auto"/>
        </w:rPr>
        <w:fldChar w:fldCharType="begin"/>
      </w:r>
      <w:r w:rsidRPr="004F4B10">
        <w:rPr>
          <w:rFonts w:ascii="Arial" w:hAnsi="Arial" w:cs="Arial"/>
          <w:b w:val="0"/>
          <w:color w:val="auto"/>
        </w:rPr>
        <w:instrText xml:space="preserve"> SEQ Figure \* ARABIC </w:instrText>
      </w:r>
      <w:r w:rsidRPr="004F4B10">
        <w:rPr>
          <w:rFonts w:ascii="Arial" w:hAnsi="Arial" w:cs="Arial"/>
          <w:b w:val="0"/>
          <w:color w:val="auto"/>
        </w:rPr>
        <w:fldChar w:fldCharType="separate"/>
      </w:r>
      <w:r w:rsidR="0040369A">
        <w:rPr>
          <w:rFonts w:ascii="Arial" w:hAnsi="Arial" w:cs="Arial"/>
          <w:b w:val="0"/>
          <w:noProof/>
          <w:color w:val="auto"/>
        </w:rPr>
        <w:t>35</w:t>
      </w:r>
      <w:r w:rsidRPr="004F4B10">
        <w:rPr>
          <w:rFonts w:ascii="Arial" w:hAnsi="Arial" w:cs="Arial"/>
          <w:b w:val="0"/>
          <w:color w:val="auto"/>
        </w:rPr>
        <w:fldChar w:fldCharType="end"/>
      </w:r>
      <w:r w:rsidR="002313DC">
        <w:rPr>
          <w:rFonts w:ascii="Arial" w:hAnsi="Arial" w:cs="Arial"/>
          <w:b w:val="0"/>
          <w:color w:val="auto"/>
        </w:rPr>
        <w:t>: An illustration of the T</w:t>
      </w:r>
      <w:r w:rsidR="004F4B10" w:rsidRPr="004F4B10">
        <w:rPr>
          <w:rFonts w:ascii="Arial" w:hAnsi="Arial" w:cs="Arial"/>
          <w:b w:val="0"/>
          <w:color w:val="auto"/>
        </w:rPr>
        <w:t>-score bone marker plot: Bone turnover and bo</w:t>
      </w:r>
      <w:r w:rsidR="002313DC">
        <w:rPr>
          <w:rFonts w:ascii="Arial" w:hAnsi="Arial" w:cs="Arial"/>
          <w:b w:val="0"/>
          <w:color w:val="auto"/>
        </w:rPr>
        <w:t>ne balance calculated from the T</w:t>
      </w:r>
      <w:r w:rsidR="004F4B10" w:rsidRPr="004F4B10">
        <w:rPr>
          <w:rFonts w:ascii="Arial" w:hAnsi="Arial" w:cs="Arial"/>
          <w:b w:val="0"/>
          <w:color w:val="auto"/>
        </w:rPr>
        <w:t>-scores for PINP and CTX were plotted against each other for each individual and a bivariate 95% confidence surrounds the data</w:t>
      </w:r>
      <w:bookmarkEnd w:id="143"/>
    </w:p>
    <w:p w:rsidR="001A6417" w:rsidRDefault="00925A61" w:rsidP="00844C20">
      <w:pPr>
        <w:pStyle w:val="Heading4"/>
        <w:jc w:val="both"/>
      </w:pPr>
      <w:r>
        <w:t>Assessing total hip BMD and change in total hip BMD</w:t>
      </w:r>
      <w:r w:rsidR="004409D1" w:rsidRPr="0094045F">
        <w:t xml:space="preserve"> in </w:t>
      </w:r>
      <w:r w:rsidR="00DB5A96">
        <w:t>postmenopausal</w:t>
      </w:r>
      <w:r w:rsidR="004409D1" w:rsidRPr="0094045F">
        <w:t xml:space="preserve"> women</w:t>
      </w:r>
    </w:p>
    <w:p w:rsidR="0094045F" w:rsidRPr="00D16600" w:rsidRDefault="0094045F" w:rsidP="00844C20">
      <w:pPr>
        <w:spacing w:line="360" w:lineRule="auto"/>
        <w:jc w:val="both"/>
        <w:rPr>
          <w:rFonts w:ascii="Arial" w:hAnsi="Arial" w:cs="Arial"/>
        </w:rPr>
      </w:pPr>
      <w:r w:rsidRPr="00D16600">
        <w:rPr>
          <w:rFonts w:ascii="Arial" w:hAnsi="Arial" w:cs="Arial"/>
        </w:rPr>
        <w:t>The variables of interest</w:t>
      </w:r>
      <w:r w:rsidR="00BC337D">
        <w:rPr>
          <w:rFonts w:ascii="Arial" w:hAnsi="Arial" w:cs="Arial"/>
        </w:rPr>
        <w:t>,</w:t>
      </w:r>
      <w:r w:rsidRPr="00D16600">
        <w:rPr>
          <w:rFonts w:ascii="Arial" w:hAnsi="Arial" w:cs="Arial"/>
        </w:rPr>
        <w:t xml:space="preserve"> i.e. bone turnover and bone balance and levels of PINP and CTX were used to </w:t>
      </w:r>
      <w:r w:rsidR="00BC337D">
        <w:rPr>
          <w:rFonts w:ascii="Arial" w:hAnsi="Arial" w:cs="Arial"/>
        </w:rPr>
        <w:t>assess</w:t>
      </w:r>
      <w:r w:rsidRPr="00D16600">
        <w:rPr>
          <w:rFonts w:ascii="Arial" w:hAnsi="Arial" w:cs="Arial"/>
        </w:rPr>
        <w:t xml:space="preserve"> BMD at the total hip using a </w:t>
      </w:r>
      <w:r w:rsidR="0059549E">
        <w:rPr>
          <w:rFonts w:ascii="Arial" w:hAnsi="Arial" w:cs="Arial"/>
        </w:rPr>
        <w:t>multivariable</w:t>
      </w:r>
      <w:r w:rsidRPr="00D16600">
        <w:rPr>
          <w:rFonts w:ascii="Arial" w:hAnsi="Arial" w:cs="Arial"/>
        </w:rPr>
        <w:t xml:space="preserve"> model. </w:t>
      </w:r>
    </w:p>
    <w:p w:rsidR="001A6417" w:rsidRDefault="00B15B0C" w:rsidP="00844C20">
      <w:pPr>
        <w:pStyle w:val="Heading4"/>
        <w:jc w:val="both"/>
      </w:pPr>
      <w:r w:rsidRPr="000A30EA">
        <w:t>Calculating the relative risk of vertebral and non-vertebral f</w:t>
      </w:r>
      <w:r w:rsidR="001A6417">
        <w:t>ractures in postmenopausal women</w:t>
      </w:r>
    </w:p>
    <w:p w:rsidR="00B15B0C" w:rsidRPr="00A51DCD" w:rsidRDefault="002F13CF" w:rsidP="00844C20">
      <w:pPr>
        <w:spacing w:line="360" w:lineRule="auto"/>
        <w:jc w:val="both"/>
        <w:rPr>
          <w:rFonts w:ascii="Arial" w:hAnsi="Arial" w:cs="Arial"/>
        </w:rPr>
      </w:pPr>
      <w:r w:rsidRPr="00A51DCD">
        <w:rPr>
          <w:rFonts w:ascii="Arial" w:hAnsi="Arial" w:cs="Arial"/>
        </w:rPr>
        <w:t>The variable</w:t>
      </w:r>
      <w:r w:rsidR="00851AE9" w:rsidRPr="00A51DCD">
        <w:rPr>
          <w:rFonts w:ascii="Arial" w:hAnsi="Arial" w:cs="Arial"/>
        </w:rPr>
        <w:t>s of interest</w:t>
      </w:r>
      <w:r w:rsidR="00BC337D" w:rsidRPr="00A51DCD">
        <w:rPr>
          <w:rFonts w:ascii="Arial" w:hAnsi="Arial" w:cs="Arial"/>
        </w:rPr>
        <w:t>,</w:t>
      </w:r>
      <w:r w:rsidR="00851AE9" w:rsidRPr="00A51DCD">
        <w:rPr>
          <w:rFonts w:ascii="Arial" w:hAnsi="Arial" w:cs="Arial"/>
        </w:rPr>
        <w:t xml:space="preserve"> i.e. bone turnover and </w:t>
      </w:r>
      <w:r w:rsidRPr="00A51DCD">
        <w:rPr>
          <w:rFonts w:ascii="Arial" w:hAnsi="Arial" w:cs="Arial"/>
        </w:rPr>
        <w:t>bone balance</w:t>
      </w:r>
      <w:r w:rsidR="00851AE9" w:rsidRPr="00A51DCD">
        <w:rPr>
          <w:rFonts w:ascii="Arial" w:hAnsi="Arial" w:cs="Arial"/>
        </w:rPr>
        <w:t xml:space="preserve"> were used to investigate the </w:t>
      </w:r>
      <w:r w:rsidRPr="00A51DCD">
        <w:rPr>
          <w:rFonts w:ascii="Arial" w:hAnsi="Arial" w:cs="Arial"/>
        </w:rPr>
        <w:t xml:space="preserve">relative risk of fracture using a </w:t>
      </w:r>
      <w:r w:rsidR="00851AE9" w:rsidRPr="00A51DCD">
        <w:rPr>
          <w:rFonts w:ascii="Arial" w:hAnsi="Arial" w:cs="Arial"/>
        </w:rPr>
        <w:t>multivariable</w:t>
      </w:r>
      <w:r w:rsidRPr="00A51DCD">
        <w:rPr>
          <w:rFonts w:ascii="Arial" w:hAnsi="Arial" w:cs="Arial"/>
        </w:rPr>
        <w:t xml:space="preserve"> model. </w:t>
      </w:r>
      <w:r w:rsidR="00CA2715" w:rsidRPr="00A51DCD">
        <w:rPr>
          <w:rFonts w:ascii="Arial" w:hAnsi="Arial" w:cs="Arial"/>
        </w:rPr>
        <w:t xml:space="preserve">The non-vertebral fractures were </w:t>
      </w:r>
      <w:r w:rsidR="006B0ECE" w:rsidRPr="00A51DCD">
        <w:rPr>
          <w:rFonts w:ascii="Arial" w:hAnsi="Arial" w:cs="Arial"/>
        </w:rPr>
        <w:t>modelled using Cox regression and the vertebral fractures were mo</w:t>
      </w:r>
      <w:r w:rsidR="00370BDE" w:rsidRPr="00A51DCD">
        <w:rPr>
          <w:rFonts w:ascii="Arial" w:hAnsi="Arial" w:cs="Arial"/>
        </w:rPr>
        <w:t>delled using Poisson regression and the significance was tested.</w:t>
      </w:r>
      <w:r w:rsidR="00CF558B" w:rsidRPr="00A51DCD">
        <w:rPr>
          <w:rFonts w:ascii="Arial" w:hAnsi="Arial" w:cs="Arial"/>
        </w:rPr>
        <w:t xml:space="preserve"> The reason for using these different time series models is that we do not know when the vertebral fracture had occurred, as they</w:t>
      </w:r>
      <w:r w:rsidR="00E470D9" w:rsidRPr="00A51DCD">
        <w:rPr>
          <w:rFonts w:ascii="Arial" w:hAnsi="Arial" w:cs="Arial"/>
        </w:rPr>
        <w:t xml:space="preserve"> occurred at a certain rate therefore</w:t>
      </w:r>
      <w:r w:rsidR="00CF558B" w:rsidRPr="00A51DCD">
        <w:rPr>
          <w:rFonts w:ascii="Arial" w:hAnsi="Arial" w:cs="Arial"/>
        </w:rPr>
        <w:t xml:space="preserve"> a Poisson regression is suitable. For non-vertebral fracture, we do know when they occurred and therefore a Cox regression is suitable.</w:t>
      </w:r>
    </w:p>
    <w:p w:rsidR="000C73D2" w:rsidRDefault="000C73D2" w:rsidP="00844C20">
      <w:pPr>
        <w:pStyle w:val="Heading2"/>
        <w:jc w:val="both"/>
      </w:pPr>
      <w:bookmarkStart w:id="144" w:name="_Toc425418930"/>
      <w:r>
        <w:t>Results</w:t>
      </w:r>
      <w:bookmarkEnd w:id="144"/>
    </w:p>
    <w:p w:rsidR="00B15B0C" w:rsidRDefault="00B15B0C" w:rsidP="00844C20">
      <w:pPr>
        <w:pStyle w:val="Heading3"/>
        <w:jc w:val="both"/>
      </w:pPr>
      <w:bookmarkStart w:id="145" w:name="_Toc425418931"/>
      <w:r>
        <w:t xml:space="preserve">Bone balance and bone turnover in </w:t>
      </w:r>
      <w:r w:rsidR="00DB5A96">
        <w:t>postmenopausal</w:t>
      </w:r>
      <w:r w:rsidR="00F27EC8">
        <w:t xml:space="preserve"> and </w:t>
      </w:r>
      <w:r w:rsidR="00DB5A96">
        <w:t xml:space="preserve">premenopausal </w:t>
      </w:r>
      <w:r>
        <w:t>women</w:t>
      </w:r>
      <w:bookmarkEnd w:id="145"/>
    </w:p>
    <w:p w:rsidR="00DB5A96" w:rsidRDefault="00F94E2F" w:rsidP="00844C20">
      <w:pPr>
        <w:spacing w:line="360" w:lineRule="auto"/>
        <w:jc w:val="both"/>
        <w:rPr>
          <w:rFonts w:ascii="Arial" w:hAnsi="Arial" w:cs="Arial"/>
        </w:rPr>
      </w:pPr>
      <w:r w:rsidRPr="00E249B5">
        <w:rPr>
          <w:rFonts w:ascii="Arial" w:hAnsi="Arial" w:cs="Arial"/>
        </w:rPr>
        <w:t>Bone balance and bone turnover were calculated from the levels of bone resorption and bone formation markers in postmenopausal and premenopausal women</w:t>
      </w:r>
      <w:r w:rsidR="00E249B5">
        <w:rPr>
          <w:rFonts w:ascii="Arial" w:hAnsi="Arial" w:cs="Arial"/>
        </w:rPr>
        <w:t>. The graph is divided in to 4 equal quadrants with the centre being the mean of the premenopausal women.</w:t>
      </w:r>
      <w:r w:rsidRPr="00E249B5">
        <w:rPr>
          <w:rFonts w:ascii="Arial" w:hAnsi="Arial" w:cs="Arial"/>
        </w:rPr>
        <w:t xml:space="preserve"> </w:t>
      </w:r>
      <w:r w:rsidR="00E249B5">
        <w:rPr>
          <w:rFonts w:ascii="Arial" w:hAnsi="Arial" w:cs="Arial"/>
        </w:rPr>
        <w:t xml:space="preserve">The quadrants represents </w:t>
      </w:r>
      <w:r w:rsidR="00E249B5" w:rsidRPr="00E249B5">
        <w:rPr>
          <w:rFonts w:ascii="Arial" w:hAnsi="Arial" w:cs="Arial"/>
        </w:rPr>
        <w:t xml:space="preserve">different states of turnover and balance; the upper left </w:t>
      </w:r>
      <w:r w:rsidR="00DB5A96">
        <w:rPr>
          <w:rFonts w:ascii="Arial" w:hAnsi="Arial" w:cs="Arial"/>
        </w:rPr>
        <w:t>qua</w:t>
      </w:r>
      <w:r w:rsidR="005A2BE3">
        <w:rPr>
          <w:rFonts w:ascii="Arial" w:hAnsi="Arial" w:cs="Arial"/>
        </w:rPr>
        <w:t>drant high turnover and negative</w:t>
      </w:r>
      <w:r w:rsidR="00E249B5" w:rsidRPr="00E249B5">
        <w:rPr>
          <w:rFonts w:ascii="Arial" w:hAnsi="Arial" w:cs="Arial"/>
        </w:rPr>
        <w:t xml:space="preserve"> balance, the upper right</w:t>
      </w:r>
      <w:r w:rsidR="00DB5A96">
        <w:rPr>
          <w:rFonts w:ascii="Arial" w:hAnsi="Arial" w:cs="Arial"/>
        </w:rPr>
        <w:t xml:space="preserve"> qua</w:t>
      </w:r>
      <w:r w:rsidR="005A2BE3">
        <w:rPr>
          <w:rFonts w:ascii="Arial" w:hAnsi="Arial" w:cs="Arial"/>
        </w:rPr>
        <w:t xml:space="preserve">drant high turnover </w:t>
      </w:r>
      <w:r w:rsidR="005A2BE3">
        <w:rPr>
          <w:rFonts w:ascii="Arial" w:hAnsi="Arial" w:cs="Arial"/>
        </w:rPr>
        <w:lastRenderedPageBreak/>
        <w:t>and positive</w:t>
      </w:r>
      <w:r w:rsidR="00DB5A96">
        <w:rPr>
          <w:rFonts w:ascii="Arial" w:hAnsi="Arial" w:cs="Arial"/>
        </w:rPr>
        <w:t xml:space="preserve"> </w:t>
      </w:r>
      <w:r w:rsidR="00E249B5" w:rsidRPr="00E249B5">
        <w:rPr>
          <w:rFonts w:ascii="Arial" w:hAnsi="Arial" w:cs="Arial"/>
        </w:rPr>
        <w:t>balance, the lower lef</w:t>
      </w:r>
      <w:r w:rsidR="00DB5A96">
        <w:rPr>
          <w:rFonts w:ascii="Arial" w:hAnsi="Arial" w:cs="Arial"/>
        </w:rPr>
        <w:t>t qu</w:t>
      </w:r>
      <w:r w:rsidR="005A2BE3">
        <w:rPr>
          <w:rFonts w:ascii="Arial" w:hAnsi="Arial" w:cs="Arial"/>
        </w:rPr>
        <w:t>adrant low turnover and negative</w:t>
      </w:r>
      <w:r w:rsidR="00DB5A96">
        <w:rPr>
          <w:rFonts w:ascii="Arial" w:hAnsi="Arial" w:cs="Arial"/>
        </w:rPr>
        <w:t xml:space="preserve"> balance and the lower r</w:t>
      </w:r>
      <w:r w:rsidR="00E249B5" w:rsidRPr="00E249B5">
        <w:rPr>
          <w:rFonts w:ascii="Arial" w:hAnsi="Arial" w:cs="Arial"/>
        </w:rPr>
        <w:t>ig</w:t>
      </w:r>
      <w:r w:rsidR="00DB5A96">
        <w:rPr>
          <w:rFonts w:ascii="Arial" w:hAnsi="Arial" w:cs="Arial"/>
        </w:rPr>
        <w:t>ht qu</w:t>
      </w:r>
      <w:r w:rsidR="005A2BE3">
        <w:rPr>
          <w:rFonts w:ascii="Arial" w:hAnsi="Arial" w:cs="Arial"/>
        </w:rPr>
        <w:t>adrant low turnover and positive</w:t>
      </w:r>
      <w:r w:rsidR="00E249B5" w:rsidRPr="00E249B5">
        <w:rPr>
          <w:rFonts w:ascii="Arial" w:hAnsi="Arial" w:cs="Arial"/>
        </w:rPr>
        <w:t xml:space="preserve"> balance</w:t>
      </w:r>
      <w:r w:rsidR="00E249B5">
        <w:rPr>
          <w:rFonts w:ascii="Arial" w:hAnsi="Arial" w:cs="Arial"/>
        </w:rPr>
        <w:t xml:space="preserve">. </w:t>
      </w:r>
      <w:r w:rsidR="00E249B5" w:rsidRPr="00E249B5">
        <w:rPr>
          <w:rFonts w:ascii="Arial" w:hAnsi="Arial" w:cs="Arial"/>
        </w:rPr>
        <w:t xml:space="preserve">A 95% bivariate confidence ellipse surrounds the data from postmenopausal and premenopausal women. </w:t>
      </w:r>
      <w:r w:rsidR="00A777D7">
        <w:rPr>
          <w:rFonts w:ascii="Arial" w:hAnsi="Arial" w:cs="Arial"/>
        </w:rPr>
        <w:t xml:space="preserve"> Figure 42</w:t>
      </w:r>
      <w:r w:rsidRPr="00E249B5">
        <w:rPr>
          <w:rFonts w:ascii="Arial" w:hAnsi="Arial" w:cs="Arial"/>
        </w:rPr>
        <w:t xml:space="preserve"> </w:t>
      </w:r>
      <w:r w:rsidR="00A26A56">
        <w:rPr>
          <w:rFonts w:ascii="Arial" w:hAnsi="Arial" w:cs="Arial"/>
        </w:rPr>
        <w:t>shows the T-score</w:t>
      </w:r>
      <w:r w:rsidR="00E249B5" w:rsidRPr="00E249B5">
        <w:rPr>
          <w:rFonts w:ascii="Arial" w:hAnsi="Arial" w:cs="Arial"/>
        </w:rPr>
        <w:t xml:space="preserve"> bone marker plots for </w:t>
      </w:r>
      <w:r w:rsidR="00955671">
        <w:rPr>
          <w:rFonts w:ascii="Arial" w:hAnsi="Arial" w:cs="Arial"/>
        </w:rPr>
        <w:t>PINP and CTX</w:t>
      </w:r>
      <w:r w:rsidR="00DB5A96">
        <w:rPr>
          <w:rFonts w:ascii="Arial" w:hAnsi="Arial" w:cs="Arial"/>
        </w:rPr>
        <w:t xml:space="preserve"> </w:t>
      </w:r>
      <w:r w:rsidR="00E249B5">
        <w:rPr>
          <w:rFonts w:ascii="Arial" w:hAnsi="Arial" w:cs="Arial"/>
        </w:rPr>
        <w:t xml:space="preserve">in postmenopausal women relative to </w:t>
      </w:r>
      <w:r w:rsidR="00E249B5" w:rsidRPr="00804EE5">
        <w:rPr>
          <w:rFonts w:ascii="Arial" w:hAnsi="Arial" w:cs="Arial"/>
        </w:rPr>
        <w:t>premenopausal women</w:t>
      </w:r>
      <w:r w:rsidR="00A777D7">
        <w:rPr>
          <w:rFonts w:ascii="Arial" w:hAnsi="Arial" w:cs="Arial"/>
        </w:rPr>
        <w:t xml:space="preserve">. </w:t>
      </w:r>
      <w:r w:rsidR="00E249B5" w:rsidRPr="00804EE5">
        <w:rPr>
          <w:rFonts w:ascii="Arial" w:hAnsi="Arial" w:cs="Arial"/>
        </w:rPr>
        <w:t xml:space="preserve">For </w:t>
      </w:r>
      <w:r w:rsidR="00DB5A96">
        <w:rPr>
          <w:rFonts w:ascii="Arial" w:hAnsi="Arial" w:cs="Arial"/>
        </w:rPr>
        <w:t>PINP and CTX</w:t>
      </w:r>
      <w:r w:rsidR="00E249B5" w:rsidRPr="00804EE5">
        <w:rPr>
          <w:rFonts w:ascii="Arial" w:hAnsi="Arial" w:cs="Arial"/>
        </w:rPr>
        <w:t xml:space="preserve"> </w:t>
      </w:r>
      <w:r w:rsidR="00804EE5" w:rsidRPr="00804EE5">
        <w:rPr>
          <w:rFonts w:ascii="Arial" w:hAnsi="Arial" w:cs="Arial"/>
        </w:rPr>
        <w:t>ther</w:t>
      </w:r>
      <w:r w:rsidR="00F742C8">
        <w:rPr>
          <w:rFonts w:ascii="Arial" w:hAnsi="Arial" w:cs="Arial"/>
        </w:rPr>
        <w:t>e is high bone turnover</w:t>
      </w:r>
      <w:r w:rsidR="00804EE5" w:rsidRPr="00804EE5">
        <w:rPr>
          <w:rFonts w:ascii="Arial" w:hAnsi="Arial" w:cs="Arial"/>
        </w:rPr>
        <w:t xml:space="preserve"> and a more negative balance in postmenopausal women from the shift of the ellipse (in blue) towards the upper left quadrant. The shift was measured using the </w:t>
      </w:r>
      <w:r w:rsidR="00740615" w:rsidRPr="00804EE5">
        <w:rPr>
          <w:rFonts w:ascii="Arial" w:hAnsi="Arial" w:cs="Arial"/>
        </w:rPr>
        <w:t>Mahalanobis</w:t>
      </w:r>
      <w:r w:rsidR="00804EE5" w:rsidRPr="00804EE5">
        <w:rPr>
          <w:rFonts w:ascii="Arial" w:hAnsi="Arial" w:cs="Arial"/>
        </w:rPr>
        <w:t xml:space="preserve"> distance</w:t>
      </w:r>
      <w:r w:rsidR="00804EE5">
        <w:rPr>
          <w:rFonts w:ascii="Arial" w:hAnsi="Arial" w:cs="Arial"/>
        </w:rPr>
        <w:t xml:space="preserve"> calculation and this was significant (P&lt;0.001).</w:t>
      </w:r>
    </w:p>
    <w:p w:rsidR="000C602E" w:rsidRDefault="009D3BB6" w:rsidP="009D3BB6">
      <w:pPr>
        <w:keepNext/>
        <w:spacing w:line="360" w:lineRule="auto"/>
        <w:jc w:val="center"/>
      </w:pPr>
      <w:r w:rsidRPr="00DB5A96">
        <w:rPr>
          <w:noProof/>
          <w:lang w:eastAsia="zh-CN"/>
        </w:rPr>
        <mc:AlternateContent>
          <mc:Choice Requires="wps">
            <w:drawing>
              <wp:anchor distT="0" distB="0" distL="114300" distR="114300" simplePos="0" relativeHeight="251950592" behindDoc="0" locked="0" layoutInCell="1" allowOverlap="1" wp14:anchorId="0AD77A7B" wp14:editId="07827284">
                <wp:simplePos x="0" y="0"/>
                <wp:positionH relativeFrom="column">
                  <wp:posOffset>3588385</wp:posOffset>
                </wp:positionH>
                <wp:positionV relativeFrom="paragraph">
                  <wp:posOffset>3136900</wp:posOffset>
                </wp:positionV>
                <wp:extent cx="929005" cy="522605"/>
                <wp:effectExtent l="0" t="0" r="0" b="0"/>
                <wp:wrapNone/>
                <wp:docPr id="426" name="TextBox 25"/>
                <wp:cNvGraphicFramePr/>
                <a:graphic xmlns:a="http://schemas.openxmlformats.org/drawingml/2006/main">
                  <a:graphicData uri="http://schemas.microsoft.com/office/word/2010/wordprocessingShape">
                    <wps:wsp>
                      <wps:cNvSpPr txBox="1"/>
                      <wps:spPr>
                        <a:xfrm>
                          <a:off x="0" y="0"/>
                          <a:ext cx="929005" cy="522605"/>
                        </a:xfrm>
                        <a:prstGeom prst="rect">
                          <a:avLst/>
                        </a:prstGeom>
                        <a:noFill/>
                      </wps:spPr>
                      <wps:txbx>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Positive balance </w:t>
                            </w:r>
                          </w:p>
                        </w:txbxContent>
                      </wps:txbx>
                      <wps:bodyPr wrap="square" rtlCol="0">
                        <a:spAutoFit/>
                      </wps:bodyPr>
                    </wps:wsp>
                  </a:graphicData>
                </a:graphic>
                <wp14:sizeRelH relativeFrom="margin">
                  <wp14:pctWidth>0</wp14:pctWidth>
                </wp14:sizeRelH>
              </wp:anchor>
            </w:drawing>
          </mc:Choice>
          <mc:Fallback>
            <w:pict>
              <v:shape w14:anchorId="0AD77A7B" id="TextBox 25" o:spid="_x0000_s1148" type="#_x0000_t202" style="position:absolute;left:0;text-align:left;margin-left:282.55pt;margin-top:247pt;width:73.15pt;height:41.15pt;z-index:2519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" filled="f" stroked="f">
                <v:textbox style="mso-fit-shape-to-text:t">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Positive balance </w:t>
                      </w:r>
                    </w:p>
                  </w:txbxContent>
                </v:textbox>
              </v:shape>
            </w:pict>
          </mc:Fallback>
        </mc:AlternateContent>
      </w:r>
      <w:r w:rsidRPr="00DB5A96">
        <w:rPr>
          <w:noProof/>
          <w:lang w:eastAsia="zh-CN"/>
        </w:rPr>
        <mc:AlternateContent>
          <mc:Choice Requires="wps">
            <w:drawing>
              <wp:anchor distT="0" distB="0" distL="114300" distR="114300" simplePos="0" relativeHeight="251851264" behindDoc="0" locked="0" layoutInCell="1" allowOverlap="1" wp14:anchorId="2C7D46D2" wp14:editId="5D12A886">
                <wp:simplePos x="0" y="0"/>
                <wp:positionH relativeFrom="column">
                  <wp:posOffset>1170940</wp:posOffset>
                </wp:positionH>
                <wp:positionV relativeFrom="paragraph">
                  <wp:posOffset>3140075</wp:posOffset>
                </wp:positionV>
                <wp:extent cx="974090" cy="522605"/>
                <wp:effectExtent l="0" t="0" r="0" b="0"/>
                <wp:wrapNone/>
                <wp:docPr id="425" name="TextBox 19"/>
                <wp:cNvGraphicFramePr/>
                <a:graphic xmlns:a="http://schemas.openxmlformats.org/drawingml/2006/main">
                  <a:graphicData uri="http://schemas.microsoft.com/office/word/2010/wordprocessingShape">
                    <wps:wsp>
                      <wps:cNvSpPr txBox="1"/>
                      <wps:spPr>
                        <a:xfrm>
                          <a:off x="0" y="0"/>
                          <a:ext cx="974090" cy="522605"/>
                        </a:xfrm>
                        <a:prstGeom prst="rect">
                          <a:avLst/>
                        </a:prstGeom>
                        <a:noFill/>
                      </wps:spPr>
                      <wps:txbx>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Negative balance</w:t>
                            </w:r>
                          </w:p>
                        </w:txbxContent>
                      </wps:txbx>
                      <wps:bodyPr wrap="square" rtlCol="0">
                        <a:spAutoFit/>
                      </wps:bodyPr>
                    </wps:wsp>
                  </a:graphicData>
                </a:graphic>
                <wp14:sizeRelH relativeFrom="margin">
                  <wp14:pctWidth>0</wp14:pctWidth>
                </wp14:sizeRelH>
              </wp:anchor>
            </w:drawing>
          </mc:Choice>
          <mc:Fallback>
            <w:pict>
              <v:shape w14:anchorId="2C7D46D2" id="TextBox 19" o:spid="_x0000_s1149" type="#_x0000_t202" style="position:absolute;left:0;text-align:left;margin-left:92.2pt;margin-top:247.25pt;width:76.7pt;height:41.15pt;z-index:25185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" filled="f" stroked="f">
                <v:textbox style="mso-fit-shape-to-text:t">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Negative balance</w:t>
                      </w:r>
                    </w:p>
                  </w:txbxContent>
                </v:textbox>
              </v:shape>
            </w:pict>
          </mc:Fallback>
        </mc:AlternateContent>
      </w:r>
      <w:r w:rsidRPr="00DB5A96">
        <w:rPr>
          <w:noProof/>
          <w:lang w:eastAsia="zh-CN"/>
        </w:rPr>
        <mc:AlternateContent>
          <mc:Choice Requires="wps">
            <w:drawing>
              <wp:anchor distT="0" distB="0" distL="114300" distR="114300" simplePos="0" relativeHeight="251632128" behindDoc="0" locked="0" layoutInCell="1" allowOverlap="1" wp14:anchorId="2FD80C66" wp14:editId="0E60783A">
                <wp:simplePos x="0" y="0"/>
                <wp:positionH relativeFrom="column">
                  <wp:posOffset>1133475</wp:posOffset>
                </wp:positionH>
                <wp:positionV relativeFrom="paragraph">
                  <wp:posOffset>189230</wp:posOffset>
                </wp:positionV>
                <wp:extent cx="974090" cy="522605"/>
                <wp:effectExtent l="0" t="0" r="0" b="0"/>
                <wp:wrapNone/>
                <wp:docPr id="423" name="TextBox 6"/>
                <wp:cNvGraphicFramePr/>
                <a:graphic xmlns:a="http://schemas.openxmlformats.org/drawingml/2006/main">
                  <a:graphicData uri="http://schemas.microsoft.com/office/word/2010/wordprocessingShape">
                    <wps:wsp>
                      <wps:cNvSpPr txBox="1"/>
                      <wps:spPr>
                        <a:xfrm>
                          <a:off x="0" y="0"/>
                          <a:ext cx="974090" cy="522605"/>
                        </a:xfrm>
                        <a:prstGeom prst="rect">
                          <a:avLst/>
                        </a:prstGeom>
                        <a:noFill/>
                      </wps:spPr>
                      <wps:txbx>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Negative balance </w:t>
                            </w:r>
                          </w:p>
                        </w:txbxContent>
                      </wps:txbx>
                      <wps:bodyPr wrap="square" rtlCol="0">
                        <a:spAutoFit/>
                      </wps:bodyPr>
                    </wps:wsp>
                  </a:graphicData>
                </a:graphic>
                <wp14:sizeRelH relativeFrom="margin">
                  <wp14:pctWidth>0</wp14:pctWidth>
                </wp14:sizeRelH>
              </wp:anchor>
            </w:drawing>
          </mc:Choice>
          <mc:Fallback>
            <w:pict>
              <v:shape w14:anchorId="2FD80C66" id="TextBox 6" o:spid="_x0000_s1150" type="#_x0000_t202" style="position:absolute;left:0;text-align:left;margin-left:89.25pt;margin-top:14.9pt;width:76.7pt;height:41.15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" filled="f" stroked="f">
                <v:textbox style="mso-fit-shape-to-text:t">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Negative balance </w:t>
                      </w:r>
                    </w:p>
                  </w:txbxContent>
                </v:textbox>
              </v:shape>
            </w:pict>
          </mc:Fallback>
        </mc:AlternateContent>
      </w:r>
      <w:r w:rsidRPr="00DB5A96">
        <w:rPr>
          <w:noProof/>
          <w:lang w:eastAsia="zh-CN"/>
        </w:rPr>
        <mc:AlternateContent>
          <mc:Choice Requires="wps">
            <w:drawing>
              <wp:anchor distT="0" distB="0" distL="114300" distR="114300" simplePos="0" relativeHeight="251708928" behindDoc="0" locked="0" layoutInCell="1" allowOverlap="1" wp14:anchorId="25F11460" wp14:editId="2CA76F68">
                <wp:simplePos x="0" y="0"/>
                <wp:positionH relativeFrom="column">
                  <wp:posOffset>3633470</wp:posOffset>
                </wp:positionH>
                <wp:positionV relativeFrom="paragraph">
                  <wp:posOffset>204470</wp:posOffset>
                </wp:positionV>
                <wp:extent cx="929005" cy="522605"/>
                <wp:effectExtent l="0" t="0" r="0" b="0"/>
                <wp:wrapNone/>
                <wp:docPr id="424" name="TextBox 24"/>
                <wp:cNvGraphicFramePr/>
                <a:graphic xmlns:a="http://schemas.openxmlformats.org/drawingml/2006/main">
                  <a:graphicData uri="http://schemas.microsoft.com/office/word/2010/wordprocessingShape">
                    <wps:wsp>
                      <wps:cNvSpPr txBox="1"/>
                      <wps:spPr>
                        <a:xfrm>
                          <a:off x="0" y="0"/>
                          <a:ext cx="929005" cy="522605"/>
                        </a:xfrm>
                        <a:prstGeom prst="rect">
                          <a:avLst/>
                        </a:prstGeom>
                        <a:noFill/>
                      </wps:spPr>
                      <wps:txbx>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Positive balance </w:t>
                            </w:r>
                          </w:p>
                        </w:txbxContent>
                      </wps:txbx>
                      <wps:bodyPr wrap="square" rtlCol="0">
                        <a:spAutoFit/>
                      </wps:bodyPr>
                    </wps:wsp>
                  </a:graphicData>
                </a:graphic>
                <wp14:sizeRelH relativeFrom="margin">
                  <wp14:pctWidth>0</wp14:pctWidth>
                </wp14:sizeRelH>
              </wp:anchor>
            </w:drawing>
          </mc:Choice>
          <mc:Fallback>
            <w:pict>
              <v:shape w14:anchorId="25F11460" id="TextBox 24" o:spid="_x0000_s1151" type="#_x0000_t202" style="position:absolute;left:0;text-align:left;margin-left:286.1pt;margin-top:16.1pt;width:73.15pt;height:41.1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" filled="f" stroked="f">
                <v:textbox style="mso-fit-shape-to-text:t">
                  <w:txbxContent>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DB5A96">
                      <w:pPr>
                        <w:spacing w:after="0"/>
                        <w:textAlignment w:val="baseline"/>
                        <w:rPr>
                          <w:sz w:val="16"/>
                          <w:szCs w:val="16"/>
                        </w:rPr>
                      </w:pPr>
                      <w:r w:rsidRPr="00B957ED">
                        <w:rPr>
                          <w:rFonts w:ascii="Arial" w:hAnsi="Arial" w:cs="Arial"/>
                          <w:color w:val="333D47"/>
                          <w:kern w:val="24"/>
                          <w:sz w:val="16"/>
                          <w:szCs w:val="16"/>
                        </w:rPr>
                        <w:t xml:space="preserve">Positive balance </w:t>
                      </w:r>
                    </w:p>
                  </w:txbxContent>
                </v:textbox>
              </v:shape>
            </w:pict>
          </mc:Fallback>
        </mc:AlternateContent>
      </w:r>
      <w:r w:rsidR="00CD394E">
        <w:rPr>
          <w:noProof/>
          <w:lang w:eastAsia="zh-CN"/>
        </w:rPr>
        <mc:AlternateContent>
          <mc:Choice Requires="wps">
            <w:drawing>
              <wp:anchor distT="0" distB="0" distL="114300" distR="114300" simplePos="0" relativeHeight="251987456" behindDoc="0" locked="0" layoutInCell="1" allowOverlap="1" wp14:anchorId="2E69BC07" wp14:editId="295F2AD1">
                <wp:simplePos x="0" y="0"/>
                <wp:positionH relativeFrom="column">
                  <wp:posOffset>2722245</wp:posOffset>
                </wp:positionH>
                <wp:positionV relativeFrom="paragraph">
                  <wp:posOffset>1602740</wp:posOffset>
                </wp:positionV>
                <wp:extent cx="160934" cy="256032"/>
                <wp:effectExtent l="38100" t="38100" r="29845" b="29845"/>
                <wp:wrapNone/>
                <wp:docPr id="427" name="Straight Connector 427"/>
                <wp:cNvGraphicFramePr/>
                <a:graphic xmlns:a="http://schemas.openxmlformats.org/drawingml/2006/main">
                  <a:graphicData uri="http://schemas.microsoft.com/office/word/2010/wordprocessingShape">
                    <wps:wsp>
                      <wps:cNvCnPr/>
                      <wps:spPr>
                        <a:xfrm>
                          <a:off x="0" y="0"/>
                          <a:ext cx="160934" cy="256032"/>
                        </a:xfrm>
                        <a:prstGeom prst="line">
                          <a:avLst/>
                        </a:prstGeom>
                        <a:noFill/>
                        <a:ln w="9525" cap="flat" cmpd="sng" algn="ctr">
                          <a:solidFill>
                            <a:sysClr val="windowText" lastClr="000000"/>
                          </a:solidFill>
                          <a:prstDash val="solid"/>
                          <a:headEnd type="arrow"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47E6916" id="Straight Connector 427" o:spid="_x0000_s1026" style="position:absolute;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35pt,126.2pt" to="227pt,1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" strokecolor="windowText">
                <v:stroke startarrow="open"/>
              </v:line>
            </w:pict>
          </mc:Fallback>
        </mc:AlternateContent>
      </w:r>
      <w:r w:rsidR="004F3B3F">
        <w:rPr>
          <w:noProof/>
          <w:lang w:eastAsia="zh-CN"/>
        </w:rPr>
        <w:drawing>
          <wp:inline distT="0" distB="0" distL="0" distR="0" wp14:anchorId="58434DCB" wp14:editId="290C445B">
            <wp:extent cx="3997841" cy="3945006"/>
            <wp:effectExtent l="0" t="0" r="3175" b="0"/>
            <wp:docPr id="18551" name="Picture 1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15100" cy="3962037"/>
                    </a:xfrm>
                    <a:prstGeom prst="rect">
                      <a:avLst/>
                    </a:prstGeom>
                    <a:noFill/>
                  </pic:spPr>
                </pic:pic>
              </a:graphicData>
            </a:graphic>
          </wp:inline>
        </w:drawing>
      </w:r>
    </w:p>
    <w:p w:rsidR="00DB5A96" w:rsidRPr="000C602E" w:rsidRDefault="000C602E" w:rsidP="00844C20">
      <w:pPr>
        <w:pStyle w:val="Caption"/>
        <w:jc w:val="both"/>
        <w:rPr>
          <w:rFonts w:ascii="Arial" w:hAnsi="Arial" w:cs="Arial"/>
          <w:b w:val="0"/>
          <w:color w:val="auto"/>
        </w:rPr>
      </w:pPr>
      <w:bookmarkStart w:id="146" w:name="_Toc425419525"/>
      <w:r w:rsidRPr="002F2F81">
        <w:rPr>
          <w:rFonts w:ascii="Arial" w:hAnsi="Arial" w:cs="Arial"/>
          <w:b w:val="0"/>
          <w:color w:val="auto"/>
        </w:rPr>
        <w:t xml:space="preserve">Figure </w:t>
      </w:r>
      <w:r w:rsidRPr="002F2F81">
        <w:rPr>
          <w:rFonts w:ascii="Arial" w:hAnsi="Arial" w:cs="Arial"/>
          <w:b w:val="0"/>
          <w:color w:val="auto"/>
        </w:rPr>
        <w:fldChar w:fldCharType="begin"/>
      </w:r>
      <w:r w:rsidRPr="002F2F81">
        <w:rPr>
          <w:rFonts w:ascii="Arial" w:hAnsi="Arial" w:cs="Arial"/>
          <w:b w:val="0"/>
          <w:color w:val="auto"/>
        </w:rPr>
        <w:instrText xml:space="preserve"> SEQ Figure \* ARABIC </w:instrText>
      </w:r>
      <w:r w:rsidRPr="002F2F81">
        <w:rPr>
          <w:rFonts w:ascii="Arial" w:hAnsi="Arial" w:cs="Arial"/>
          <w:b w:val="0"/>
          <w:color w:val="auto"/>
        </w:rPr>
        <w:fldChar w:fldCharType="separate"/>
      </w:r>
      <w:r w:rsidR="0040369A">
        <w:rPr>
          <w:rFonts w:ascii="Arial" w:hAnsi="Arial" w:cs="Arial"/>
          <w:b w:val="0"/>
          <w:noProof/>
          <w:color w:val="auto"/>
        </w:rPr>
        <w:t>36</w:t>
      </w:r>
      <w:r w:rsidRPr="002F2F81">
        <w:rPr>
          <w:rFonts w:ascii="Arial" w:hAnsi="Arial" w:cs="Arial"/>
          <w:b w:val="0"/>
          <w:color w:val="auto"/>
        </w:rPr>
        <w:fldChar w:fldCharType="end"/>
      </w:r>
      <w:r w:rsidR="00A26A56">
        <w:rPr>
          <w:rFonts w:ascii="Arial" w:hAnsi="Arial" w:cs="Arial"/>
          <w:b w:val="0"/>
          <w:color w:val="auto"/>
        </w:rPr>
        <w:t>: T</w:t>
      </w:r>
      <w:r w:rsidRPr="002F2F81">
        <w:rPr>
          <w:rFonts w:ascii="Arial" w:hAnsi="Arial" w:cs="Arial"/>
          <w:b w:val="0"/>
          <w:color w:val="auto"/>
        </w:rPr>
        <w:t>-score bone marker plots for postmenopausal (blue ellipse) and premenopausal (red ellipse) women for PINP and CTX</w:t>
      </w:r>
      <w:r>
        <w:rPr>
          <w:rFonts w:ascii="Arial" w:hAnsi="Arial" w:cs="Arial"/>
          <w:b w:val="0"/>
          <w:color w:val="auto"/>
        </w:rPr>
        <w:t xml:space="preserve">. </w:t>
      </w:r>
      <w:r w:rsidRPr="002F2F81">
        <w:rPr>
          <w:rFonts w:ascii="Arial" w:hAnsi="Arial" w:cs="Arial"/>
          <w:b w:val="0"/>
          <w:color w:val="auto"/>
        </w:rPr>
        <w:t>The black solid arrow represents the Mahalanobis distance</w:t>
      </w:r>
      <w:r>
        <w:rPr>
          <w:rFonts w:ascii="Arial" w:hAnsi="Arial" w:cs="Arial"/>
          <w:b w:val="0"/>
          <w:color w:val="auto"/>
        </w:rPr>
        <w:t>.</w:t>
      </w:r>
      <w:r w:rsidR="00394458">
        <w:rPr>
          <w:rFonts w:ascii="Arial" w:hAnsi="Arial" w:cs="Arial"/>
          <w:b w:val="0"/>
          <w:color w:val="auto"/>
        </w:rPr>
        <w:t xml:space="preserve"> </w:t>
      </w:r>
      <w:r w:rsidR="00394458" w:rsidRPr="00394458">
        <w:rPr>
          <w:rFonts w:ascii="Arial" w:hAnsi="Arial" w:cs="Arial"/>
          <w:b w:val="0"/>
          <w:color w:val="auto"/>
        </w:rPr>
        <w:t>Mahalanobis distance = 0.93, P&lt;0.001</w:t>
      </w:r>
      <w:bookmarkEnd w:id="146"/>
    </w:p>
    <w:p w:rsidR="006B0ECE" w:rsidRDefault="00707567" w:rsidP="00844C20">
      <w:pPr>
        <w:pStyle w:val="Heading3"/>
        <w:jc w:val="both"/>
      </w:pPr>
      <w:bookmarkStart w:id="147" w:name="_Toc425418932"/>
      <w:r>
        <w:t xml:space="preserve">Bone balance, bone turnover and </w:t>
      </w:r>
      <w:r w:rsidR="0059549E">
        <w:t xml:space="preserve">total hip </w:t>
      </w:r>
      <w:r>
        <w:t>BMD</w:t>
      </w:r>
      <w:r w:rsidR="00D7722E">
        <w:t xml:space="preserve"> assessment</w:t>
      </w:r>
      <w:bookmarkEnd w:id="147"/>
    </w:p>
    <w:p w:rsidR="00BB2C1A" w:rsidRPr="00844C5A" w:rsidRDefault="00FC525E" w:rsidP="00844C20">
      <w:pPr>
        <w:spacing w:line="360" w:lineRule="auto"/>
        <w:jc w:val="both"/>
        <w:rPr>
          <w:rFonts w:ascii="Arial" w:hAnsi="Arial" w:cs="Arial"/>
        </w:rPr>
      </w:pPr>
      <w:r>
        <w:rPr>
          <w:rFonts w:ascii="Arial" w:hAnsi="Arial" w:cs="Arial"/>
        </w:rPr>
        <w:t xml:space="preserve">A </w:t>
      </w:r>
      <w:r w:rsidR="00C919ED">
        <w:rPr>
          <w:rFonts w:ascii="Arial" w:hAnsi="Arial" w:cs="Arial"/>
        </w:rPr>
        <w:t>multivariable</w:t>
      </w:r>
      <w:r w:rsidR="00BB2C1A" w:rsidRPr="00844C5A">
        <w:rPr>
          <w:rFonts w:ascii="Arial" w:hAnsi="Arial" w:cs="Arial"/>
        </w:rPr>
        <w:t xml:space="preserve"> analysis was performed to assess the relationship between bone turnover, bone balance, PINP and CTX with BMD, </w:t>
      </w:r>
      <w:r w:rsidR="00C919ED">
        <w:rPr>
          <w:rFonts w:ascii="Arial" w:hAnsi="Arial" w:cs="Arial"/>
        </w:rPr>
        <w:t>(T</w:t>
      </w:r>
      <w:r w:rsidR="001B00FC">
        <w:rPr>
          <w:rFonts w:ascii="Arial" w:hAnsi="Arial" w:cs="Arial"/>
        </w:rPr>
        <w:t>able 18</w:t>
      </w:r>
      <w:r w:rsidR="00C919ED">
        <w:rPr>
          <w:rFonts w:ascii="Arial" w:hAnsi="Arial" w:cs="Arial"/>
        </w:rPr>
        <w:t>)</w:t>
      </w:r>
      <w:r w:rsidR="00BB2C1A" w:rsidRPr="00844C5A">
        <w:rPr>
          <w:rFonts w:ascii="Arial" w:hAnsi="Arial" w:cs="Arial"/>
        </w:rPr>
        <w:t xml:space="preserve"> and the change in BMD at 6 years in postmenopausal women, </w:t>
      </w:r>
      <w:r w:rsidR="00C919ED">
        <w:rPr>
          <w:rFonts w:ascii="Arial" w:hAnsi="Arial" w:cs="Arial"/>
        </w:rPr>
        <w:t>(T</w:t>
      </w:r>
      <w:r w:rsidR="001B00FC">
        <w:rPr>
          <w:rFonts w:ascii="Arial" w:hAnsi="Arial" w:cs="Arial"/>
        </w:rPr>
        <w:t>able 19</w:t>
      </w:r>
      <w:r w:rsidR="00C919ED">
        <w:rPr>
          <w:rFonts w:ascii="Arial" w:hAnsi="Arial" w:cs="Arial"/>
        </w:rPr>
        <w:t>)</w:t>
      </w:r>
      <w:r w:rsidR="00BB2C1A" w:rsidRPr="00844C5A">
        <w:rPr>
          <w:rFonts w:ascii="Arial" w:hAnsi="Arial" w:cs="Arial"/>
        </w:rPr>
        <w:t>.</w:t>
      </w:r>
      <w:r w:rsidR="00A67922" w:rsidRPr="00844C5A">
        <w:rPr>
          <w:rFonts w:ascii="Arial" w:hAnsi="Arial" w:cs="Arial"/>
        </w:rPr>
        <w:t xml:space="preserve"> This showed that </w:t>
      </w:r>
      <w:r w:rsidR="00844C5A">
        <w:rPr>
          <w:rFonts w:ascii="Arial" w:hAnsi="Arial" w:cs="Arial"/>
        </w:rPr>
        <w:t xml:space="preserve">high </w:t>
      </w:r>
      <w:r w:rsidR="00A67922" w:rsidRPr="00844C5A">
        <w:rPr>
          <w:rFonts w:ascii="Arial" w:hAnsi="Arial" w:cs="Arial"/>
        </w:rPr>
        <w:t>bone turnover</w:t>
      </w:r>
      <w:r w:rsidR="00BB2C1A" w:rsidRPr="00844C5A">
        <w:rPr>
          <w:rFonts w:ascii="Arial" w:hAnsi="Arial" w:cs="Arial"/>
        </w:rPr>
        <w:t xml:space="preserve"> and </w:t>
      </w:r>
      <w:r w:rsidR="00844C5A">
        <w:rPr>
          <w:rFonts w:ascii="Arial" w:hAnsi="Arial" w:cs="Arial"/>
        </w:rPr>
        <w:t xml:space="preserve">high </w:t>
      </w:r>
      <w:r w:rsidR="00BB2C1A" w:rsidRPr="00844C5A">
        <w:rPr>
          <w:rFonts w:ascii="Arial" w:hAnsi="Arial" w:cs="Arial"/>
        </w:rPr>
        <w:t>levels of PINP and CTX</w:t>
      </w:r>
      <w:r w:rsidR="00844C5A">
        <w:rPr>
          <w:rFonts w:ascii="Arial" w:hAnsi="Arial" w:cs="Arial"/>
        </w:rPr>
        <w:t xml:space="preserve"> were </w:t>
      </w:r>
      <w:r w:rsidR="00F82DE7">
        <w:rPr>
          <w:rFonts w:ascii="Arial" w:hAnsi="Arial" w:cs="Arial"/>
        </w:rPr>
        <w:t xml:space="preserve">significantly </w:t>
      </w:r>
      <w:r w:rsidR="00844C5A">
        <w:rPr>
          <w:rFonts w:ascii="Arial" w:hAnsi="Arial" w:cs="Arial"/>
        </w:rPr>
        <w:t>related</w:t>
      </w:r>
      <w:r w:rsidR="00F82DE7">
        <w:rPr>
          <w:rFonts w:ascii="Arial" w:hAnsi="Arial" w:cs="Arial"/>
        </w:rPr>
        <w:t xml:space="preserve"> to decreased </w:t>
      </w:r>
      <w:r w:rsidR="00A67922" w:rsidRPr="00844C5A">
        <w:rPr>
          <w:rFonts w:ascii="Arial" w:hAnsi="Arial" w:cs="Arial"/>
        </w:rPr>
        <w:t xml:space="preserve">BMD </w:t>
      </w:r>
      <w:r w:rsidR="003D325A">
        <w:rPr>
          <w:rFonts w:ascii="Arial" w:hAnsi="Arial" w:cs="Arial"/>
        </w:rPr>
        <w:t xml:space="preserve">per standard deviation change </w:t>
      </w:r>
      <w:r w:rsidR="00A67922" w:rsidRPr="00844C5A">
        <w:rPr>
          <w:rFonts w:ascii="Arial" w:hAnsi="Arial" w:cs="Arial"/>
        </w:rPr>
        <w:t>at the femoral neck and total hip p&lt;0.001</w:t>
      </w:r>
      <w:r w:rsidR="00022C5F" w:rsidRPr="00844C5A">
        <w:rPr>
          <w:rFonts w:ascii="Arial" w:hAnsi="Arial" w:cs="Arial"/>
        </w:rPr>
        <w:t>.</w:t>
      </w:r>
      <w:r w:rsidR="00F742C8">
        <w:rPr>
          <w:rFonts w:ascii="Arial" w:hAnsi="Arial" w:cs="Arial"/>
        </w:rPr>
        <w:t xml:space="preserve"> For example table 18 showed</w:t>
      </w:r>
      <w:r w:rsidR="003D325A">
        <w:rPr>
          <w:rFonts w:ascii="Arial" w:hAnsi="Arial" w:cs="Arial"/>
        </w:rPr>
        <w:t xml:space="preserve"> that for a 1 standard deviation increase i</w:t>
      </w:r>
      <w:r w:rsidR="0059549E">
        <w:rPr>
          <w:rFonts w:ascii="Arial" w:hAnsi="Arial" w:cs="Arial"/>
        </w:rPr>
        <w:t>n bone turnover there is a 36.41 mg/cm</w:t>
      </w:r>
      <w:r w:rsidR="0059549E">
        <w:rPr>
          <w:rFonts w:ascii="Arial" w:hAnsi="Arial" w:cs="Arial"/>
          <w:vertAlign w:val="superscript"/>
        </w:rPr>
        <w:t>2</w:t>
      </w:r>
      <w:r w:rsidR="0059549E">
        <w:rPr>
          <w:rFonts w:ascii="Arial" w:hAnsi="Arial" w:cs="Arial"/>
        </w:rPr>
        <w:t xml:space="preserve"> </w:t>
      </w:r>
      <w:r w:rsidR="003D325A">
        <w:rPr>
          <w:rFonts w:ascii="Arial" w:hAnsi="Arial" w:cs="Arial"/>
        </w:rPr>
        <w:t xml:space="preserve">decrease in BMD at the </w:t>
      </w:r>
      <w:r w:rsidR="0059549E">
        <w:rPr>
          <w:rFonts w:ascii="Arial" w:hAnsi="Arial" w:cs="Arial"/>
        </w:rPr>
        <w:t>total hip</w:t>
      </w:r>
      <w:r w:rsidR="003D325A">
        <w:rPr>
          <w:rFonts w:ascii="Arial" w:hAnsi="Arial" w:cs="Arial"/>
        </w:rPr>
        <w:t xml:space="preserve">.  </w:t>
      </w:r>
      <w:r w:rsidR="0059549E">
        <w:rPr>
          <w:rFonts w:ascii="Arial" w:hAnsi="Arial" w:cs="Arial"/>
        </w:rPr>
        <w:t>A positive</w:t>
      </w:r>
      <w:r w:rsidR="00022C5F" w:rsidRPr="00844C5A">
        <w:rPr>
          <w:rFonts w:ascii="Arial" w:hAnsi="Arial" w:cs="Arial"/>
        </w:rPr>
        <w:t xml:space="preserve"> bone balance</w:t>
      </w:r>
      <w:r w:rsidR="005761AD" w:rsidRPr="00844C5A">
        <w:rPr>
          <w:rFonts w:ascii="Arial" w:hAnsi="Arial" w:cs="Arial"/>
        </w:rPr>
        <w:t xml:space="preserve"> between PINP and CTX</w:t>
      </w:r>
      <w:r w:rsidR="00022C5F" w:rsidRPr="00844C5A">
        <w:rPr>
          <w:rFonts w:ascii="Arial" w:hAnsi="Arial" w:cs="Arial"/>
        </w:rPr>
        <w:t xml:space="preserve"> was</w:t>
      </w:r>
      <w:r w:rsidR="0059549E">
        <w:rPr>
          <w:rFonts w:ascii="Arial" w:hAnsi="Arial" w:cs="Arial"/>
        </w:rPr>
        <w:t xml:space="preserve"> significantly related to</w:t>
      </w:r>
      <w:r w:rsidR="00A67922" w:rsidRPr="00844C5A">
        <w:rPr>
          <w:rFonts w:ascii="Arial" w:hAnsi="Arial" w:cs="Arial"/>
        </w:rPr>
        <w:t xml:space="preserve"> an increased BMD </w:t>
      </w:r>
      <w:r w:rsidR="0059549E">
        <w:rPr>
          <w:rFonts w:ascii="Arial" w:hAnsi="Arial" w:cs="Arial"/>
        </w:rPr>
        <w:t>(</w:t>
      </w:r>
      <w:r w:rsidR="003D325A">
        <w:rPr>
          <w:rFonts w:ascii="Arial" w:hAnsi="Arial" w:cs="Arial"/>
        </w:rPr>
        <w:t>per standard deviation change</w:t>
      </w:r>
      <w:r w:rsidR="0059549E">
        <w:rPr>
          <w:rFonts w:ascii="Arial" w:hAnsi="Arial" w:cs="Arial"/>
        </w:rPr>
        <w:t>)</w:t>
      </w:r>
      <w:r w:rsidR="003D325A">
        <w:rPr>
          <w:rFonts w:ascii="Arial" w:hAnsi="Arial" w:cs="Arial"/>
        </w:rPr>
        <w:t xml:space="preserve"> </w:t>
      </w:r>
      <w:r w:rsidR="00A67922" w:rsidRPr="00844C5A">
        <w:rPr>
          <w:rFonts w:ascii="Arial" w:hAnsi="Arial" w:cs="Arial"/>
        </w:rPr>
        <w:t>at the total hip.</w:t>
      </w:r>
      <w:r w:rsidR="00867AA9" w:rsidRPr="00844C5A">
        <w:rPr>
          <w:rFonts w:ascii="Arial" w:hAnsi="Arial" w:cs="Arial"/>
        </w:rPr>
        <w:t xml:space="preserve"> </w:t>
      </w:r>
      <w:r w:rsidR="00022C5F" w:rsidRPr="00844C5A">
        <w:rPr>
          <w:rFonts w:ascii="Arial" w:hAnsi="Arial" w:cs="Arial"/>
        </w:rPr>
        <w:t xml:space="preserve">A </w:t>
      </w:r>
      <w:r w:rsidR="0059549E">
        <w:rPr>
          <w:rFonts w:ascii="Arial" w:hAnsi="Arial" w:cs="Arial"/>
        </w:rPr>
        <w:t>positive</w:t>
      </w:r>
      <w:r w:rsidR="00022C5F" w:rsidRPr="00844C5A">
        <w:rPr>
          <w:rFonts w:ascii="Arial" w:hAnsi="Arial" w:cs="Arial"/>
        </w:rPr>
        <w:t xml:space="preserve"> bone balance was sign</w:t>
      </w:r>
      <w:r w:rsidR="00F742C8">
        <w:rPr>
          <w:rFonts w:ascii="Arial" w:hAnsi="Arial" w:cs="Arial"/>
        </w:rPr>
        <w:t xml:space="preserve">ificantly related to a positive </w:t>
      </w:r>
      <w:r w:rsidR="0048105A" w:rsidRPr="00844C5A">
        <w:rPr>
          <w:rFonts w:ascii="Arial" w:hAnsi="Arial" w:cs="Arial"/>
        </w:rPr>
        <w:t>change</w:t>
      </w:r>
      <w:r w:rsidR="00022C5F" w:rsidRPr="00844C5A">
        <w:rPr>
          <w:rFonts w:ascii="Arial" w:hAnsi="Arial" w:cs="Arial"/>
        </w:rPr>
        <w:t xml:space="preserve"> in BMD </w:t>
      </w:r>
      <w:r w:rsidR="00E071F0">
        <w:rPr>
          <w:rFonts w:ascii="Arial" w:hAnsi="Arial" w:cs="Arial"/>
        </w:rPr>
        <w:t>(</w:t>
      </w:r>
      <w:r w:rsidR="002D63DC">
        <w:rPr>
          <w:rFonts w:ascii="Arial" w:hAnsi="Arial" w:cs="Arial"/>
        </w:rPr>
        <w:t>per standard deviation change</w:t>
      </w:r>
      <w:r w:rsidR="00E071F0">
        <w:rPr>
          <w:rFonts w:ascii="Arial" w:hAnsi="Arial" w:cs="Arial"/>
        </w:rPr>
        <w:t>)</w:t>
      </w:r>
      <w:r w:rsidR="002D63DC">
        <w:rPr>
          <w:rFonts w:ascii="Arial" w:hAnsi="Arial" w:cs="Arial"/>
        </w:rPr>
        <w:t xml:space="preserve">, </w:t>
      </w:r>
      <w:r w:rsidR="0048105A" w:rsidRPr="00844C5A">
        <w:rPr>
          <w:rFonts w:ascii="Arial" w:hAnsi="Arial" w:cs="Arial"/>
        </w:rPr>
        <w:t>at</w:t>
      </w:r>
      <w:r w:rsidR="002D63DC">
        <w:rPr>
          <w:rFonts w:ascii="Arial" w:hAnsi="Arial" w:cs="Arial"/>
        </w:rPr>
        <w:t xml:space="preserve"> the total hip</w:t>
      </w:r>
      <w:r w:rsidR="0048105A" w:rsidRPr="00844C5A">
        <w:rPr>
          <w:rFonts w:ascii="Arial" w:hAnsi="Arial" w:cs="Arial"/>
        </w:rPr>
        <w:t>, p&lt;0.05</w:t>
      </w:r>
      <w:r w:rsidR="001B00FC">
        <w:rPr>
          <w:rFonts w:ascii="Arial" w:hAnsi="Arial" w:cs="Arial"/>
        </w:rPr>
        <w:t>, (Table 19</w:t>
      </w:r>
      <w:r w:rsidR="00C919ED">
        <w:rPr>
          <w:rFonts w:ascii="Arial" w:hAnsi="Arial" w:cs="Arial"/>
        </w:rPr>
        <w:t>)</w:t>
      </w:r>
      <w:r w:rsidR="0048105A" w:rsidRPr="00844C5A">
        <w:rPr>
          <w:rFonts w:ascii="Arial" w:hAnsi="Arial" w:cs="Arial"/>
        </w:rPr>
        <w:t xml:space="preserve">. A high level of CTX was </w:t>
      </w:r>
      <w:r w:rsidR="0048105A" w:rsidRPr="00844C5A">
        <w:rPr>
          <w:rFonts w:ascii="Arial" w:hAnsi="Arial" w:cs="Arial"/>
        </w:rPr>
        <w:lastRenderedPageBreak/>
        <w:t>sign</w:t>
      </w:r>
      <w:r w:rsidR="00F742C8">
        <w:rPr>
          <w:rFonts w:ascii="Arial" w:hAnsi="Arial" w:cs="Arial"/>
        </w:rPr>
        <w:t>ificantly related to a negative</w:t>
      </w:r>
      <w:r w:rsidR="0048105A" w:rsidRPr="00844C5A">
        <w:rPr>
          <w:rFonts w:ascii="Arial" w:hAnsi="Arial" w:cs="Arial"/>
        </w:rPr>
        <w:t xml:space="preserve"> change in BMD</w:t>
      </w:r>
      <w:r w:rsidR="002D63DC">
        <w:rPr>
          <w:rFonts w:ascii="Arial" w:hAnsi="Arial" w:cs="Arial"/>
        </w:rPr>
        <w:t xml:space="preserve"> per standard deviation change at the total hip, </w:t>
      </w:r>
      <w:r w:rsidR="0048105A" w:rsidRPr="00844C5A">
        <w:rPr>
          <w:rFonts w:ascii="Arial" w:hAnsi="Arial" w:cs="Arial"/>
        </w:rPr>
        <w:t xml:space="preserve">p&lt;0.05. </w:t>
      </w:r>
      <w:r w:rsidR="00022C5F" w:rsidRPr="00844C5A">
        <w:rPr>
          <w:rFonts w:ascii="Arial" w:hAnsi="Arial" w:cs="Arial"/>
        </w:rPr>
        <w:t>There was no relationship betw</w:t>
      </w:r>
      <w:r w:rsidR="0048105A" w:rsidRPr="00844C5A">
        <w:rPr>
          <w:rFonts w:ascii="Arial" w:hAnsi="Arial" w:cs="Arial"/>
        </w:rPr>
        <w:t>een bone turnover and levels of PINP with a change in BMD at the total hip</w:t>
      </w:r>
      <w:r w:rsidR="00C919ED">
        <w:rPr>
          <w:rFonts w:ascii="Arial" w:hAnsi="Arial" w:cs="Arial"/>
        </w:rPr>
        <w:t>.</w:t>
      </w:r>
    </w:p>
    <w:p w:rsidR="007270C4" w:rsidRPr="007270C4" w:rsidRDefault="007270C4" w:rsidP="00844C20">
      <w:pPr>
        <w:pStyle w:val="Caption"/>
        <w:keepNext/>
        <w:jc w:val="both"/>
        <w:rPr>
          <w:rFonts w:ascii="Arial" w:hAnsi="Arial" w:cs="Arial"/>
          <w:b w:val="0"/>
          <w:color w:val="auto"/>
        </w:rPr>
      </w:pPr>
      <w:bookmarkStart w:id="148" w:name="_Toc424043692"/>
      <w:r w:rsidRPr="007270C4">
        <w:rPr>
          <w:rFonts w:ascii="Arial" w:hAnsi="Arial" w:cs="Arial"/>
          <w:b w:val="0"/>
          <w:color w:val="auto"/>
        </w:rPr>
        <w:t xml:space="preserve">Table </w:t>
      </w:r>
      <w:r w:rsidRPr="007270C4">
        <w:rPr>
          <w:rFonts w:ascii="Arial" w:hAnsi="Arial" w:cs="Arial"/>
          <w:b w:val="0"/>
          <w:color w:val="auto"/>
        </w:rPr>
        <w:fldChar w:fldCharType="begin"/>
      </w:r>
      <w:r w:rsidRPr="007270C4">
        <w:rPr>
          <w:rFonts w:ascii="Arial" w:hAnsi="Arial" w:cs="Arial"/>
          <w:b w:val="0"/>
          <w:color w:val="auto"/>
        </w:rPr>
        <w:instrText xml:space="preserve"> SEQ Table \* ARABIC </w:instrText>
      </w:r>
      <w:r w:rsidRPr="007270C4">
        <w:rPr>
          <w:rFonts w:ascii="Arial" w:hAnsi="Arial" w:cs="Arial"/>
          <w:b w:val="0"/>
          <w:color w:val="auto"/>
        </w:rPr>
        <w:fldChar w:fldCharType="separate"/>
      </w:r>
      <w:r w:rsidR="00DD116A">
        <w:rPr>
          <w:rFonts w:ascii="Arial" w:hAnsi="Arial" w:cs="Arial"/>
          <w:b w:val="0"/>
          <w:noProof/>
          <w:color w:val="auto"/>
        </w:rPr>
        <w:t>18</w:t>
      </w:r>
      <w:r w:rsidRPr="007270C4">
        <w:rPr>
          <w:rFonts w:ascii="Arial" w:hAnsi="Arial" w:cs="Arial"/>
          <w:b w:val="0"/>
          <w:color w:val="auto"/>
        </w:rPr>
        <w:fldChar w:fldCharType="end"/>
      </w:r>
      <w:r w:rsidRPr="007270C4">
        <w:rPr>
          <w:rFonts w:ascii="Arial" w:hAnsi="Arial" w:cs="Arial"/>
          <w:b w:val="0"/>
          <w:color w:val="auto"/>
        </w:rPr>
        <w:t xml:space="preserve">: </w:t>
      </w:r>
      <w:r w:rsidR="003A21CC">
        <w:rPr>
          <w:rFonts w:ascii="Arial" w:hAnsi="Arial" w:cs="Arial"/>
          <w:b w:val="0"/>
          <w:color w:val="auto"/>
        </w:rPr>
        <w:t>Multivariable</w:t>
      </w:r>
      <w:r w:rsidR="002D63DC">
        <w:rPr>
          <w:rFonts w:ascii="Arial" w:hAnsi="Arial" w:cs="Arial"/>
          <w:b w:val="0"/>
          <w:color w:val="auto"/>
        </w:rPr>
        <w:t xml:space="preserve"> </w:t>
      </w:r>
      <w:r w:rsidR="00F40474">
        <w:rPr>
          <w:rFonts w:ascii="Arial" w:hAnsi="Arial" w:cs="Arial"/>
          <w:b w:val="0"/>
          <w:color w:val="auto"/>
        </w:rPr>
        <w:t>analysi</w:t>
      </w:r>
      <w:r w:rsidR="00D812A9">
        <w:rPr>
          <w:rFonts w:ascii="Arial" w:hAnsi="Arial" w:cs="Arial"/>
          <w:b w:val="0"/>
          <w:color w:val="auto"/>
        </w:rPr>
        <w:t xml:space="preserve">s </w:t>
      </w:r>
      <w:r w:rsidRPr="007270C4">
        <w:rPr>
          <w:rFonts w:ascii="Arial" w:hAnsi="Arial" w:cs="Arial"/>
          <w:b w:val="0"/>
          <w:color w:val="auto"/>
        </w:rPr>
        <w:t>showing the relationship between</w:t>
      </w:r>
      <w:r w:rsidR="00D812A9">
        <w:rPr>
          <w:rFonts w:ascii="Arial" w:hAnsi="Arial" w:cs="Arial"/>
          <w:b w:val="0"/>
          <w:color w:val="auto"/>
        </w:rPr>
        <w:t xml:space="preserve"> </w:t>
      </w:r>
      <w:r w:rsidR="003A21CC">
        <w:rPr>
          <w:rFonts w:ascii="Arial" w:hAnsi="Arial" w:cs="Arial"/>
          <w:b w:val="0"/>
          <w:color w:val="auto"/>
        </w:rPr>
        <w:t xml:space="preserve">each; </w:t>
      </w:r>
      <w:r w:rsidRPr="007270C4">
        <w:rPr>
          <w:rFonts w:ascii="Arial" w:hAnsi="Arial" w:cs="Arial"/>
          <w:b w:val="0"/>
          <w:color w:val="auto"/>
        </w:rPr>
        <w:t>bone balance, bone turnover and levels of PINP and CTX at baseline with BMD at the total hip</w:t>
      </w:r>
      <w:r w:rsidR="00A67922">
        <w:rPr>
          <w:rFonts w:ascii="Arial" w:hAnsi="Arial" w:cs="Arial"/>
          <w:b w:val="0"/>
          <w:color w:val="auto"/>
        </w:rPr>
        <w:t xml:space="preserve"> in 745 postmenopausal women.</w:t>
      </w:r>
      <w:bookmarkEnd w:id="148"/>
    </w:p>
    <w:tbl>
      <w:tblPr>
        <w:tblStyle w:val="TableGrid"/>
        <w:tblW w:w="0" w:type="auto"/>
        <w:jc w:val="center"/>
        <w:tblLook w:val="04A0" w:firstRow="1" w:lastRow="0" w:firstColumn="1" w:lastColumn="0" w:noHBand="0" w:noVBand="1"/>
      </w:tblPr>
      <w:tblGrid>
        <w:gridCol w:w="1979"/>
        <w:gridCol w:w="1979"/>
        <w:gridCol w:w="1979"/>
      </w:tblGrid>
      <w:tr w:rsidR="00F40474" w:rsidRPr="00346BA1" w:rsidTr="00FE051E">
        <w:trPr>
          <w:trHeight w:val="245"/>
          <w:jc w:val="center"/>
        </w:trPr>
        <w:tc>
          <w:tcPr>
            <w:tcW w:w="5937" w:type="dxa"/>
            <w:gridSpan w:val="3"/>
          </w:tcPr>
          <w:p w:rsidR="00F40474" w:rsidRPr="005F46D1" w:rsidRDefault="00F40474" w:rsidP="00900F2C">
            <w:pPr>
              <w:rPr>
                <w:sz w:val="16"/>
                <w:szCs w:val="16"/>
                <w:vertAlign w:val="superscript"/>
              </w:rPr>
            </w:pPr>
            <w:r>
              <w:rPr>
                <w:sz w:val="16"/>
                <w:szCs w:val="16"/>
              </w:rPr>
              <w:t>Total hip BMD</w:t>
            </w:r>
            <w:r w:rsidR="005F46D1">
              <w:rPr>
                <w:sz w:val="16"/>
                <w:szCs w:val="16"/>
              </w:rPr>
              <w:t xml:space="preserve"> mg/cm</w:t>
            </w:r>
            <w:r w:rsidR="005F46D1">
              <w:rPr>
                <w:sz w:val="16"/>
                <w:szCs w:val="16"/>
                <w:vertAlign w:val="superscript"/>
              </w:rPr>
              <w:t>2</w:t>
            </w:r>
          </w:p>
        </w:tc>
      </w:tr>
      <w:tr w:rsidR="003A21CC" w:rsidRPr="00346BA1" w:rsidTr="003A21CC">
        <w:trPr>
          <w:trHeight w:val="245"/>
          <w:jc w:val="center"/>
        </w:trPr>
        <w:tc>
          <w:tcPr>
            <w:tcW w:w="1979" w:type="dxa"/>
          </w:tcPr>
          <w:p w:rsidR="003A21CC" w:rsidRDefault="003A21CC" w:rsidP="00900F2C">
            <w:pPr>
              <w:rPr>
                <w:sz w:val="16"/>
                <w:szCs w:val="16"/>
              </w:rPr>
            </w:pPr>
          </w:p>
        </w:tc>
        <w:tc>
          <w:tcPr>
            <w:tcW w:w="1979" w:type="dxa"/>
          </w:tcPr>
          <w:p w:rsidR="003A21CC" w:rsidRPr="00346BA1" w:rsidRDefault="003A21CC" w:rsidP="00900F2C">
            <w:pPr>
              <w:rPr>
                <w:sz w:val="16"/>
                <w:szCs w:val="16"/>
              </w:rPr>
            </w:pPr>
            <w:r w:rsidRPr="00346BA1">
              <w:rPr>
                <w:sz w:val="16"/>
                <w:szCs w:val="16"/>
              </w:rPr>
              <w:t>BMD</w:t>
            </w:r>
          </w:p>
        </w:tc>
        <w:tc>
          <w:tcPr>
            <w:tcW w:w="1979" w:type="dxa"/>
          </w:tcPr>
          <w:p w:rsidR="003A21CC" w:rsidRPr="00346BA1" w:rsidRDefault="003A21CC" w:rsidP="00900F2C">
            <w:pPr>
              <w:rPr>
                <w:sz w:val="16"/>
                <w:szCs w:val="16"/>
              </w:rPr>
            </w:pPr>
            <w:r w:rsidRPr="00346BA1">
              <w:rPr>
                <w:sz w:val="16"/>
                <w:szCs w:val="16"/>
              </w:rPr>
              <w:t>95% confidence</w:t>
            </w:r>
            <w:r>
              <w:rPr>
                <w:sz w:val="16"/>
                <w:szCs w:val="16"/>
              </w:rPr>
              <w:t xml:space="preserve"> interval</w:t>
            </w:r>
          </w:p>
        </w:tc>
      </w:tr>
      <w:tr w:rsidR="003A21CC" w:rsidRPr="00346BA1" w:rsidTr="003A21CC">
        <w:trPr>
          <w:trHeight w:val="245"/>
          <w:jc w:val="center"/>
        </w:trPr>
        <w:tc>
          <w:tcPr>
            <w:tcW w:w="1979" w:type="dxa"/>
          </w:tcPr>
          <w:p w:rsidR="003A21CC" w:rsidRPr="00346BA1" w:rsidRDefault="003A21CC" w:rsidP="00900F2C">
            <w:pPr>
              <w:rPr>
                <w:sz w:val="16"/>
                <w:szCs w:val="16"/>
              </w:rPr>
            </w:pPr>
            <w:r w:rsidRPr="00346BA1">
              <w:rPr>
                <w:sz w:val="16"/>
                <w:szCs w:val="16"/>
              </w:rPr>
              <w:t>Bone balance</w:t>
            </w:r>
            <w:r>
              <w:rPr>
                <w:sz w:val="16"/>
                <w:szCs w:val="16"/>
              </w:rPr>
              <w:t>**</w:t>
            </w:r>
          </w:p>
        </w:tc>
        <w:tc>
          <w:tcPr>
            <w:tcW w:w="1979" w:type="dxa"/>
          </w:tcPr>
          <w:p w:rsidR="003A21CC" w:rsidRDefault="003A21CC" w:rsidP="00900F2C">
            <w:pPr>
              <w:rPr>
                <w:sz w:val="16"/>
                <w:szCs w:val="16"/>
              </w:rPr>
            </w:pPr>
            <w:r>
              <w:rPr>
                <w:sz w:val="16"/>
                <w:szCs w:val="16"/>
              </w:rPr>
              <w:t>15.60</w:t>
            </w:r>
          </w:p>
        </w:tc>
        <w:tc>
          <w:tcPr>
            <w:tcW w:w="1979" w:type="dxa"/>
          </w:tcPr>
          <w:p w:rsidR="003A21CC" w:rsidRDefault="003A21CC" w:rsidP="00900F2C">
            <w:pPr>
              <w:rPr>
                <w:sz w:val="16"/>
                <w:szCs w:val="16"/>
              </w:rPr>
            </w:pPr>
            <w:r>
              <w:rPr>
                <w:sz w:val="16"/>
                <w:szCs w:val="16"/>
              </w:rPr>
              <w:t>5.41 to 25.79</w:t>
            </w:r>
          </w:p>
        </w:tc>
      </w:tr>
      <w:tr w:rsidR="003A21CC" w:rsidRPr="00346BA1" w:rsidTr="003A21CC">
        <w:trPr>
          <w:trHeight w:val="245"/>
          <w:jc w:val="center"/>
        </w:trPr>
        <w:tc>
          <w:tcPr>
            <w:tcW w:w="1979" w:type="dxa"/>
          </w:tcPr>
          <w:p w:rsidR="003A21CC" w:rsidRPr="00346BA1" w:rsidRDefault="003A21CC" w:rsidP="00900F2C">
            <w:pPr>
              <w:rPr>
                <w:sz w:val="16"/>
                <w:szCs w:val="16"/>
              </w:rPr>
            </w:pPr>
            <w:r w:rsidRPr="00346BA1">
              <w:rPr>
                <w:sz w:val="16"/>
                <w:szCs w:val="16"/>
              </w:rPr>
              <w:t>Bone turnover</w:t>
            </w:r>
            <w:r>
              <w:rPr>
                <w:sz w:val="16"/>
                <w:szCs w:val="16"/>
              </w:rPr>
              <w:t>***</w:t>
            </w:r>
          </w:p>
        </w:tc>
        <w:tc>
          <w:tcPr>
            <w:tcW w:w="1979" w:type="dxa"/>
          </w:tcPr>
          <w:p w:rsidR="003A21CC" w:rsidRDefault="003A21CC" w:rsidP="00900F2C">
            <w:pPr>
              <w:rPr>
                <w:sz w:val="16"/>
                <w:szCs w:val="16"/>
              </w:rPr>
            </w:pPr>
            <w:r>
              <w:rPr>
                <w:sz w:val="16"/>
                <w:szCs w:val="16"/>
              </w:rPr>
              <w:t>-36.41</w:t>
            </w:r>
          </w:p>
        </w:tc>
        <w:tc>
          <w:tcPr>
            <w:tcW w:w="1979" w:type="dxa"/>
          </w:tcPr>
          <w:p w:rsidR="003A21CC" w:rsidRDefault="003A21CC" w:rsidP="00900F2C">
            <w:pPr>
              <w:rPr>
                <w:sz w:val="16"/>
                <w:szCs w:val="16"/>
              </w:rPr>
            </w:pPr>
            <w:r>
              <w:rPr>
                <w:sz w:val="16"/>
                <w:szCs w:val="16"/>
              </w:rPr>
              <w:t>-46.30 to -26.51</w:t>
            </w:r>
          </w:p>
        </w:tc>
      </w:tr>
      <w:tr w:rsidR="003A21CC" w:rsidRPr="00346BA1" w:rsidTr="003A21CC">
        <w:trPr>
          <w:trHeight w:val="245"/>
          <w:jc w:val="center"/>
        </w:trPr>
        <w:tc>
          <w:tcPr>
            <w:tcW w:w="1979" w:type="dxa"/>
          </w:tcPr>
          <w:p w:rsidR="003A21CC" w:rsidRPr="00346BA1" w:rsidRDefault="003A21CC" w:rsidP="00900F2C">
            <w:pPr>
              <w:rPr>
                <w:sz w:val="16"/>
                <w:szCs w:val="16"/>
              </w:rPr>
            </w:pPr>
            <w:r w:rsidRPr="00346BA1">
              <w:rPr>
                <w:sz w:val="16"/>
                <w:szCs w:val="16"/>
              </w:rPr>
              <w:t>PINP ng/ml</w:t>
            </w:r>
            <w:r>
              <w:rPr>
                <w:sz w:val="16"/>
                <w:szCs w:val="16"/>
              </w:rPr>
              <w:t>***</w:t>
            </w:r>
          </w:p>
        </w:tc>
        <w:tc>
          <w:tcPr>
            <w:tcW w:w="1979" w:type="dxa"/>
          </w:tcPr>
          <w:p w:rsidR="003A21CC" w:rsidRDefault="003A21CC" w:rsidP="00900F2C">
            <w:pPr>
              <w:rPr>
                <w:sz w:val="16"/>
                <w:szCs w:val="16"/>
              </w:rPr>
            </w:pPr>
            <w:r>
              <w:rPr>
                <w:sz w:val="16"/>
                <w:szCs w:val="16"/>
              </w:rPr>
              <w:t>-27.39</w:t>
            </w:r>
          </w:p>
        </w:tc>
        <w:tc>
          <w:tcPr>
            <w:tcW w:w="1979" w:type="dxa"/>
          </w:tcPr>
          <w:p w:rsidR="003A21CC" w:rsidRDefault="003A21CC" w:rsidP="00900F2C">
            <w:pPr>
              <w:rPr>
                <w:sz w:val="16"/>
                <w:szCs w:val="16"/>
              </w:rPr>
            </w:pPr>
            <w:r>
              <w:rPr>
                <w:sz w:val="16"/>
                <w:szCs w:val="16"/>
              </w:rPr>
              <w:t>-37.29 to -17.48</w:t>
            </w:r>
          </w:p>
        </w:tc>
      </w:tr>
      <w:tr w:rsidR="003A21CC" w:rsidRPr="00346BA1" w:rsidTr="003A21CC">
        <w:trPr>
          <w:trHeight w:val="245"/>
          <w:jc w:val="center"/>
        </w:trPr>
        <w:tc>
          <w:tcPr>
            <w:tcW w:w="1979" w:type="dxa"/>
          </w:tcPr>
          <w:p w:rsidR="003A21CC" w:rsidRPr="00346BA1" w:rsidRDefault="003A21CC" w:rsidP="00900F2C">
            <w:pPr>
              <w:rPr>
                <w:sz w:val="16"/>
                <w:szCs w:val="16"/>
              </w:rPr>
            </w:pPr>
            <w:r w:rsidRPr="00346BA1">
              <w:rPr>
                <w:sz w:val="16"/>
                <w:szCs w:val="16"/>
              </w:rPr>
              <w:t>CTX ng/ml</w:t>
            </w:r>
            <w:r>
              <w:rPr>
                <w:sz w:val="16"/>
                <w:szCs w:val="16"/>
              </w:rPr>
              <w:t>***</w:t>
            </w:r>
          </w:p>
        </w:tc>
        <w:tc>
          <w:tcPr>
            <w:tcW w:w="1979" w:type="dxa"/>
          </w:tcPr>
          <w:p w:rsidR="003A21CC" w:rsidRDefault="003A21CC" w:rsidP="00900F2C">
            <w:pPr>
              <w:rPr>
                <w:sz w:val="16"/>
                <w:szCs w:val="16"/>
              </w:rPr>
            </w:pPr>
            <w:r>
              <w:rPr>
                <w:sz w:val="16"/>
                <w:szCs w:val="16"/>
              </w:rPr>
              <w:t>-35.10</w:t>
            </w:r>
          </w:p>
        </w:tc>
        <w:tc>
          <w:tcPr>
            <w:tcW w:w="1979" w:type="dxa"/>
          </w:tcPr>
          <w:p w:rsidR="003A21CC" w:rsidRDefault="003A21CC" w:rsidP="00900F2C">
            <w:pPr>
              <w:rPr>
                <w:sz w:val="16"/>
                <w:szCs w:val="16"/>
              </w:rPr>
            </w:pPr>
            <w:r>
              <w:rPr>
                <w:sz w:val="16"/>
                <w:szCs w:val="16"/>
              </w:rPr>
              <w:t>-</w:t>
            </w:r>
            <w:r w:rsidRPr="00D812A9">
              <w:rPr>
                <w:sz w:val="16"/>
                <w:szCs w:val="16"/>
              </w:rPr>
              <w:t>45.10 to -25.09</w:t>
            </w:r>
          </w:p>
        </w:tc>
      </w:tr>
    </w:tbl>
    <w:p w:rsidR="00707567" w:rsidRPr="00D16600" w:rsidRDefault="00D16600" w:rsidP="00844C20">
      <w:pPr>
        <w:jc w:val="both"/>
        <w:rPr>
          <w:rFonts w:ascii="Arial" w:hAnsi="Arial" w:cs="Arial"/>
          <w:sz w:val="16"/>
          <w:szCs w:val="16"/>
        </w:rPr>
      </w:pPr>
      <w:r w:rsidRPr="00D16600">
        <w:rPr>
          <w:rFonts w:ascii="Arial" w:hAnsi="Arial" w:cs="Arial"/>
          <w:sz w:val="16"/>
          <w:szCs w:val="16"/>
        </w:rPr>
        <w:t>Significance *P&lt;0.5, **P&lt;0.01 and ***P&lt;0.001</w:t>
      </w:r>
    </w:p>
    <w:p w:rsidR="00052B0B" w:rsidRPr="00052B0B" w:rsidRDefault="00052B0B" w:rsidP="00844C20">
      <w:pPr>
        <w:pStyle w:val="Caption"/>
        <w:keepNext/>
        <w:jc w:val="both"/>
        <w:rPr>
          <w:rFonts w:ascii="Arial" w:hAnsi="Arial" w:cs="Arial"/>
          <w:b w:val="0"/>
          <w:color w:val="auto"/>
        </w:rPr>
      </w:pPr>
      <w:bookmarkStart w:id="149" w:name="_Toc424043693"/>
      <w:r w:rsidRPr="00052B0B">
        <w:rPr>
          <w:rFonts w:ascii="Arial" w:hAnsi="Arial" w:cs="Arial"/>
          <w:b w:val="0"/>
          <w:color w:val="auto"/>
        </w:rPr>
        <w:t xml:space="preserve">Table </w:t>
      </w:r>
      <w:r w:rsidRPr="00052B0B">
        <w:rPr>
          <w:rFonts w:ascii="Arial" w:hAnsi="Arial" w:cs="Arial"/>
          <w:b w:val="0"/>
          <w:color w:val="auto"/>
        </w:rPr>
        <w:fldChar w:fldCharType="begin"/>
      </w:r>
      <w:r w:rsidRPr="00052B0B">
        <w:rPr>
          <w:rFonts w:ascii="Arial" w:hAnsi="Arial" w:cs="Arial"/>
          <w:b w:val="0"/>
          <w:color w:val="auto"/>
        </w:rPr>
        <w:instrText xml:space="preserve"> SEQ Table \* ARABIC </w:instrText>
      </w:r>
      <w:r w:rsidRPr="00052B0B">
        <w:rPr>
          <w:rFonts w:ascii="Arial" w:hAnsi="Arial" w:cs="Arial"/>
          <w:b w:val="0"/>
          <w:color w:val="auto"/>
        </w:rPr>
        <w:fldChar w:fldCharType="separate"/>
      </w:r>
      <w:r w:rsidR="00DD116A">
        <w:rPr>
          <w:rFonts w:ascii="Arial" w:hAnsi="Arial" w:cs="Arial"/>
          <w:b w:val="0"/>
          <w:noProof/>
          <w:color w:val="auto"/>
        </w:rPr>
        <w:t>19</w:t>
      </w:r>
      <w:r w:rsidRPr="00052B0B">
        <w:rPr>
          <w:rFonts w:ascii="Arial" w:hAnsi="Arial" w:cs="Arial"/>
          <w:b w:val="0"/>
          <w:color w:val="auto"/>
        </w:rPr>
        <w:fldChar w:fldCharType="end"/>
      </w:r>
      <w:r w:rsidRPr="00052B0B">
        <w:rPr>
          <w:rFonts w:ascii="Arial" w:hAnsi="Arial" w:cs="Arial"/>
          <w:b w:val="0"/>
          <w:color w:val="auto"/>
        </w:rPr>
        <w:t xml:space="preserve">: </w:t>
      </w:r>
      <w:r w:rsidR="00C919ED">
        <w:rPr>
          <w:rFonts w:ascii="Arial" w:hAnsi="Arial" w:cs="Arial"/>
          <w:b w:val="0"/>
          <w:color w:val="auto"/>
        </w:rPr>
        <w:t>Multivariable analysi</w:t>
      </w:r>
      <w:r w:rsidRPr="00052B0B">
        <w:rPr>
          <w:rFonts w:ascii="Arial" w:hAnsi="Arial" w:cs="Arial"/>
          <w:b w:val="0"/>
          <w:color w:val="auto"/>
        </w:rPr>
        <w:t>s showing the relationship between each</w:t>
      </w:r>
      <w:r w:rsidR="00C919ED">
        <w:rPr>
          <w:rFonts w:ascii="Arial" w:hAnsi="Arial" w:cs="Arial"/>
          <w:b w:val="0"/>
          <w:color w:val="auto"/>
        </w:rPr>
        <w:t>;</w:t>
      </w:r>
      <w:r w:rsidRPr="00052B0B">
        <w:rPr>
          <w:rFonts w:ascii="Arial" w:hAnsi="Arial" w:cs="Arial"/>
          <w:b w:val="0"/>
          <w:color w:val="auto"/>
        </w:rPr>
        <w:t xml:space="preserve"> bone balance, bone turnover and levels of </w:t>
      </w:r>
      <w:r w:rsidRPr="007270C4">
        <w:rPr>
          <w:rFonts w:ascii="Arial" w:hAnsi="Arial" w:cs="Arial"/>
          <w:b w:val="0"/>
          <w:color w:val="auto"/>
        </w:rPr>
        <w:t xml:space="preserve">PINP and CTX at baseline with </w:t>
      </w:r>
      <w:r>
        <w:rPr>
          <w:rFonts w:ascii="Arial" w:hAnsi="Arial" w:cs="Arial"/>
          <w:b w:val="0"/>
          <w:color w:val="auto"/>
        </w:rPr>
        <w:t xml:space="preserve">the </w:t>
      </w:r>
      <w:r w:rsidR="00BF33E6">
        <w:rPr>
          <w:rFonts w:ascii="Arial" w:hAnsi="Arial" w:cs="Arial"/>
          <w:b w:val="0"/>
          <w:color w:val="auto"/>
        </w:rPr>
        <w:t xml:space="preserve">average yearly </w:t>
      </w:r>
      <w:r>
        <w:rPr>
          <w:rFonts w:ascii="Arial" w:hAnsi="Arial" w:cs="Arial"/>
          <w:b w:val="0"/>
          <w:color w:val="auto"/>
        </w:rPr>
        <w:t xml:space="preserve">change in </w:t>
      </w:r>
      <w:r w:rsidRPr="007270C4">
        <w:rPr>
          <w:rFonts w:ascii="Arial" w:hAnsi="Arial" w:cs="Arial"/>
          <w:b w:val="0"/>
          <w:color w:val="auto"/>
        </w:rPr>
        <w:t xml:space="preserve">BMD at the </w:t>
      </w:r>
      <w:r w:rsidR="00A67922">
        <w:rPr>
          <w:rFonts w:ascii="Arial" w:hAnsi="Arial" w:cs="Arial"/>
          <w:b w:val="0"/>
          <w:color w:val="auto"/>
        </w:rPr>
        <w:t>total hip</w:t>
      </w:r>
      <w:r w:rsidR="00C919ED">
        <w:rPr>
          <w:rFonts w:ascii="Arial" w:hAnsi="Arial" w:cs="Arial"/>
          <w:b w:val="0"/>
          <w:color w:val="auto"/>
        </w:rPr>
        <w:t>,</w:t>
      </w:r>
      <w:r w:rsidR="00BF33E6">
        <w:rPr>
          <w:rFonts w:ascii="Arial" w:hAnsi="Arial" w:cs="Arial"/>
          <w:b w:val="0"/>
          <w:color w:val="auto"/>
        </w:rPr>
        <w:t xml:space="preserve"> over</w:t>
      </w:r>
      <w:r w:rsidR="00A67922">
        <w:rPr>
          <w:rFonts w:ascii="Arial" w:hAnsi="Arial" w:cs="Arial"/>
          <w:b w:val="0"/>
          <w:color w:val="auto"/>
        </w:rPr>
        <w:t xml:space="preserve"> 6 years in 745 postmenopausal women.</w:t>
      </w:r>
      <w:bookmarkEnd w:id="149"/>
    </w:p>
    <w:tbl>
      <w:tblPr>
        <w:tblStyle w:val="TableGrid"/>
        <w:tblW w:w="0" w:type="auto"/>
        <w:jc w:val="center"/>
        <w:tblLook w:val="04A0" w:firstRow="1" w:lastRow="0" w:firstColumn="1" w:lastColumn="0" w:noHBand="0" w:noVBand="1"/>
      </w:tblPr>
      <w:tblGrid>
        <w:gridCol w:w="1982"/>
        <w:gridCol w:w="1982"/>
        <w:gridCol w:w="1982"/>
      </w:tblGrid>
      <w:tr w:rsidR="00F40474" w:rsidRPr="00346BA1" w:rsidTr="00FE051E">
        <w:trPr>
          <w:trHeight w:val="245"/>
          <w:jc w:val="center"/>
        </w:trPr>
        <w:tc>
          <w:tcPr>
            <w:tcW w:w="5946" w:type="dxa"/>
            <w:gridSpan w:val="3"/>
          </w:tcPr>
          <w:p w:rsidR="00F40474" w:rsidRPr="00346BA1" w:rsidRDefault="00096B93" w:rsidP="00900F2C">
            <w:pPr>
              <w:rPr>
                <w:sz w:val="16"/>
                <w:szCs w:val="16"/>
              </w:rPr>
            </w:pPr>
            <w:r>
              <w:rPr>
                <w:sz w:val="16"/>
                <w:szCs w:val="16"/>
              </w:rPr>
              <w:t>Change in t</w:t>
            </w:r>
            <w:r w:rsidR="00F40474">
              <w:rPr>
                <w:sz w:val="16"/>
                <w:szCs w:val="16"/>
              </w:rPr>
              <w:t>otal hip BMD</w:t>
            </w:r>
            <w:r w:rsidR="005F46D1">
              <w:rPr>
                <w:sz w:val="16"/>
                <w:szCs w:val="16"/>
              </w:rPr>
              <w:t xml:space="preserve"> mg/cm</w:t>
            </w:r>
            <w:r w:rsidR="005F46D1">
              <w:rPr>
                <w:sz w:val="16"/>
                <w:szCs w:val="16"/>
                <w:vertAlign w:val="superscript"/>
              </w:rPr>
              <w:t>2</w:t>
            </w:r>
          </w:p>
        </w:tc>
      </w:tr>
      <w:tr w:rsidR="003246F6" w:rsidRPr="00346BA1" w:rsidTr="003246F6">
        <w:trPr>
          <w:trHeight w:val="245"/>
          <w:jc w:val="center"/>
        </w:trPr>
        <w:tc>
          <w:tcPr>
            <w:tcW w:w="1982" w:type="dxa"/>
          </w:tcPr>
          <w:p w:rsidR="003246F6" w:rsidRDefault="003246F6" w:rsidP="00900F2C">
            <w:pPr>
              <w:rPr>
                <w:sz w:val="16"/>
                <w:szCs w:val="16"/>
              </w:rPr>
            </w:pPr>
          </w:p>
        </w:tc>
        <w:tc>
          <w:tcPr>
            <w:tcW w:w="1982" w:type="dxa"/>
          </w:tcPr>
          <w:p w:rsidR="003246F6" w:rsidRPr="00346BA1" w:rsidRDefault="003246F6" w:rsidP="00900F2C">
            <w:pPr>
              <w:rPr>
                <w:sz w:val="16"/>
                <w:szCs w:val="16"/>
              </w:rPr>
            </w:pPr>
            <w:r w:rsidRPr="00346BA1">
              <w:rPr>
                <w:sz w:val="16"/>
                <w:szCs w:val="16"/>
              </w:rPr>
              <w:t>BMD</w:t>
            </w:r>
          </w:p>
        </w:tc>
        <w:tc>
          <w:tcPr>
            <w:tcW w:w="1982" w:type="dxa"/>
          </w:tcPr>
          <w:p w:rsidR="003246F6" w:rsidRPr="00346BA1" w:rsidRDefault="003246F6" w:rsidP="00900F2C">
            <w:pPr>
              <w:rPr>
                <w:sz w:val="16"/>
                <w:szCs w:val="16"/>
              </w:rPr>
            </w:pPr>
            <w:r w:rsidRPr="00346BA1">
              <w:rPr>
                <w:sz w:val="16"/>
                <w:szCs w:val="16"/>
              </w:rPr>
              <w:t>95% confidence</w:t>
            </w:r>
            <w:r>
              <w:rPr>
                <w:sz w:val="16"/>
                <w:szCs w:val="16"/>
              </w:rPr>
              <w:t xml:space="preserve"> interval</w:t>
            </w:r>
          </w:p>
        </w:tc>
      </w:tr>
      <w:tr w:rsidR="003246F6" w:rsidRPr="00346BA1" w:rsidTr="003246F6">
        <w:trPr>
          <w:trHeight w:val="245"/>
          <w:jc w:val="center"/>
        </w:trPr>
        <w:tc>
          <w:tcPr>
            <w:tcW w:w="1982" w:type="dxa"/>
          </w:tcPr>
          <w:p w:rsidR="003246F6" w:rsidRPr="00346BA1" w:rsidRDefault="003246F6" w:rsidP="00900F2C">
            <w:pPr>
              <w:rPr>
                <w:sz w:val="16"/>
                <w:szCs w:val="16"/>
              </w:rPr>
            </w:pPr>
            <w:r w:rsidRPr="00346BA1">
              <w:rPr>
                <w:sz w:val="16"/>
                <w:szCs w:val="16"/>
              </w:rPr>
              <w:t>Bone balance</w:t>
            </w:r>
            <w:r>
              <w:rPr>
                <w:sz w:val="16"/>
                <w:szCs w:val="16"/>
              </w:rPr>
              <w:t>*</w:t>
            </w:r>
          </w:p>
        </w:tc>
        <w:tc>
          <w:tcPr>
            <w:tcW w:w="1982" w:type="dxa"/>
          </w:tcPr>
          <w:p w:rsidR="003246F6" w:rsidRDefault="003246F6" w:rsidP="00900F2C">
            <w:pPr>
              <w:rPr>
                <w:sz w:val="16"/>
                <w:szCs w:val="16"/>
              </w:rPr>
            </w:pPr>
            <w:r>
              <w:rPr>
                <w:sz w:val="16"/>
                <w:szCs w:val="16"/>
              </w:rPr>
              <w:t>3.78</w:t>
            </w:r>
          </w:p>
        </w:tc>
        <w:tc>
          <w:tcPr>
            <w:tcW w:w="1982" w:type="dxa"/>
          </w:tcPr>
          <w:p w:rsidR="003246F6" w:rsidRDefault="003246F6" w:rsidP="00900F2C">
            <w:pPr>
              <w:rPr>
                <w:sz w:val="16"/>
                <w:szCs w:val="16"/>
              </w:rPr>
            </w:pPr>
            <w:r>
              <w:rPr>
                <w:sz w:val="16"/>
                <w:szCs w:val="16"/>
              </w:rPr>
              <w:t>0.11 to 7.44</w:t>
            </w:r>
          </w:p>
        </w:tc>
      </w:tr>
      <w:tr w:rsidR="003246F6" w:rsidRPr="00346BA1" w:rsidTr="003246F6">
        <w:trPr>
          <w:trHeight w:val="245"/>
          <w:jc w:val="center"/>
        </w:trPr>
        <w:tc>
          <w:tcPr>
            <w:tcW w:w="1982" w:type="dxa"/>
          </w:tcPr>
          <w:p w:rsidR="003246F6" w:rsidRPr="00346BA1" w:rsidRDefault="003246F6" w:rsidP="00900F2C">
            <w:pPr>
              <w:rPr>
                <w:sz w:val="16"/>
                <w:szCs w:val="16"/>
              </w:rPr>
            </w:pPr>
            <w:r w:rsidRPr="00346BA1">
              <w:rPr>
                <w:sz w:val="16"/>
                <w:szCs w:val="16"/>
              </w:rPr>
              <w:t>Bone turnover</w:t>
            </w:r>
          </w:p>
        </w:tc>
        <w:tc>
          <w:tcPr>
            <w:tcW w:w="1982" w:type="dxa"/>
          </w:tcPr>
          <w:p w:rsidR="003246F6" w:rsidRDefault="003246F6" w:rsidP="00900F2C">
            <w:pPr>
              <w:rPr>
                <w:sz w:val="16"/>
                <w:szCs w:val="16"/>
              </w:rPr>
            </w:pPr>
            <w:r>
              <w:rPr>
                <w:sz w:val="16"/>
                <w:szCs w:val="16"/>
              </w:rPr>
              <w:t>-2.73</w:t>
            </w:r>
          </w:p>
        </w:tc>
        <w:tc>
          <w:tcPr>
            <w:tcW w:w="1982" w:type="dxa"/>
          </w:tcPr>
          <w:p w:rsidR="003246F6" w:rsidRDefault="003246F6" w:rsidP="00900F2C">
            <w:pPr>
              <w:rPr>
                <w:sz w:val="16"/>
                <w:szCs w:val="16"/>
              </w:rPr>
            </w:pPr>
            <w:r>
              <w:rPr>
                <w:sz w:val="16"/>
                <w:szCs w:val="16"/>
              </w:rPr>
              <w:t>-6.42 to 0.97</w:t>
            </w:r>
          </w:p>
        </w:tc>
      </w:tr>
      <w:tr w:rsidR="003246F6" w:rsidRPr="00346BA1" w:rsidTr="003246F6">
        <w:trPr>
          <w:trHeight w:val="245"/>
          <w:jc w:val="center"/>
        </w:trPr>
        <w:tc>
          <w:tcPr>
            <w:tcW w:w="1982" w:type="dxa"/>
          </w:tcPr>
          <w:p w:rsidR="003246F6" w:rsidRPr="00346BA1" w:rsidRDefault="003246F6" w:rsidP="00900F2C">
            <w:pPr>
              <w:rPr>
                <w:sz w:val="16"/>
                <w:szCs w:val="16"/>
              </w:rPr>
            </w:pPr>
            <w:r w:rsidRPr="00346BA1">
              <w:rPr>
                <w:sz w:val="16"/>
                <w:szCs w:val="16"/>
              </w:rPr>
              <w:t>PINP ng/ml</w:t>
            </w:r>
          </w:p>
        </w:tc>
        <w:tc>
          <w:tcPr>
            <w:tcW w:w="1982" w:type="dxa"/>
          </w:tcPr>
          <w:p w:rsidR="003246F6" w:rsidRDefault="003246F6" w:rsidP="00900F2C">
            <w:pPr>
              <w:rPr>
                <w:sz w:val="16"/>
                <w:szCs w:val="16"/>
              </w:rPr>
            </w:pPr>
            <w:r>
              <w:rPr>
                <w:sz w:val="16"/>
                <w:szCs w:val="16"/>
              </w:rPr>
              <w:t>-0.53</w:t>
            </w:r>
          </w:p>
        </w:tc>
        <w:tc>
          <w:tcPr>
            <w:tcW w:w="1982" w:type="dxa"/>
          </w:tcPr>
          <w:p w:rsidR="003246F6" w:rsidRDefault="003246F6" w:rsidP="00900F2C">
            <w:pPr>
              <w:rPr>
                <w:sz w:val="16"/>
                <w:szCs w:val="16"/>
              </w:rPr>
            </w:pPr>
            <w:r>
              <w:rPr>
                <w:sz w:val="16"/>
                <w:szCs w:val="16"/>
              </w:rPr>
              <w:t>-4.17 to 3.11</w:t>
            </w:r>
          </w:p>
        </w:tc>
      </w:tr>
      <w:tr w:rsidR="003246F6" w:rsidRPr="00346BA1" w:rsidTr="003246F6">
        <w:trPr>
          <w:trHeight w:val="245"/>
          <w:jc w:val="center"/>
        </w:trPr>
        <w:tc>
          <w:tcPr>
            <w:tcW w:w="1982" w:type="dxa"/>
          </w:tcPr>
          <w:p w:rsidR="003246F6" w:rsidRPr="00346BA1" w:rsidRDefault="003246F6" w:rsidP="00900F2C">
            <w:pPr>
              <w:rPr>
                <w:sz w:val="16"/>
                <w:szCs w:val="16"/>
              </w:rPr>
            </w:pPr>
            <w:r w:rsidRPr="00346BA1">
              <w:rPr>
                <w:sz w:val="16"/>
                <w:szCs w:val="16"/>
              </w:rPr>
              <w:t>CTX ng/ml</w:t>
            </w:r>
            <w:r>
              <w:rPr>
                <w:sz w:val="16"/>
                <w:szCs w:val="16"/>
              </w:rPr>
              <w:t>*</w:t>
            </w:r>
          </w:p>
        </w:tc>
        <w:tc>
          <w:tcPr>
            <w:tcW w:w="1982" w:type="dxa"/>
          </w:tcPr>
          <w:p w:rsidR="003246F6" w:rsidRDefault="003246F6" w:rsidP="00900F2C">
            <w:pPr>
              <w:rPr>
                <w:sz w:val="16"/>
                <w:szCs w:val="16"/>
              </w:rPr>
            </w:pPr>
            <w:r>
              <w:rPr>
                <w:sz w:val="16"/>
                <w:szCs w:val="16"/>
              </w:rPr>
              <w:t>-3.80</w:t>
            </w:r>
          </w:p>
        </w:tc>
        <w:tc>
          <w:tcPr>
            <w:tcW w:w="1982" w:type="dxa"/>
          </w:tcPr>
          <w:p w:rsidR="003246F6" w:rsidRDefault="003246F6" w:rsidP="00900F2C">
            <w:pPr>
              <w:rPr>
                <w:sz w:val="16"/>
                <w:szCs w:val="16"/>
              </w:rPr>
            </w:pPr>
            <w:r>
              <w:rPr>
                <w:sz w:val="16"/>
                <w:szCs w:val="16"/>
              </w:rPr>
              <w:t>-7.51 to -0.09</w:t>
            </w:r>
          </w:p>
        </w:tc>
      </w:tr>
    </w:tbl>
    <w:p w:rsidR="00D7722E" w:rsidRPr="008234A5" w:rsidRDefault="008234A5" w:rsidP="00844C20">
      <w:pPr>
        <w:jc w:val="both"/>
        <w:rPr>
          <w:rFonts w:ascii="Arial" w:hAnsi="Arial" w:cs="Arial"/>
          <w:sz w:val="16"/>
          <w:szCs w:val="16"/>
        </w:rPr>
      </w:pPr>
      <w:r w:rsidRPr="00D16600">
        <w:rPr>
          <w:rFonts w:ascii="Arial" w:hAnsi="Arial" w:cs="Arial"/>
          <w:sz w:val="16"/>
          <w:szCs w:val="16"/>
        </w:rPr>
        <w:t>Significance *P&lt;0.5, **P&lt;0.01 and ***P&lt;0.001</w:t>
      </w:r>
      <w:r w:rsidR="002D63DC">
        <w:rPr>
          <w:rFonts w:ascii="Arial" w:hAnsi="Arial" w:cs="Arial"/>
          <w:sz w:val="16"/>
          <w:szCs w:val="16"/>
        </w:rPr>
        <w:t xml:space="preserve"> </w:t>
      </w:r>
    </w:p>
    <w:p w:rsidR="001C3434" w:rsidRDefault="00052B0B" w:rsidP="00844C20">
      <w:pPr>
        <w:pStyle w:val="Heading3"/>
        <w:jc w:val="both"/>
      </w:pPr>
      <w:bookmarkStart w:id="150" w:name="_Toc425418933"/>
      <w:r>
        <w:t>Bone balance, bone turnover and fracture risk</w:t>
      </w:r>
      <w:r w:rsidR="00D7722E">
        <w:t xml:space="preserve"> assessment</w:t>
      </w:r>
      <w:bookmarkEnd w:id="150"/>
    </w:p>
    <w:p w:rsidR="00472CA5" w:rsidRPr="00C64C31" w:rsidRDefault="00472CA5" w:rsidP="00844C20">
      <w:pPr>
        <w:spacing w:line="360" w:lineRule="auto"/>
        <w:jc w:val="both"/>
        <w:rPr>
          <w:rFonts w:ascii="Arial" w:hAnsi="Arial" w:cs="Arial"/>
        </w:rPr>
      </w:pPr>
      <w:r w:rsidRPr="00C64C31">
        <w:rPr>
          <w:rFonts w:ascii="Arial" w:hAnsi="Arial" w:cs="Arial"/>
        </w:rPr>
        <w:t xml:space="preserve">A multivariable </w:t>
      </w:r>
      <w:r w:rsidR="00C64C31" w:rsidRPr="00C64C31">
        <w:rPr>
          <w:rFonts w:ascii="Arial" w:hAnsi="Arial" w:cs="Arial"/>
        </w:rPr>
        <w:t>analysis</w:t>
      </w:r>
      <w:r w:rsidRPr="00C64C31">
        <w:rPr>
          <w:rFonts w:ascii="Arial" w:hAnsi="Arial" w:cs="Arial"/>
        </w:rPr>
        <w:t xml:space="preserve"> was performed in order to assess whether it is balance and/or turnover that are more</w:t>
      </w:r>
      <w:r w:rsidR="002D63DC">
        <w:rPr>
          <w:rFonts w:ascii="Arial" w:hAnsi="Arial" w:cs="Arial"/>
        </w:rPr>
        <w:t xml:space="preserve"> related to</w:t>
      </w:r>
      <w:r w:rsidRPr="00C64C31">
        <w:rPr>
          <w:rFonts w:ascii="Arial" w:hAnsi="Arial" w:cs="Arial"/>
        </w:rPr>
        <w:t xml:space="preserve"> vertebral and non- vertebral</w:t>
      </w:r>
      <w:r w:rsidR="001B00FC">
        <w:rPr>
          <w:rFonts w:ascii="Arial" w:hAnsi="Arial" w:cs="Arial"/>
        </w:rPr>
        <w:t xml:space="preserve"> fractures, (Table 20)</w:t>
      </w:r>
      <w:r w:rsidR="00BB2C1A">
        <w:rPr>
          <w:rFonts w:ascii="Arial" w:hAnsi="Arial" w:cs="Arial"/>
        </w:rPr>
        <w:t>. This showed</w:t>
      </w:r>
      <w:r w:rsidRPr="00C64C31">
        <w:rPr>
          <w:rFonts w:ascii="Arial" w:hAnsi="Arial" w:cs="Arial"/>
        </w:rPr>
        <w:t xml:space="preserve"> that in postmenopausal women </w:t>
      </w:r>
      <w:r w:rsidR="00F82DE7">
        <w:rPr>
          <w:rFonts w:ascii="Arial" w:hAnsi="Arial" w:cs="Arial"/>
        </w:rPr>
        <w:t xml:space="preserve">a </w:t>
      </w:r>
      <w:r w:rsidR="005D0C85">
        <w:rPr>
          <w:rFonts w:ascii="Arial" w:hAnsi="Arial" w:cs="Arial"/>
        </w:rPr>
        <w:t>positive</w:t>
      </w:r>
      <w:r w:rsidRPr="00C64C31">
        <w:rPr>
          <w:rFonts w:ascii="Arial" w:hAnsi="Arial" w:cs="Arial"/>
        </w:rPr>
        <w:t xml:space="preserve"> balance between PINP and CTX </w:t>
      </w:r>
      <w:r w:rsidR="00F82DE7">
        <w:rPr>
          <w:rFonts w:ascii="Arial" w:hAnsi="Arial" w:cs="Arial"/>
        </w:rPr>
        <w:t>is significantly related to a decreased</w:t>
      </w:r>
      <w:r w:rsidRPr="00C64C31">
        <w:rPr>
          <w:rFonts w:ascii="Arial" w:hAnsi="Arial" w:cs="Arial"/>
        </w:rPr>
        <w:t xml:space="preserve"> risk</w:t>
      </w:r>
      <w:r w:rsidR="00C64C31">
        <w:rPr>
          <w:rFonts w:ascii="Arial" w:hAnsi="Arial" w:cs="Arial"/>
        </w:rPr>
        <w:t xml:space="preserve"> of vertebral fracture (0.79</w:t>
      </w:r>
      <w:r w:rsidRPr="00C64C31">
        <w:rPr>
          <w:rFonts w:ascii="Arial" w:hAnsi="Arial" w:cs="Arial"/>
        </w:rPr>
        <w:t xml:space="preserve">) </w:t>
      </w:r>
      <w:r w:rsidR="00C64C31">
        <w:rPr>
          <w:rFonts w:ascii="Arial" w:hAnsi="Arial" w:cs="Arial"/>
        </w:rPr>
        <w:t>and non-vertebral fracture (0.80</w:t>
      </w:r>
      <w:r w:rsidR="009C45F3">
        <w:rPr>
          <w:rFonts w:ascii="Arial" w:hAnsi="Arial" w:cs="Arial"/>
        </w:rPr>
        <w:t>) per unit increase, (p</w:t>
      </w:r>
      <w:r w:rsidRPr="00C64C31">
        <w:rPr>
          <w:rFonts w:ascii="Arial" w:hAnsi="Arial" w:cs="Arial"/>
        </w:rPr>
        <w:t>&lt;0.05</w:t>
      </w:r>
      <w:r w:rsidR="009C45F3">
        <w:rPr>
          <w:rFonts w:ascii="Arial" w:hAnsi="Arial" w:cs="Arial"/>
        </w:rPr>
        <w:t>)</w:t>
      </w:r>
      <w:r w:rsidR="00C64C31" w:rsidRPr="00C64C31">
        <w:rPr>
          <w:rFonts w:ascii="Arial" w:hAnsi="Arial" w:cs="Arial"/>
        </w:rPr>
        <w:t>. However</w:t>
      </w:r>
      <w:r w:rsidR="002D63DC">
        <w:rPr>
          <w:rFonts w:ascii="Arial" w:hAnsi="Arial" w:cs="Arial"/>
        </w:rPr>
        <w:t>, a high turnover was not significantly related to</w:t>
      </w:r>
      <w:r w:rsidR="00C64C31" w:rsidRPr="00C64C31">
        <w:rPr>
          <w:rFonts w:ascii="Arial" w:hAnsi="Arial" w:cs="Arial"/>
        </w:rPr>
        <w:t xml:space="preserve"> the </w:t>
      </w:r>
      <w:r w:rsidR="005761AD">
        <w:rPr>
          <w:rFonts w:ascii="Arial" w:hAnsi="Arial" w:cs="Arial"/>
        </w:rPr>
        <w:t xml:space="preserve">risk </w:t>
      </w:r>
      <w:r w:rsidRPr="00C64C31">
        <w:rPr>
          <w:rFonts w:ascii="Arial" w:hAnsi="Arial" w:cs="Arial"/>
        </w:rPr>
        <w:t>of vertebral and non-vertebral fracture.</w:t>
      </w:r>
      <w:r w:rsidR="00F40E57">
        <w:rPr>
          <w:rFonts w:ascii="Arial" w:hAnsi="Arial" w:cs="Arial"/>
        </w:rPr>
        <w:t xml:space="preserve"> High levels of PINP were si</w:t>
      </w:r>
      <w:r w:rsidR="00844C5A">
        <w:rPr>
          <w:rFonts w:ascii="Arial" w:hAnsi="Arial" w:cs="Arial"/>
        </w:rPr>
        <w:t>gnificantly related with a decreased</w:t>
      </w:r>
      <w:r w:rsidR="00F40E57">
        <w:rPr>
          <w:rFonts w:ascii="Arial" w:hAnsi="Arial" w:cs="Arial"/>
        </w:rPr>
        <w:t xml:space="preserve"> risk of non-vertebral (p&lt;0.01) and vertebral fracture</w:t>
      </w:r>
      <w:r w:rsidR="009C45F3">
        <w:rPr>
          <w:rFonts w:ascii="Arial" w:hAnsi="Arial" w:cs="Arial"/>
        </w:rPr>
        <w:t>,</w:t>
      </w:r>
      <w:r w:rsidR="00F40E57">
        <w:rPr>
          <w:rFonts w:ascii="Arial" w:hAnsi="Arial" w:cs="Arial"/>
        </w:rPr>
        <w:t xml:space="preserve"> (p&lt;0.05).</w:t>
      </w:r>
      <w:r w:rsidR="00844C5A">
        <w:rPr>
          <w:rFonts w:ascii="Arial" w:hAnsi="Arial" w:cs="Arial"/>
        </w:rPr>
        <w:t xml:space="preserve"> </w:t>
      </w:r>
    </w:p>
    <w:p w:rsidR="002A5F62" w:rsidRDefault="002A5F62" w:rsidP="00844C20">
      <w:pPr>
        <w:pStyle w:val="Caption"/>
        <w:keepNext/>
        <w:jc w:val="both"/>
      </w:pPr>
      <w:bookmarkStart w:id="151" w:name="_Toc424043694"/>
      <w:r w:rsidRPr="00951759">
        <w:rPr>
          <w:rFonts w:ascii="Arial" w:hAnsi="Arial" w:cs="Arial"/>
          <w:b w:val="0"/>
          <w:color w:val="auto"/>
        </w:rPr>
        <w:t xml:space="preserve">Table </w:t>
      </w:r>
      <w:r w:rsidRPr="00951759">
        <w:rPr>
          <w:rFonts w:ascii="Arial" w:hAnsi="Arial" w:cs="Arial"/>
          <w:b w:val="0"/>
          <w:color w:val="auto"/>
        </w:rPr>
        <w:fldChar w:fldCharType="begin"/>
      </w:r>
      <w:r w:rsidRPr="00951759">
        <w:rPr>
          <w:rFonts w:ascii="Arial" w:hAnsi="Arial" w:cs="Arial"/>
          <w:b w:val="0"/>
          <w:color w:val="auto"/>
        </w:rPr>
        <w:instrText xml:space="preserve"> SEQ Table \* ARABIC </w:instrText>
      </w:r>
      <w:r w:rsidRPr="00951759">
        <w:rPr>
          <w:rFonts w:ascii="Arial" w:hAnsi="Arial" w:cs="Arial"/>
          <w:b w:val="0"/>
          <w:color w:val="auto"/>
        </w:rPr>
        <w:fldChar w:fldCharType="separate"/>
      </w:r>
      <w:r w:rsidR="00DD116A">
        <w:rPr>
          <w:rFonts w:ascii="Arial" w:hAnsi="Arial" w:cs="Arial"/>
          <w:b w:val="0"/>
          <w:noProof/>
          <w:color w:val="auto"/>
        </w:rPr>
        <w:t>20</w:t>
      </w:r>
      <w:r w:rsidRPr="00951759">
        <w:rPr>
          <w:rFonts w:ascii="Arial" w:hAnsi="Arial" w:cs="Arial"/>
          <w:b w:val="0"/>
          <w:color w:val="auto"/>
        </w:rPr>
        <w:fldChar w:fldCharType="end"/>
      </w:r>
      <w:r w:rsidRPr="00951759">
        <w:rPr>
          <w:rFonts w:ascii="Arial" w:hAnsi="Arial" w:cs="Arial"/>
          <w:b w:val="0"/>
          <w:color w:val="auto"/>
        </w:rPr>
        <w:t xml:space="preserve">: Multivariable analyses showing the relationship between bone balance and bone turnover in the same </w:t>
      </w:r>
      <w:r>
        <w:rPr>
          <w:rFonts w:ascii="Arial" w:hAnsi="Arial" w:cs="Arial"/>
          <w:b w:val="0"/>
          <w:color w:val="auto"/>
        </w:rPr>
        <w:t>model and the relative risk of vertebral and non-vertebral fracture in</w:t>
      </w:r>
      <w:r w:rsidR="00FC525E">
        <w:rPr>
          <w:rFonts w:ascii="Arial" w:hAnsi="Arial" w:cs="Arial"/>
          <w:b w:val="0"/>
          <w:color w:val="auto"/>
        </w:rPr>
        <w:t xml:space="preserve"> 745</w:t>
      </w:r>
      <w:r>
        <w:rPr>
          <w:rFonts w:ascii="Arial" w:hAnsi="Arial" w:cs="Arial"/>
          <w:b w:val="0"/>
          <w:color w:val="auto"/>
        </w:rPr>
        <w:t xml:space="preserve"> postmenopausal women</w:t>
      </w:r>
      <w:bookmarkEnd w:id="151"/>
    </w:p>
    <w:tbl>
      <w:tblPr>
        <w:tblStyle w:val="TableGrid"/>
        <w:tblW w:w="0" w:type="auto"/>
        <w:jc w:val="center"/>
        <w:tblLook w:val="04A0" w:firstRow="1" w:lastRow="0" w:firstColumn="1" w:lastColumn="0" w:noHBand="0" w:noVBand="1"/>
      </w:tblPr>
      <w:tblGrid>
        <w:gridCol w:w="1848"/>
        <w:gridCol w:w="1848"/>
        <w:gridCol w:w="1848"/>
      </w:tblGrid>
      <w:tr w:rsidR="006B0ECE" w:rsidRPr="00346BA1" w:rsidTr="004409D1">
        <w:trPr>
          <w:jc w:val="center"/>
        </w:trPr>
        <w:tc>
          <w:tcPr>
            <w:tcW w:w="1848" w:type="dxa"/>
            <w:vMerge w:val="restart"/>
          </w:tcPr>
          <w:p w:rsidR="006B0ECE" w:rsidRPr="00346BA1" w:rsidRDefault="006B0ECE" w:rsidP="00900F2C">
            <w:pPr>
              <w:rPr>
                <w:sz w:val="16"/>
                <w:szCs w:val="16"/>
              </w:rPr>
            </w:pPr>
          </w:p>
        </w:tc>
        <w:tc>
          <w:tcPr>
            <w:tcW w:w="3696" w:type="dxa"/>
            <w:gridSpan w:val="2"/>
          </w:tcPr>
          <w:p w:rsidR="006B0ECE" w:rsidRPr="002A5F62" w:rsidRDefault="006B0ECE" w:rsidP="00900F2C">
            <w:pPr>
              <w:rPr>
                <w:b/>
                <w:sz w:val="16"/>
                <w:szCs w:val="16"/>
              </w:rPr>
            </w:pPr>
            <w:r w:rsidRPr="002A5F62">
              <w:rPr>
                <w:b/>
                <w:sz w:val="16"/>
                <w:szCs w:val="16"/>
              </w:rPr>
              <w:t>Non vertebral fractures</w:t>
            </w:r>
            <w:r w:rsidR="002A5F62">
              <w:rPr>
                <w:b/>
                <w:sz w:val="16"/>
                <w:szCs w:val="16"/>
              </w:rPr>
              <w:t xml:space="preserve"> (N=92)</w:t>
            </w:r>
          </w:p>
        </w:tc>
      </w:tr>
      <w:tr w:rsidR="006B0ECE" w:rsidRPr="00346BA1" w:rsidTr="004409D1">
        <w:trPr>
          <w:jc w:val="center"/>
        </w:trPr>
        <w:tc>
          <w:tcPr>
            <w:tcW w:w="1848" w:type="dxa"/>
            <w:vMerge/>
          </w:tcPr>
          <w:p w:rsidR="006B0ECE" w:rsidRPr="00346BA1" w:rsidRDefault="006B0ECE" w:rsidP="00900F2C">
            <w:pPr>
              <w:rPr>
                <w:sz w:val="16"/>
                <w:szCs w:val="16"/>
              </w:rPr>
            </w:pPr>
          </w:p>
        </w:tc>
        <w:tc>
          <w:tcPr>
            <w:tcW w:w="1848" w:type="dxa"/>
          </w:tcPr>
          <w:p w:rsidR="006B0ECE" w:rsidRPr="00346BA1" w:rsidRDefault="006B0ECE" w:rsidP="00900F2C">
            <w:pPr>
              <w:rPr>
                <w:sz w:val="16"/>
                <w:szCs w:val="16"/>
              </w:rPr>
            </w:pPr>
            <w:r>
              <w:rPr>
                <w:sz w:val="16"/>
                <w:szCs w:val="16"/>
              </w:rPr>
              <w:t>Relative risk</w:t>
            </w:r>
          </w:p>
        </w:tc>
        <w:tc>
          <w:tcPr>
            <w:tcW w:w="1848" w:type="dxa"/>
          </w:tcPr>
          <w:p w:rsidR="006B0ECE" w:rsidRPr="00346BA1" w:rsidRDefault="006B0ECE" w:rsidP="00900F2C">
            <w:pPr>
              <w:rPr>
                <w:sz w:val="16"/>
                <w:szCs w:val="16"/>
              </w:rPr>
            </w:pPr>
            <w:r w:rsidRPr="00346BA1">
              <w:rPr>
                <w:sz w:val="16"/>
                <w:szCs w:val="16"/>
              </w:rPr>
              <w:t>95% confidence</w:t>
            </w:r>
            <w:r>
              <w:rPr>
                <w:sz w:val="16"/>
                <w:szCs w:val="16"/>
              </w:rPr>
              <w:t xml:space="preserve"> interval</w:t>
            </w:r>
          </w:p>
        </w:tc>
      </w:tr>
      <w:tr w:rsidR="006B0ECE" w:rsidRPr="00346BA1" w:rsidTr="004409D1">
        <w:trPr>
          <w:jc w:val="center"/>
        </w:trPr>
        <w:tc>
          <w:tcPr>
            <w:tcW w:w="1848" w:type="dxa"/>
          </w:tcPr>
          <w:p w:rsidR="006B0ECE" w:rsidRPr="00346BA1" w:rsidRDefault="006B0ECE" w:rsidP="00900F2C">
            <w:pPr>
              <w:rPr>
                <w:sz w:val="16"/>
                <w:szCs w:val="16"/>
              </w:rPr>
            </w:pPr>
            <w:r w:rsidRPr="00346BA1">
              <w:rPr>
                <w:sz w:val="16"/>
                <w:szCs w:val="16"/>
              </w:rPr>
              <w:t>Bone balance</w:t>
            </w:r>
            <w:r>
              <w:rPr>
                <w:sz w:val="16"/>
                <w:szCs w:val="16"/>
              </w:rPr>
              <w:t>*</w:t>
            </w:r>
          </w:p>
        </w:tc>
        <w:tc>
          <w:tcPr>
            <w:tcW w:w="1848" w:type="dxa"/>
          </w:tcPr>
          <w:p w:rsidR="006B0ECE" w:rsidRDefault="006B0ECE" w:rsidP="00900F2C">
            <w:pPr>
              <w:rPr>
                <w:sz w:val="16"/>
                <w:szCs w:val="16"/>
              </w:rPr>
            </w:pPr>
            <w:r>
              <w:rPr>
                <w:sz w:val="16"/>
                <w:szCs w:val="16"/>
              </w:rPr>
              <w:t>0.80</w:t>
            </w:r>
          </w:p>
        </w:tc>
        <w:tc>
          <w:tcPr>
            <w:tcW w:w="1848" w:type="dxa"/>
          </w:tcPr>
          <w:p w:rsidR="006B0ECE" w:rsidRDefault="006B0ECE" w:rsidP="00900F2C">
            <w:pPr>
              <w:rPr>
                <w:sz w:val="16"/>
                <w:szCs w:val="16"/>
              </w:rPr>
            </w:pPr>
            <w:r>
              <w:rPr>
                <w:sz w:val="16"/>
                <w:szCs w:val="16"/>
              </w:rPr>
              <w:t>0.67 to 0.97</w:t>
            </w:r>
          </w:p>
        </w:tc>
      </w:tr>
      <w:tr w:rsidR="006B0ECE" w:rsidRPr="00346BA1" w:rsidTr="004409D1">
        <w:trPr>
          <w:jc w:val="center"/>
        </w:trPr>
        <w:tc>
          <w:tcPr>
            <w:tcW w:w="1848" w:type="dxa"/>
          </w:tcPr>
          <w:p w:rsidR="006B0ECE" w:rsidRPr="00346BA1" w:rsidRDefault="006B0ECE" w:rsidP="00900F2C">
            <w:pPr>
              <w:rPr>
                <w:sz w:val="16"/>
                <w:szCs w:val="16"/>
              </w:rPr>
            </w:pPr>
            <w:r w:rsidRPr="00346BA1">
              <w:rPr>
                <w:sz w:val="16"/>
                <w:szCs w:val="16"/>
              </w:rPr>
              <w:t>Bone turnover</w:t>
            </w:r>
          </w:p>
        </w:tc>
        <w:tc>
          <w:tcPr>
            <w:tcW w:w="1848" w:type="dxa"/>
          </w:tcPr>
          <w:p w:rsidR="006B0ECE" w:rsidRDefault="006B0ECE" w:rsidP="00900F2C">
            <w:pPr>
              <w:rPr>
                <w:sz w:val="16"/>
                <w:szCs w:val="16"/>
              </w:rPr>
            </w:pPr>
            <w:r>
              <w:rPr>
                <w:sz w:val="16"/>
                <w:szCs w:val="16"/>
              </w:rPr>
              <w:t>0.86</w:t>
            </w:r>
          </w:p>
        </w:tc>
        <w:tc>
          <w:tcPr>
            <w:tcW w:w="1848" w:type="dxa"/>
          </w:tcPr>
          <w:p w:rsidR="006B0ECE" w:rsidRDefault="006B0ECE" w:rsidP="00900F2C">
            <w:pPr>
              <w:rPr>
                <w:sz w:val="16"/>
                <w:szCs w:val="16"/>
              </w:rPr>
            </w:pPr>
            <w:r>
              <w:rPr>
                <w:sz w:val="16"/>
                <w:szCs w:val="16"/>
              </w:rPr>
              <w:t>0.70 to 1.06</w:t>
            </w:r>
          </w:p>
        </w:tc>
      </w:tr>
      <w:tr w:rsidR="005761AD" w:rsidRPr="00346BA1" w:rsidTr="004409D1">
        <w:trPr>
          <w:jc w:val="center"/>
        </w:trPr>
        <w:tc>
          <w:tcPr>
            <w:tcW w:w="1848" w:type="dxa"/>
          </w:tcPr>
          <w:p w:rsidR="005761AD" w:rsidRPr="00346BA1" w:rsidRDefault="005761AD" w:rsidP="00900F2C">
            <w:pPr>
              <w:rPr>
                <w:sz w:val="16"/>
                <w:szCs w:val="16"/>
              </w:rPr>
            </w:pPr>
            <w:r>
              <w:rPr>
                <w:sz w:val="16"/>
                <w:szCs w:val="16"/>
              </w:rPr>
              <w:t>PINP ng/ml</w:t>
            </w:r>
            <w:r w:rsidR="00F40E57">
              <w:rPr>
                <w:sz w:val="16"/>
                <w:szCs w:val="16"/>
              </w:rPr>
              <w:t>**</w:t>
            </w:r>
          </w:p>
        </w:tc>
        <w:tc>
          <w:tcPr>
            <w:tcW w:w="1848" w:type="dxa"/>
          </w:tcPr>
          <w:p w:rsidR="005761AD" w:rsidRDefault="005761AD" w:rsidP="00900F2C">
            <w:pPr>
              <w:rPr>
                <w:sz w:val="16"/>
                <w:szCs w:val="16"/>
              </w:rPr>
            </w:pPr>
            <w:r>
              <w:rPr>
                <w:sz w:val="16"/>
                <w:szCs w:val="16"/>
              </w:rPr>
              <w:t>0.77</w:t>
            </w:r>
          </w:p>
        </w:tc>
        <w:tc>
          <w:tcPr>
            <w:tcW w:w="1848" w:type="dxa"/>
          </w:tcPr>
          <w:p w:rsidR="005761AD" w:rsidRDefault="005761AD" w:rsidP="00900F2C">
            <w:pPr>
              <w:rPr>
                <w:sz w:val="16"/>
                <w:szCs w:val="16"/>
              </w:rPr>
            </w:pPr>
            <w:r>
              <w:rPr>
                <w:sz w:val="16"/>
                <w:szCs w:val="16"/>
              </w:rPr>
              <w:t>0.64 to 0.93</w:t>
            </w:r>
          </w:p>
        </w:tc>
      </w:tr>
      <w:tr w:rsidR="005761AD" w:rsidRPr="00346BA1" w:rsidTr="004409D1">
        <w:trPr>
          <w:jc w:val="center"/>
        </w:trPr>
        <w:tc>
          <w:tcPr>
            <w:tcW w:w="1848" w:type="dxa"/>
          </w:tcPr>
          <w:p w:rsidR="005761AD" w:rsidRPr="00346BA1" w:rsidRDefault="005761AD" w:rsidP="00900F2C">
            <w:pPr>
              <w:rPr>
                <w:sz w:val="16"/>
                <w:szCs w:val="16"/>
              </w:rPr>
            </w:pPr>
            <w:r>
              <w:rPr>
                <w:sz w:val="16"/>
                <w:szCs w:val="16"/>
              </w:rPr>
              <w:t>CTX ng/ml</w:t>
            </w:r>
          </w:p>
        </w:tc>
        <w:tc>
          <w:tcPr>
            <w:tcW w:w="1848" w:type="dxa"/>
          </w:tcPr>
          <w:p w:rsidR="005761AD" w:rsidRDefault="005761AD" w:rsidP="00900F2C">
            <w:pPr>
              <w:rPr>
                <w:sz w:val="16"/>
                <w:szCs w:val="16"/>
              </w:rPr>
            </w:pPr>
            <w:r>
              <w:rPr>
                <w:sz w:val="16"/>
                <w:szCs w:val="16"/>
              </w:rPr>
              <w:t>1.17</w:t>
            </w:r>
          </w:p>
        </w:tc>
        <w:tc>
          <w:tcPr>
            <w:tcW w:w="1848" w:type="dxa"/>
          </w:tcPr>
          <w:p w:rsidR="005761AD" w:rsidRDefault="005761AD" w:rsidP="00900F2C">
            <w:pPr>
              <w:rPr>
                <w:sz w:val="16"/>
                <w:szCs w:val="16"/>
              </w:rPr>
            </w:pPr>
            <w:r>
              <w:rPr>
                <w:sz w:val="16"/>
                <w:szCs w:val="16"/>
              </w:rPr>
              <w:t>0.92 to 1.48</w:t>
            </w:r>
          </w:p>
        </w:tc>
      </w:tr>
      <w:tr w:rsidR="006B0ECE" w:rsidRPr="00346BA1" w:rsidTr="004409D1">
        <w:trPr>
          <w:jc w:val="center"/>
        </w:trPr>
        <w:tc>
          <w:tcPr>
            <w:tcW w:w="1848" w:type="dxa"/>
            <w:vMerge w:val="restart"/>
          </w:tcPr>
          <w:p w:rsidR="006B0ECE" w:rsidRDefault="006B0ECE" w:rsidP="00900F2C">
            <w:pPr>
              <w:rPr>
                <w:sz w:val="16"/>
                <w:szCs w:val="16"/>
              </w:rPr>
            </w:pPr>
          </w:p>
        </w:tc>
        <w:tc>
          <w:tcPr>
            <w:tcW w:w="3696" w:type="dxa"/>
            <w:gridSpan w:val="2"/>
          </w:tcPr>
          <w:p w:rsidR="006B0ECE" w:rsidRPr="002A5F62" w:rsidRDefault="006B0ECE" w:rsidP="00900F2C">
            <w:pPr>
              <w:rPr>
                <w:b/>
                <w:sz w:val="16"/>
                <w:szCs w:val="16"/>
              </w:rPr>
            </w:pPr>
            <w:r w:rsidRPr="002A5F62">
              <w:rPr>
                <w:b/>
                <w:sz w:val="16"/>
                <w:szCs w:val="16"/>
              </w:rPr>
              <w:t>Vertebral fractures</w:t>
            </w:r>
            <w:r w:rsidR="00951759">
              <w:rPr>
                <w:b/>
                <w:sz w:val="16"/>
                <w:szCs w:val="16"/>
              </w:rPr>
              <w:t xml:space="preserve"> (N=23)</w:t>
            </w:r>
          </w:p>
        </w:tc>
      </w:tr>
      <w:tr w:rsidR="006B0ECE" w:rsidRPr="00346BA1" w:rsidTr="004409D1">
        <w:trPr>
          <w:jc w:val="center"/>
        </w:trPr>
        <w:tc>
          <w:tcPr>
            <w:tcW w:w="1848" w:type="dxa"/>
            <w:vMerge/>
          </w:tcPr>
          <w:p w:rsidR="006B0ECE" w:rsidRDefault="006B0ECE" w:rsidP="00900F2C">
            <w:pPr>
              <w:rPr>
                <w:sz w:val="16"/>
                <w:szCs w:val="16"/>
              </w:rPr>
            </w:pPr>
          </w:p>
        </w:tc>
        <w:tc>
          <w:tcPr>
            <w:tcW w:w="1848" w:type="dxa"/>
          </w:tcPr>
          <w:p w:rsidR="006B0ECE" w:rsidRPr="00346BA1" w:rsidRDefault="006B0ECE" w:rsidP="00900F2C">
            <w:pPr>
              <w:rPr>
                <w:sz w:val="16"/>
                <w:szCs w:val="16"/>
              </w:rPr>
            </w:pPr>
            <w:r>
              <w:rPr>
                <w:sz w:val="16"/>
                <w:szCs w:val="16"/>
              </w:rPr>
              <w:t>Relative risk</w:t>
            </w:r>
          </w:p>
        </w:tc>
        <w:tc>
          <w:tcPr>
            <w:tcW w:w="1848" w:type="dxa"/>
          </w:tcPr>
          <w:p w:rsidR="006B0ECE" w:rsidRPr="00346BA1" w:rsidRDefault="006B0ECE" w:rsidP="00900F2C">
            <w:pPr>
              <w:rPr>
                <w:sz w:val="16"/>
                <w:szCs w:val="16"/>
              </w:rPr>
            </w:pPr>
            <w:r w:rsidRPr="00346BA1">
              <w:rPr>
                <w:sz w:val="16"/>
                <w:szCs w:val="16"/>
              </w:rPr>
              <w:t>95% confidence</w:t>
            </w:r>
            <w:r>
              <w:rPr>
                <w:sz w:val="16"/>
                <w:szCs w:val="16"/>
              </w:rPr>
              <w:t xml:space="preserve"> interval</w:t>
            </w:r>
          </w:p>
        </w:tc>
      </w:tr>
      <w:tr w:rsidR="006B0ECE" w:rsidRPr="00346BA1" w:rsidTr="004409D1">
        <w:trPr>
          <w:jc w:val="center"/>
        </w:trPr>
        <w:tc>
          <w:tcPr>
            <w:tcW w:w="1848" w:type="dxa"/>
          </w:tcPr>
          <w:p w:rsidR="006B0ECE" w:rsidRPr="00346BA1" w:rsidRDefault="006B0ECE" w:rsidP="00900F2C">
            <w:pPr>
              <w:rPr>
                <w:sz w:val="16"/>
                <w:szCs w:val="16"/>
              </w:rPr>
            </w:pPr>
            <w:r w:rsidRPr="00346BA1">
              <w:rPr>
                <w:sz w:val="16"/>
                <w:szCs w:val="16"/>
              </w:rPr>
              <w:t>Bone balance</w:t>
            </w:r>
            <w:r>
              <w:rPr>
                <w:sz w:val="16"/>
                <w:szCs w:val="16"/>
              </w:rPr>
              <w:t>*</w:t>
            </w:r>
          </w:p>
        </w:tc>
        <w:tc>
          <w:tcPr>
            <w:tcW w:w="1848" w:type="dxa"/>
          </w:tcPr>
          <w:p w:rsidR="006B0ECE" w:rsidRDefault="006B0ECE" w:rsidP="00900F2C">
            <w:pPr>
              <w:rPr>
                <w:sz w:val="16"/>
                <w:szCs w:val="16"/>
              </w:rPr>
            </w:pPr>
            <w:r>
              <w:rPr>
                <w:sz w:val="16"/>
                <w:szCs w:val="16"/>
              </w:rPr>
              <w:t>0.79</w:t>
            </w:r>
          </w:p>
        </w:tc>
        <w:tc>
          <w:tcPr>
            <w:tcW w:w="1848" w:type="dxa"/>
          </w:tcPr>
          <w:p w:rsidR="006B0ECE" w:rsidRDefault="006B0ECE" w:rsidP="00900F2C">
            <w:pPr>
              <w:rPr>
                <w:sz w:val="16"/>
                <w:szCs w:val="16"/>
              </w:rPr>
            </w:pPr>
            <w:r>
              <w:rPr>
                <w:sz w:val="16"/>
                <w:szCs w:val="16"/>
              </w:rPr>
              <w:t>0.63 to 0.98</w:t>
            </w:r>
          </w:p>
        </w:tc>
      </w:tr>
      <w:tr w:rsidR="006B0ECE" w:rsidRPr="00346BA1" w:rsidTr="004409D1">
        <w:trPr>
          <w:jc w:val="center"/>
        </w:trPr>
        <w:tc>
          <w:tcPr>
            <w:tcW w:w="1848" w:type="dxa"/>
          </w:tcPr>
          <w:p w:rsidR="006B0ECE" w:rsidRPr="00346BA1" w:rsidRDefault="006B0ECE" w:rsidP="00900F2C">
            <w:pPr>
              <w:rPr>
                <w:sz w:val="16"/>
                <w:szCs w:val="16"/>
              </w:rPr>
            </w:pPr>
            <w:r w:rsidRPr="00346BA1">
              <w:rPr>
                <w:sz w:val="16"/>
                <w:szCs w:val="16"/>
              </w:rPr>
              <w:t>Bone turnover</w:t>
            </w:r>
          </w:p>
        </w:tc>
        <w:tc>
          <w:tcPr>
            <w:tcW w:w="1848" w:type="dxa"/>
          </w:tcPr>
          <w:p w:rsidR="006B0ECE" w:rsidRDefault="002A5F62" w:rsidP="00900F2C">
            <w:pPr>
              <w:rPr>
                <w:sz w:val="16"/>
                <w:szCs w:val="16"/>
              </w:rPr>
            </w:pPr>
            <w:r>
              <w:rPr>
                <w:sz w:val="16"/>
                <w:szCs w:val="16"/>
              </w:rPr>
              <w:t>0.85</w:t>
            </w:r>
          </w:p>
        </w:tc>
        <w:tc>
          <w:tcPr>
            <w:tcW w:w="1848" w:type="dxa"/>
          </w:tcPr>
          <w:p w:rsidR="006B0ECE" w:rsidRDefault="002A5F62" w:rsidP="00900F2C">
            <w:pPr>
              <w:rPr>
                <w:sz w:val="16"/>
                <w:szCs w:val="16"/>
              </w:rPr>
            </w:pPr>
            <w:r>
              <w:rPr>
                <w:sz w:val="16"/>
                <w:szCs w:val="16"/>
              </w:rPr>
              <w:t>0.64 to 1.13</w:t>
            </w:r>
          </w:p>
        </w:tc>
      </w:tr>
      <w:tr w:rsidR="005761AD" w:rsidRPr="00346BA1" w:rsidTr="004409D1">
        <w:trPr>
          <w:jc w:val="center"/>
        </w:trPr>
        <w:tc>
          <w:tcPr>
            <w:tcW w:w="1848" w:type="dxa"/>
          </w:tcPr>
          <w:p w:rsidR="005761AD" w:rsidRPr="00346BA1" w:rsidRDefault="005761AD" w:rsidP="00900F2C">
            <w:pPr>
              <w:rPr>
                <w:sz w:val="16"/>
                <w:szCs w:val="16"/>
              </w:rPr>
            </w:pPr>
            <w:r>
              <w:rPr>
                <w:sz w:val="16"/>
                <w:szCs w:val="16"/>
              </w:rPr>
              <w:t>PINP ng/ml</w:t>
            </w:r>
            <w:r w:rsidR="00F40E57">
              <w:rPr>
                <w:sz w:val="16"/>
                <w:szCs w:val="16"/>
              </w:rPr>
              <w:t>*</w:t>
            </w:r>
          </w:p>
        </w:tc>
        <w:tc>
          <w:tcPr>
            <w:tcW w:w="1848" w:type="dxa"/>
          </w:tcPr>
          <w:p w:rsidR="005761AD" w:rsidRDefault="005761AD" w:rsidP="00900F2C">
            <w:pPr>
              <w:rPr>
                <w:sz w:val="16"/>
                <w:szCs w:val="16"/>
              </w:rPr>
            </w:pPr>
            <w:r>
              <w:rPr>
                <w:sz w:val="16"/>
                <w:szCs w:val="16"/>
              </w:rPr>
              <w:t>0.76</w:t>
            </w:r>
          </w:p>
        </w:tc>
        <w:tc>
          <w:tcPr>
            <w:tcW w:w="1848" w:type="dxa"/>
          </w:tcPr>
          <w:p w:rsidR="005761AD" w:rsidRDefault="005761AD" w:rsidP="00900F2C">
            <w:pPr>
              <w:rPr>
                <w:sz w:val="16"/>
                <w:szCs w:val="16"/>
              </w:rPr>
            </w:pPr>
            <w:r>
              <w:rPr>
                <w:sz w:val="16"/>
                <w:szCs w:val="16"/>
              </w:rPr>
              <w:t>0.60 to 0.96</w:t>
            </w:r>
          </w:p>
        </w:tc>
      </w:tr>
      <w:tr w:rsidR="005761AD" w:rsidRPr="00346BA1" w:rsidTr="004409D1">
        <w:trPr>
          <w:jc w:val="center"/>
        </w:trPr>
        <w:tc>
          <w:tcPr>
            <w:tcW w:w="1848" w:type="dxa"/>
          </w:tcPr>
          <w:p w:rsidR="005761AD" w:rsidRDefault="005761AD" w:rsidP="00900F2C">
            <w:pPr>
              <w:rPr>
                <w:sz w:val="16"/>
                <w:szCs w:val="16"/>
              </w:rPr>
            </w:pPr>
            <w:r>
              <w:rPr>
                <w:sz w:val="16"/>
                <w:szCs w:val="16"/>
              </w:rPr>
              <w:t>CTX ng/ml</w:t>
            </w:r>
          </w:p>
        </w:tc>
        <w:tc>
          <w:tcPr>
            <w:tcW w:w="1848" w:type="dxa"/>
          </w:tcPr>
          <w:p w:rsidR="005761AD" w:rsidRDefault="005761AD" w:rsidP="00900F2C">
            <w:pPr>
              <w:rPr>
                <w:sz w:val="16"/>
                <w:szCs w:val="16"/>
              </w:rPr>
            </w:pPr>
            <w:r>
              <w:rPr>
                <w:sz w:val="16"/>
                <w:szCs w:val="16"/>
              </w:rPr>
              <w:t>1.18</w:t>
            </w:r>
          </w:p>
        </w:tc>
        <w:tc>
          <w:tcPr>
            <w:tcW w:w="1848" w:type="dxa"/>
          </w:tcPr>
          <w:p w:rsidR="005761AD" w:rsidRDefault="005761AD" w:rsidP="00900F2C">
            <w:pPr>
              <w:rPr>
                <w:sz w:val="16"/>
                <w:szCs w:val="16"/>
              </w:rPr>
            </w:pPr>
            <w:r>
              <w:rPr>
                <w:sz w:val="16"/>
                <w:szCs w:val="16"/>
              </w:rPr>
              <w:t>0.87 to 1.58</w:t>
            </w:r>
          </w:p>
        </w:tc>
      </w:tr>
    </w:tbl>
    <w:p w:rsidR="006B0ECE" w:rsidRPr="008234A5" w:rsidRDefault="008234A5" w:rsidP="00844C20">
      <w:pPr>
        <w:jc w:val="both"/>
        <w:rPr>
          <w:rFonts w:ascii="Arial" w:hAnsi="Arial" w:cs="Arial"/>
          <w:sz w:val="16"/>
          <w:szCs w:val="16"/>
        </w:rPr>
      </w:pPr>
      <w:r w:rsidRPr="00D16600">
        <w:rPr>
          <w:rFonts w:ascii="Arial" w:hAnsi="Arial" w:cs="Arial"/>
          <w:sz w:val="16"/>
          <w:szCs w:val="16"/>
        </w:rPr>
        <w:t>Significance *P&lt;0.</w:t>
      </w:r>
      <w:r w:rsidR="00472CA5">
        <w:rPr>
          <w:rFonts w:ascii="Arial" w:hAnsi="Arial" w:cs="Arial"/>
          <w:sz w:val="16"/>
          <w:szCs w:val="16"/>
        </w:rPr>
        <w:t>0</w:t>
      </w:r>
      <w:r w:rsidR="002D63DC">
        <w:rPr>
          <w:rFonts w:ascii="Arial" w:hAnsi="Arial" w:cs="Arial"/>
          <w:sz w:val="16"/>
          <w:szCs w:val="16"/>
        </w:rPr>
        <w:t xml:space="preserve">5, **P&lt;0.01 and ***P&lt;0.001. Cox regression </w:t>
      </w:r>
      <w:r w:rsidR="005508EB">
        <w:rPr>
          <w:rFonts w:ascii="Arial" w:hAnsi="Arial" w:cs="Arial"/>
          <w:sz w:val="16"/>
          <w:szCs w:val="16"/>
        </w:rPr>
        <w:t xml:space="preserve">was used to assess </w:t>
      </w:r>
      <w:r w:rsidR="002D63DC">
        <w:rPr>
          <w:rFonts w:ascii="Arial" w:hAnsi="Arial" w:cs="Arial"/>
          <w:sz w:val="16"/>
          <w:szCs w:val="16"/>
        </w:rPr>
        <w:t xml:space="preserve">non-vertebral fracture and Poisson regression </w:t>
      </w:r>
      <w:r w:rsidR="005508EB">
        <w:rPr>
          <w:rFonts w:ascii="Arial" w:hAnsi="Arial" w:cs="Arial"/>
          <w:sz w:val="16"/>
          <w:szCs w:val="16"/>
        </w:rPr>
        <w:t>was used to assess</w:t>
      </w:r>
      <w:r w:rsidR="002D63DC">
        <w:rPr>
          <w:rFonts w:ascii="Arial" w:hAnsi="Arial" w:cs="Arial"/>
          <w:sz w:val="16"/>
          <w:szCs w:val="16"/>
        </w:rPr>
        <w:t xml:space="preserve"> vertebral fracture</w:t>
      </w:r>
      <w:r w:rsidR="005508EB">
        <w:rPr>
          <w:rFonts w:ascii="Arial" w:hAnsi="Arial" w:cs="Arial"/>
          <w:sz w:val="16"/>
          <w:szCs w:val="16"/>
        </w:rPr>
        <w:t>s</w:t>
      </w:r>
      <w:r w:rsidR="002D63DC">
        <w:rPr>
          <w:rFonts w:ascii="Arial" w:hAnsi="Arial" w:cs="Arial"/>
          <w:sz w:val="16"/>
          <w:szCs w:val="16"/>
        </w:rPr>
        <w:t>.</w:t>
      </w:r>
    </w:p>
    <w:p w:rsidR="00E60503" w:rsidRDefault="00E60503" w:rsidP="00844C20">
      <w:pPr>
        <w:pStyle w:val="Heading2"/>
        <w:jc w:val="both"/>
      </w:pPr>
      <w:bookmarkStart w:id="152" w:name="_Toc425418934"/>
      <w:r>
        <w:lastRenderedPageBreak/>
        <w:t>Discussions</w:t>
      </w:r>
      <w:bookmarkEnd w:id="152"/>
    </w:p>
    <w:p w:rsidR="003D453C" w:rsidRPr="007B305F" w:rsidRDefault="007F2BAA" w:rsidP="003B725E">
      <w:pPr>
        <w:spacing w:line="360" w:lineRule="auto"/>
        <w:jc w:val="both"/>
        <w:rPr>
          <w:rFonts w:ascii="Arial" w:hAnsi="Arial" w:cs="Arial"/>
        </w:rPr>
      </w:pPr>
      <w:r w:rsidRPr="007B305F">
        <w:rPr>
          <w:rFonts w:ascii="Arial" w:hAnsi="Arial" w:cs="Arial"/>
        </w:rPr>
        <w:t xml:space="preserve">The T-score bone marker plot </w:t>
      </w:r>
      <w:r w:rsidR="009030C6" w:rsidRPr="007B305F">
        <w:rPr>
          <w:rFonts w:ascii="Arial" w:hAnsi="Arial" w:cs="Arial"/>
        </w:rPr>
        <w:t xml:space="preserve">is a novel method that can be used to assess the state bone turnover and bone balance (at the same time). Here, I have </w:t>
      </w:r>
      <w:r w:rsidRPr="007B305F">
        <w:rPr>
          <w:rFonts w:ascii="Arial" w:hAnsi="Arial" w:cs="Arial"/>
        </w:rPr>
        <w:t xml:space="preserve">used </w:t>
      </w:r>
      <w:r w:rsidR="009030C6" w:rsidRPr="007B305F">
        <w:rPr>
          <w:rFonts w:ascii="Arial" w:hAnsi="Arial" w:cs="Arial"/>
        </w:rPr>
        <w:t xml:space="preserve">it </w:t>
      </w:r>
      <w:r w:rsidRPr="007B305F">
        <w:rPr>
          <w:rFonts w:ascii="Arial" w:hAnsi="Arial" w:cs="Arial"/>
        </w:rPr>
        <w:t>to demonstrate that i</w:t>
      </w:r>
      <w:r w:rsidR="009766D2">
        <w:rPr>
          <w:rFonts w:ascii="Arial" w:hAnsi="Arial" w:cs="Arial"/>
        </w:rPr>
        <w:t>n postmenopausal women</w:t>
      </w:r>
      <w:r w:rsidR="00F742C8" w:rsidRPr="007B305F">
        <w:rPr>
          <w:rFonts w:ascii="Arial" w:hAnsi="Arial" w:cs="Arial"/>
        </w:rPr>
        <w:t xml:space="preserve"> there is a high bone </w:t>
      </w:r>
      <w:r w:rsidR="009030C6" w:rsidRPr="007B305F">
        <w:rPr>
          <w:rFonts w:ascii="Arial" w:hAnsi="Arial" w:cs="Arial"/>
        </w:rPr>
        <w:t xml:space="preserve">turnover </w:t>
      </w:r>
      <w:r w:rsidR="00960306">
        <w:rPr>
          <w:rFonts w:ascii="Arial" w:hAnsi="Arial" w:cs="Arial"/>
        </w:rPr>
        <w:t xml:space="preserve">state (as assessed by relating resorption to formation) </w:t>
      </w:r>
      <w:r w:rsidR="009030C6" w:rsidRPr="007B305F">
        <w:rPr>
          <w:rFonts w:ascii="Arial" w:hAnsi="Arial" w:cs="Arial"/>
        </w:rPr>
        <w:t xml:space="preserve">and a negative balance relative to premenopausal women. </w:t>
      </w:r>
      <w:r w:rsidR="007B305F">
        <w:rPr>
          <w:rFonts w:ascii="Arial" w:hAnsi="Arial" w:cs="Arial"/>
        </w:rPr>
        <w:t xml:space="preserve">The state of high bone turnover </w:t>
      </w:r>
      <w:r w:rsidR="00421005">
        <w:rPr>
          <w:rFonts w:ascii="Arial" w:hAnsi="Arial" w:cs="Arial"/>
        </w:rPr>
        <w:t>alone</w:t>
      </w:r>
      <w:r w:rsidR="00960306">
        <w:rPr>
          <w:rFonts w:ascii="Arial" w:hAnsi="Arial" w:cs="Arial"/>
        </w:rPr>
        <w:t xml:space="preserve"> (as assessed by individual BTMs)</w:t>
      </w:r>
      <w:r w:rsidR="00421005">
        <w:rPr>
          <w:rFonts w:ascii="Arial" w:hAnsi="Arial" w:cs="Arial"/>
        </w:rPr>
        <w:t xml:space="preserve"> is consistent with</w:t>
      </w:r>
      <w:r w:rsidR="00F163B1">
        <w:rPr>
          <w:rFonts w:ascii="Arial" w:hAnsi="Arial" w:cs="Arial"/>
        </w:rPr>
        <w:t xml:space="preserve"> others</w:t>
      </w:r>
      <w:r w:rsidR="00421005">
        <w:rPr>
          <w:rFonts w:ascii="Arial" w:hAnsi="Arial" w:cs="Arial"/>
        </w:rPr>
        <w:t xml:space="preserve"> and has been well established </w:t>
      </w:r>
      <w:r w:rsidR="00421005">
        <w:rPr>
          <w:rFonts w:ascii="Arial" w:hAnsi="Arial" w:cs="Arial"/>
        </w:rPr>
        <w:fldChar w:fldCharType="begin"/>
      </w:r>
      <w:r w:rsidR="000D155C">
        <w:rPr>
          <w:rFonts w:ascii="Arial" w:hAnsi="Arial" w:cs="Arial"/>
        </w:rPr>
        <w:instrText xml:space="preserve"> ADDIN EN.CITE &lt;EndNote&gt;&lt;Cite&gt;&lt;Author&gt;Vasikaran&lt;/Author&gt;&lt;Year&gt;2008&lt;/Year&gt;&lt;RecNum&gt;294&lt;/RecNum&gt;&lt;DisplayText&gt;(399)&lt;/DisplayText&gt;&lt;record&gt;&lt;rec-number&gt;294&lt;/rec-number&gt;&lt;foreign-keys&gt;&lt;key app="EN" db-id="p9a5ttsvyvde9me5aw2x05fp5p55axf0wr90" timestamp="1432124405"&gt;294&lt;/key&gt;&lt;/foreign-keys&gt;&lt;ref-type name="Journal Article"&gt;17&lt;/ref-type&gt;&lt;contributors&gt;&lt;authors&gt;&lt;author&gt;Vasikaran, S. D.&lt;/author&gt;&lt;/authors&gt;&lt;/contributors&gt;&lt;auth-address&gt;Department of Core Clinical Pathology and Biochemistry, PathWest Laboratory Medicine, Royal Perth Hospital, Perth, WA, Australia. Samuel.vasikaran@health.wa.gov.au&lt;/auth-address&gt;&lt;titles&gt;&lt;title&gt;Utility of biochemical markers of bone turnover and bone mineral density in management of osteoporosis&lt;/title&gt;&lt;secondary-title&gt;Crit Rev Clin Lab Sci&lt;/secondary-title&gt;&lt;/titles&gt;&lt;periodical&gt;&lt;full-title&gt;Crit Rev Clin Lab Sci&lt;/full-title&gt;&lt;/periodical&gt;&lt;pages&gt;221-58&lt;/pages&gt;&lt;volume&gt;45&lt;/volume&gt;&lt;number&gt;2&lt;/number&gt;&lt;edition&gt;2008/04/17&lt;/edition&gt;&lt;keywords&gt;&lt;keyword&gt;Animals&lt;/keyword&gt;&lt;keyword&gt;Biological Markers/ metabolism&lt;/keyword&gt;&lt;keyword&gt;Bone Density&lt;/keyword&gt;&lt;keyword&gt;Bone Resorption/ physiopathology&lt;/keyword&gt;&lt;keyword&gt;Bone and Bones/ physiopathology&lt;/keyword&gt;&lt;keyword&gt;Humans&lt;/keyword&gt;&lt;keyword&gt;Osteoporosis/diagnosis/ physiopathology/ therapy&lt;/keyword&gt;&lt;/keywords&gt;&lt;dates&gt;&lt;year&gt;2008&lt;/year&gt;&lt;/dates&gt;&lt;isbn&gt;1549-781X (Electronic)&amp;#xD;1040-8363 (Linking)&lt;/isbn&gt;&lt;accession-num&gt;18415816&lt;/accession-num&gt;&lt;urls&gt;&lt;/urls&gt;&lt;electronic-resource-num&gt;10.1080/10408360801949442&lt;/electronic-resource-num&gt;&lt;remote-database-provider&gt;NLM&lt;/remote-database-provider&gt;&lt;language&gt;eng&lt;/language&gt;&lt;/record&gt;&lt;/Cite&gt;&lt;/EndNote&gt;</w:instrText>
      </w:r>
      <w:r w:rsidR="00421005">
        <w:rPr>
          <w:rFonts w:ascii="Arial" w:hAnsi="Arial" w:cs="Arial"/>
        </w:rPr>
        <w:fldChar w:fldCharType="separate"/>
      </w:r>
      <w:r w:rsidR="000D155C">
        <w:rPr>
          <w:rFonts w:ascii="Arial" w:hAnsi="Arial" w:cs="Arial"/>
          <w:noProof/>
        </w:rPr>
        <w:t>(</w:t>
      </w:r>
      <w:hyperlink w:anchor="_ENREF_399" w:tooltip="Vasikaran, 2008 #294" w:history="1">
        <w:r w:rsidR="003B725E">
          <w:rPr>
            <w:rFonts w:ascii="Arial" w:hAnsi="Arial" w:cs="Arial"/>
            <w:noProof/>
          </w:rPr>
          <w:t>399</w:t>
        </w:r>
      </w:hyperlink>
      <w:r w:rsidR="000D155C">
        <w:rPr>
          <w:rFonts w:ascii="Arial" w:hAnsi="Arial" w:cs="Arial"/>
          <w:noProof/>
        </w:rPr>
        <w:t>)</w:t>
      </w:r>
      <w:r w:rsidR="00421005">
        <w:rPr>
          <w:rFonts w:ascii="Arial" w:hAnsi="Arial" w:cs="Arial"/>
        </w:rPr>
        <w:fldChar w:fldCharType="end"/>
      </w:r>
      <w:r w:rsidR="00421005">
        <w:rPr>
          <w:rFonts w:ascii="Arial" w:hAnsi="Arial" w:cs="Arial"/>
        </w:rPr>
        <w:t xml:space="preserve"> but not in relation to bone balance. </w:t>
      </w:r>
      <w:r w:rsidR="008823A0">
        <w:rPr>
          <w:rFonts w:ascii="Arial" w:hAnsi="Arial" w:cs="Arial"/>
        </w:rPr>
        <w:t xml:space="preserve">The negative bone balance is a result of the imbalance between bone resorption and bone formation i.e. the coupling process is disrupted </w:t>
      </w:r>
      <w:r w:rsidR="008823A0">
        <w:rPr>
          <w:rFonts w:ascii="Arial" w:hAnsi="Arial" w:cs="Arial"/>
        </w:rPr>
        <w:fldChar w:fldCharType="begin"/>
      </w:r>
      <w:r w:rsidR="000D155C">
        <w:rPr>
          <w:rFonts w:ascii="Arial" w:hAnsi="Arial" w:cs="Arial"/>
        </w:rPr>
        <w:instrText xml:space="preserve"> ADDIN EN.CITE &lt;EndNote&gt;&lt;Cite&gt;&lt;Author&gt;Nakashima&lt;/Author&gt;&lt;Year&gt;2013&lt;/Year&gt;&lt;RecNum&gt;295&lt;/RecNum&gt;&lt;DisplayText&gt;(400)&lt;/DisplayText&gt;&lt;record&gt;&lt;rec-number&gt;295&lt;/rec-number&gt;&lt;foreign-keys&gt;&lt;key app="EN" db-id="p9a5ttsvyvde9me5aw2x05fp5p55axf0wr90" timestamp="1432125087"&gt;295&lt;/key&gt;&lt;/foreign-keys&gt;&lt;ref-type name="Journal Article"&gt;17&lt;/ref-type&gt;&lt;contributors&gt;&lt;authors&gt;&lt;author&gt;Nakashima, T.&lt;/author&gt;&lt;/authors&gt;&lt;/contributors&gt;&lt;auth-address&gt;Department of Cell Signaling, Tokyo Medical and Dental University, Japan.&lt;/auth-address&gt;&lt;titles&gt;&lt;title&gt;[Regulation of bone homeostasis by bone cells]&lt;/title&gt;&lt;secondary-title&gt;Clin Calcium&lt;/secondary-title&gt;&lt;/titles&gt;&lt;periodical&gt;&lt;full-title&gt;Clin Calcium&lt;/full-title&gt;&lt;abbr-1&gt;Clinical calcium&lt;/abbr-1&gt;&lt;/periodical&gt;&lt;pages&gt;218-28&lt;/pages&gt;&lt;volume&gt;23&lt;/volume&gt;&lt;number&gt;2&lt;/number&gt;&lt;edition&gt;2013/01/29&lt;/edition&gt;&lt;keywords&gt;&lt;keyword&gt;Animals&lt;/keyword&gt;&lt;keyword&gt;Bone Remodeling/physiology&lt;/keyword&gt;&lt;keyword&gt;Bone Resorption/metabolism&lt;/keyword&gt;&lt;keyword&gt;Bone and Bones/ metabolism&lt;/keyword&gt;&lt;keyword&gt;Homeostasis/ physiology&lt;/keyword&gt;&lt;keyword&gt;Humans&lt;/keyword&gt;&lt;keyword&gt;Osteoclasts/cytology/ metabolism&lt;/keyword&gt;&lt;keyword&gt;Osteocytes/cytology/ metabolism&lt;/keyword&gt;&lt;/keywords&gt;&lt;dates&gt;&lt;year&gt;2013&lt;/year&gt;&lt;pub-dates&gt;&lt;date&gt;Feb&lt;/date&gt;&lt;/pub-dates&gt;&lt;/dates&gt;&lt;isbn&gt;0917-5857 (Print)&amp;#xD;0917-5857 (Linking)&lt;/isbn&gt;&lt;accession-num&gt;23354089&lt;/accession-num&gt;&lt;urls&gt;&lt;/urls&gt;&lt;electronic-resource-num&gt;CliCa1302218228&lt;/electronic-resource-num&gt;&lt;remote-database-provider&gt;NLM&lt;/remote-database-provider&gt;&lt;language&gt;jpn&lt;/language&gt;&lt;/record&gt;&lt;/Cite&gt;&lt;/EndNote&gt;</w:instrText>
      </w:r>
      <w:r w:rsidR="008823A0">
        <w:rPr>
          <w:rFonts w:ascii="Arial" w:hAnsi="Arial" w:cs="Arial"/>
        </w:rPr>
        <w:fldChar w:fldCharType="separate"/>
      </w:r>
      <w:r w:rsidR="000D155C">
        <w:rPr>
          <w:rFonts w:ascii="Arial" w:hAnsi="Arial" w:cs="Arial"/>
          <w:noProof/>
        </w:rPr>
        <w:t>(</w:t>
      </w:r>
      <w:hyperlink w:anchor="_ENREF_400" w:tooltip="Nakashima, 2013 #295" w:history="1">
        <w:r w:rsidR="003B725E">
          <w:rPr>
            <w:rFonts w:ascii="Arial" w:hAnsi="Arial" w:cs="Arial"/>
            <w:noProof/>
          </w:rPr>
          <w:t>400</w:t>
        </w:r>
      </w:hyperlink>
      <w:r w:rsidR="000D155C">
        <w:rPr>
          <w:rFonts w:ascii="Arial" w:hAnsi="Arial" w:cs="Arial"/>
          <w:noProof/>
        </w:rPr>
        <w:t>)</w:t>
      </w:r>
      <w:r w:rsidR="008823A0">
        <w:rPr>
          <w:rFonts w:ascii="Arial" w:hAnsi="Arial" w:cs="Arial"/>
        </w:rPr>
        <w:fldChar w:fldCharType="end"/>
      </w:r>
      <w:r w:rsidR="003D453C">
        <w:rPr>
          <w:rFonts w:ascii="Arial" w:hAnsi="Arial" w:cs="Arial"/>
        </w:rPr>
        <w:t xml:space="preserve">. </w:t>
      </w:r>
      <w:r w:rsidR="005F06B6" w:rsidRPr="007B305F">
        <w:rPr>
          <w:rFonts w:ascii="Arial" w:hAnsi="Arial" w:cs="Arial"/>
        </w:rPr>
        <w:t>Beiglemayer C et al reported similar findings</w:t>
      </w:r>
      <w:r w:rsidR="00F163B1">
        <w:rPr>
          <w:rFonts w:ascii="Arial" w:hAnsi="Arial" w:cs="Arial"/>
        </w:rPr>
        <w:t xml:space="preserve"> investigating</w:t>
      </w:r>
      <w:r w:rsidR="00BF1330">
        <w:rPr>
          <w:rFonts w:ascii="Arial" w:hAnsi="Arial" w:cs="Arial"/>
        </w:rPr>
        <w:t xml:space="preserve"> bone turnover and bone balance</w:t>
      </w:r>
      <w:r w:rsidR="005F06B6" w:rsidRPr="007B305F">
        <w:rPr>
          <w:rFonts w:ascii="Arial" w:hAnsi="Arial" w:cs="Arial"/>
        </w:rPr>
        <w:t xml:space="preserve"> in 44 postmenopausal by using the median of the BTMs in premenopausal women to normalise the distribution of the data</w:t>
      </w:r>
      <w:r w:rsidR="00C92536" w:rsidRPr="007B305F">
        <w:rPr>
          <w:rFonts w:ascii="Arial" w:hAnsi="Arial" w:cs="Arial"/>
        </w:rPr>
        <w:t xml:space="preserve"> </w:t>
      </w:r>
      <w:r w:rsidR="00C92536" w:rsidRPr="007B305F">
        <w:rPr>
          <w:rFonts w:ascii="Arial" w:hAnsi="Arial" w:cs="Arial"/>
        </w:rPr>
        <w:fldChar w:fldCharType="begin"/>
      </w:r>
      <w:r w:rsidR="000D155C">
        <w:rPr>
          <w:rFonts w:ascii="Arial" w:hAnsi="Arial" w:cs="Arial"/>
        </w:rPr>
        <w:instrText xml:space="preserve"> ADDIN EN.CITE &lt;EndNote&gt;&lt;Cite&gt;&lt;Author&gt;Bieglmayer&lt;/Author&gt;&lt;Year&gt;2009&lt;/Year&gt;&lt;RecNum&gt;194&lt;/RecNum&gt;&lt;DisplayText&gt;(396)&lt;/DisplayText&gt;&lt;record&gt;&lt;rec-number&gt;194&lt;/rec-number&gt;&lt;foreign-keys&gt;&lt;key app="EN" db-id="p9a5ttsvyvde9me5aw2x05fp5p55axf0wr90" timestamp="1417715019"&gt;194&lt;/key&gt;&lt;/foreign-keys&gt;&lt;ref-type name="Journal Article"&gt;17&lt;/ref-type&gt;&lt;contributors&gt;&lt;authors&gt;&lt;author&gt;Bieglmayer, C.&lt;/author&gt;&lt;author&gt;Kudlacek, S.&lt;/author&gt;&lt;/authors&gt;&lt;/contributors&gt;&lt;auth-address&gt;Medical University Hospital, General Hospitalof Vienna, Vienna, Austria.&lt;/auth-address&gt;&lt;titles&gt;&lt;title&gt;The bone marker plot: an innovative method to assess bone turnover in women&lt;/title&gt;&lt;secondary-title&gt;Eur J Clin Invest&lt;/secondary-title&gt;&lt;alt-title&gt;European journal of clinical investigation&lt;/alt-title&gt;&lt;/titles&gt;&lt;periodical&gt;&lt;full-title&gt;Eur J Clin Invest&lt;/full-title&gt;&lt;abbr-1&gt;European journal of clinical investigation&lt;/abbr-1&gt;&lt;/periodical&gt;&lt;alt-periodical&gt;&lt;full-title&gt;Eur J Clin Invest&lt;/full-title&gt;&lt;abbr-1&gt;European journal of clinical investigation&lt;/abbr-1&gt;&lt;/alt-periodical&gt;&lt;pages&gt;230-8&lt;/pages&gt;&lt;volume&gt;39&lt;/volume&gt;&lt;number&gt;3&lt;/number&gt;&lt;edition&gt;2009/03/06&lt;/edition&gt;&lt;keywords&gt;&lt;keyword&gt;Adult&lt;/keyword&gt;&lt;keyword&gt;Aged&lt;/keyword&gt;&lt;keyword&gt;Biological Markers/ analysis&lt;/keyword&gt;&lt;keyword&gt;Bone Density&lt;/keyword&gt;&lt;keyword&gt;Bone Resorption/ metabolism&lt;/keyword&gt;&lt;keyword&gt;Bone and Bones/ metabolism&lt;/keyword&gt;&lt;keyword&gt;Female&lt;/keyword&gt;&lt;keyword&gt;Humans&lt;/keyword&gt;&lt;keyword&gt;Middle Aged&lt;/keyword&gt;&lt;keyword&gt;Models, Theoretical&lt;/keyword&gt;&lt;keyword&gt;Perimenopause/physiology&lt;/keyword&gt;&lt;keyword&gt;Postmenopause/physiology&lt;/keyword&gt;&lt;keyword&gt;Premenopause/physiology&lt;/keyword&gt;&lt;keyword&gt;Reference Values&lt;/keyword&gt;&lt;keyword&gt;Time Factors&lt;/keyword&gt;&lt;/keywords&gt;&lt;dates&gt;&lt;year&gt;2009&lt;/year&gt;&lt;pub-dates&gt;&lt;date&gt;Mar&lt;/date&gt;&lt;/pub-dates&gt;&lt;/dates&gt;&lt;isbn&gt;1365-2362 (Electronic)&amp;#xD;0014-2972 (Linking)&lt;/isbn&gt;&lt;accession-num&gt;19260953&lt;/accession-num&gt;&lt;urls&gt;&lt;/urls&gt;&lt;electronic-resource-num&gt;10.1111/j.1365-2362.2009.02087.x&lt;/electronic-resource-num&gt;&lt;remote-database-provider&gt;NLM&lt;/remote-database-provider&gt;&lt;language&gt;eng&lt;/language&gt;&lt;/record&gt;&lt;/Cite&gt;&lt;/EndNote&gt;</w:instrText>
      </w:r>
      <w:r w:rsidR="00C92536" w:rsidRPr="007B305F">
        <w:rPr>
          <w:rFonts w:ascii="Arial" w:hAnsi="Arial" w:cs="Arial"/>
        </w:rPr>
        <w:fldChar w:fldCharType="separate"/>
      </w:r>
      <w:r w:rsidR="000D155C">
        <w:rPr>
          <w:rFonts w:ascii="Arial" w:hAnsi="Arial" w:cs="Arial"/>
          <w:noProof/>
        </w:rPr>
        <w:t>(</w:t>
      </w:r>
      <w:hyperlink w:anchor="_ENREF_396" w:tooltip="Bieglmayer, 2009 #194" w:history="1">
        <w:r w:rsidR="003B725E">
          <w:rPr>
            <w:rFonts w:ascii="Arial" w:hAnsi="Arial" w:cs="Arial"/>
            <w:noProof/>
          </w:rPr>
          <w:t>396</w:t>
        </w:r>
      </w:hyperlink>
      <w:r w:rsidR="000D155C">
        <w:rPr>
          <w:rFonts w:ascii="Arial" w:hAnsi="Arial" w:cs="Arial"/>
          <w:noProof/>
        </w:rPr>
        <w:t>)</w:t>
      </w:r>
      <w:r w:rsidR="00C92536" w:rsidRPr="007B305F">
        <w:rPr>
          <w:rFonts w:ascii="Arial" w:hAnsi="Arial" w:cs="Arial"/>
        </w:rPr>
        <w:fldChar w:fldCharType="end"/>
      </w:r>
      <w:r w:rsidR="005F06B6" w:rsidRPr="007B305F">
        <w:rPr>
          <w:rFonts w:ascii="Arial" w:hAnsi="Arial" w:cs="Arial"/>
        </w:rPr>
        <w:t xml:space="preserve">. </w:t>
      </w:r>
      <w:r w:rsidR="00E2341D" w:rsidRPr="007B305F">
        <w:rPr>
          <w:rFonts w:ascii="Arial" w:hAnsi="Arial" w:cs="Arial"/>
        </w:rPr>
        <w:t>Howeve</w:t>
      </w:r>
      <w:r w:rsidR="00C92536" w:rsidRPr="007B305F">
        <w:rPr>
          <w:rFonts w:ascii="Arial" w:hAnsi="Arial" w:cs="Arial"/>
        </w:rPr>
        <w:t>r their</w:t>
      </w:r>
      <w:r w:rsidR="00E2341D" w:rsidRPr="007B305F">
        <w:rPr>
          <w:rFonts w:ascii="Arial" w:hAnsi="Arial" w:cs="Arial"/>
        </w:rPr>
        <w:t xml:space="preserve"> method does not take in to account the skewed distribution of the BTM data and assumes</w:t>
      </w:r>
      <w:r w:rsidR="00C92536" w:rsidRPr="007B305F">
        <w:rPr>
          <w:rFonts w:ascii="Arial" w:hAnsi="Arial" w:cs="Arial"/>
        </w:rPr>
        <w:t xml:space="preserve"> </w:t>
      </w:r>
      <w:r w:rsidR="00E2341D" w:rsidRPr="007B305F">
        <w:rPr>
          <w:rFonts w:ascii="Arial" w:hAnsi="Arial" w:cs="Arial"/>
        </w:rPr>
        <w:t xml:space="preserve">normality prior to the calculation, which is unlikely to be the case. </w:t>
      </w:r>
      <w:r w:rsidR="005F06B6" w:rsidRPr="007B305F">
        <w:rPr>
          <w:rFonts w:ascii="Arial" w:hAnsi="Arial" w:cs="Arial"/>
        </w:rPr>
        <w:t>The</w:t>
      </w:r>
      <w:r w:rsidR="008823A0">
        <w:rPr>
          <w:rFonts w:ascii="Arial" w:hAnsi="Arial" w:cs="Arial"/>
        </w:rPr>
        <w:t>y demonstrated a</w:t>
      </w:r>
      <w:r w:rsidR="005F06B6" w:rsidRPr="007B305F">
        <w:rPr>
          <w:rFonts w:ascii="Arial" w:hAnsi="Arial" w:cs="Arial"/>
        </w:rPr>
        <w:t xml:space="preserve"> shift in the postmenopausal ellipse </w:t>
      </w:r>
      <w:r w:rsidR="008823A0">
        <w:rPr>
          <w:rFonts w:ascii="Arial" w:hAnsi="Arial" w:cs="Arial"/>
        </w:rPr>
        <w:t xml:space="preserve">but this </w:t>
      </w:r>
      <w:r w:rsidR="005F06B6" w:rsidRPr="007B305F">
        <w:rPr>
          <w:rFonts w:ascii="Arial" w:hAnsi="Arial" w:cs="Arial"/>
        </w:rPr>
        <w:t xml:space="preserve">was based on </w:t>
      </w:r>
      <w:r w:rsidR="00E2341D" w:rsidRPr="007B305F">
        <w:rPr>
          <w:rFonts w:ascii="Arial" w:hAnsi="Arial" w:cs="Arial"/>
        </w:rPr>
        <w:t>a visual</w:t>
      </w:r>
      <w:r w:rsidR="005F06B6" w:rsidRPr="007B305F">
        <w:rPr>
          <w:rFonts w:ascii="Arial" w:hAnsi="Arial" w:cs="Arial"/>
        </w:rPr>
        <w:t xml:space="preserve"> observation and not </w:t>
      </w:r>
      <w:r w:rsidR="00E2341D" w:rsidRPr="007B305F">
        <w:rPr>
          <w:rFonts w:ascii="Arial" w:hAnsi="Arial" w:cs="Arial"/>
        </w:rPr>
        <w:t>defined statistically.</w:t>
      </w:r>
      <w:r w:rsidR="007B305F">
        <w:rPr>
          <w:rFonts w:ascii="Arial" w:hAnsi="Arial" w:cs="Arial"/>
        </w:rPr>
        <w:t xml:space="preserve"> </w:t>
      </w:r>
    </w:p>
    <w:p w:rsidR="00E160EF" w:rsidRDefault="009D2B57" w:rsidP="003B725E">
      <w:pPr>
        <w:autoSpaceDE w:val="0"/>
        <w:autoSpaceDN w:val="0"/>
        <w:adjustRightInd w:val="0"/>
        <w:spacing w:after="0" w:line="360" w:lineRule="auto"/>
        <w:jc w:val="both"/>
        <w:rPr>
          <w:rFonts w:ascii="Arial" w:hAnsi="Arial" w:cs="Arial"/>
        </w:rPr>
      </w:pPr>
      <w:r w:rsidRPr="007B305F">
        <w:rPr>
          <w:rFonts w:ascii="Arial" w:hAnsi="Arial" w:cs="Arial"/>
        </w:rPr>
        <w:t>In relation to BMD at the total hip</w:t>
      </w:r>
      <w:r w:rsidR="00002D40" w:rsidRPr="007B305F">
        <w:rPr>
          <w:rFonts w:ascii="Arial" w:hAnsi="Arial" w:cs="Arial"/>
        </w:rPr>
        <w:t>,</w:t>
      </w:r>
      <w:r w:rsidRPr="007B305F">
        <w:rPr>
          <w:rFonts w:ascii="Arial" w:hAnsi="Arial" w:cs="Arial"/>
        </w:rPr>
        <w:t xml:space="preserve"> </w:t>
      </w:r>
      <w:r w:rsidR="009A0C46">
        <w:rPr>
          <w:rFonts w:ascii="Arial" w:hAnsi="Arial" w:cs="Arial"/>
        </w:rPr>
        <w:t xml:space="preserve">the T-score bone marker method showed that </w:t>
      </w:r>
      <w:r w:rsidR="00180483">
        <w:rPr>
          <w:rFonts w:ascii="Arial" w:hAnsi="Arial" w:cs="Arial"/>
        </w:rPr>
        <w:t>a positive bone balance was related to</w:t>
      </w:r>
      <w:r w:rsidRPr="007B305F">
        <w:rPr>
          <w:rFonts w:ascii="Arial" w:hAnsi="Arial" w:cs="Arial"/>
        </w:rPr>
        <w:t xml:space="preserve"> </w:t>
      </w:r>
      <w:r w:rsidR="00A20401">
        <w:rPr>
          <w:rFonts w:ascii="Arial" w:hAnsi="Arial" w:cs="Arial"/>
        </w:rPr>
        <w:t>increased</w:t>
      </w:r>
      <w:r w:rsidRPr="007B305F">
        <w:rPr>
          <w:rFonts w:ascii="Arial" w:hAnsi="Arial" w:cs="Arial"/>
        </w:rPr>
        <w:t xml:space="preserve"> BMD and </w:t>
      </w:r>
      <w:r w:rsidR="00180483">
        <w:rPr>
          <w:rFonts w:ascii="Arial" w:hAnsi="Arial" w:cs="Arial"/>
        </w:rPr>
        <w:t xml:space="preserve">a high </w:t>
      </w:r>
      <w:r w:rsidRPr="007B305F">
        <w:rPr>
          <w:rFonts w:ascii="Arial" w:hAnsi="Arial" w:cs="Arial"/>
        </w:rPr>
        <w:t xml:space="preserve">bone turnover </w:t>
      </w:r>
      <w:r w:rsidR="00180483">
        <w:rPr>
          <w:rFonts w:ascii="Arial" w:hAnsi="Arial" w:cs="Arial"/>
        </w:rPr>
        <w:t xml:space="preserve">state </w:t>
      </w:r>
      <w:r w:rsidR="00A20401">
        <w:rPr>
          <w:rFonts w:ascii="Arial" w:hAnsi="Arial" w:cs="Arial"/>
        </w:rPr>
        <w:t>to</w:t>
      </w:r>
      <w:r w:rsidRPr="007B305F">
        <w:rPr>
          <w:rFonts w:ascii="Arial" w:hAnsi="Arial" w:cs="Arial"/>
        </w:rPr>
        <w:t xml:space="preserve"> </w:t>
      </w:r>
      <w:r w:rsidR="00180483">
        <w:rPr>
          <w:rFonts w:ascii="Arial" w:hAnsi="Arial" w:cs="Arial"/>
        </w:rPr>
        <w:t>lower</w:t>
      </w:r>
      <w:r w:rsidRPr="007B305F">
        <w:rPr>
          <w:rFonts w:ascii="Arial" w:hAnsi="Arial" w:cs="Arial"/>
        </w:rPr>
        <w:t xml:space="preserve"> BMD. </w:t>
      </w:r>
      <w:r w:rsidR="00180483" w:rsidRPr="007B305F">
        <w:rPr>
          <w:rFonts w:ascii="Arial" w:hAnsi="Arial" w:cs="Arial"/>
        </w:rPr>
        <w:t xml:space="preserve">Furthermore </w:t>
      </w:r>
      <w:r w:rsidR="00A20401">
        <w:rPr>
          <w:rFonts w:ascii="Arial" w:hAnsi="Arial" w:cs="Arial"/>
        </w:rPr>
        <w:t>increased</w:t>
      </w:r>
      <w:r w:rsidR="00180483" w:rsidRPr="007B305F">
        <w:rPr>
          <w:rFonts w:ascii="Arial" w:hAnsi="Arial" w:cs="Arial"/>
        </w:rPr>
        <w:t xml:space="preserve"> bon</w:t>
      </w:r>
      <w:r w:rsidR="00A20401">
        <w:rPr>
          <w:rFonts w:ascii="Arial" w:hAnsi="Arial" w:cs="Arial"/>
        </w:rPr>
        <w:t>e resorption and bone formation</w:t>
      </w:r>
      <w:r w:rsidR="00180483" w:rsidRPr="007B305F">
        <w:rPr>
          <w:rFonts w:ascii="Arial" w:hAnsi="Arial" w:cs="Arial"/>
        </w:rPr>
        <w:t xml:space="preserve"> were related to a decreased BMD</w:t>
      </w:r>
      <w:r w:rsidR="00180483">
        <w:rPr>
          <w:rFonts w:ascii="Arial" w:hAnsi="Arial" w:cs="Arial"/>
        </w:rPr>
        <w:t xml:space="preserve">. </w:t>
      </w:r>
      <w:r w:rsidR="00F9068D">
        <w:rPr>
          <w:rFonts w:ascii="Arial" w:hAnsi="Arial" w:cs="Arial"/>
        </w:rPr>
        <w:t>Th</w:t>
      </w:r>
      <w:r w:rsidR="00180483">
        <w:rPr>
          <w:rFonts w:ascii="Arial" w:hAnsi="Arial" w:cs="Arial"/>
        </w:rPr>
        <w:t xml:space="preserve">is </w:t>
      </w:r>
      <w:r w:rsidR="00F9068D">
        <w:rPr>
          <w:rFonts w:ascii="Arial" w:hAnsi="Arial" w:cs="Arial"/>
        </w:rPr>
        <w:t>was consistent</w:t>
      </w:r>
      <w:r w:rsidR="00002D40" w:rsidRPr="007B305F">
        <w:rPr>
          <w:rFonts w:ascii="Arial" w:hAnsi="Arial" w:cs="Arial"/>
        </w:rPr>
        <w:t xml:space="preserve"> with </w:t>
      </w:r>
      <w:r w:rsidR="00F9068D">
        <w:rPr>
          <w:rFonts w:ascii="Arial" w:hAnsi="Arial" w:cs="Arial"/>
        </w:rPr>
        <w:t xml:space="preserve">several </w:t>
      </w:r>
      <w:r w:rsidR="00002D40" w:rsidRPr="007B305F">
        <w:rPr>
          <w:rFonts w:ascii="Arial" w:hAnsi="Arial" w:cs="Arial"/>
        </w:rPr>
        <w:t>findings</w:t>
      </w:r>
      <w:r w:rsidR="00F9068D">
        <w:rPr>
          <w:rFonts w:ascii="Arial" w:hAnsi="Arial" w:cs="Arial"/>
        </w:rPr>
        <w:t xml:space="preserve"> investigating BTMs and BMD in osteoporosis prior to treatment </w:t>
      </w:r>
      <w:r w:rsidR="00F9068D">
        <w:rPr>
          <w:rFonts w:ascii="Arial" w:hAnsi="Arial" w:cs="Arial"/>
        </w:rPr>
        <w:fldChar w:fldCharType="begin">
          <w:fldData xml:space="preserve">PEVuZE5vdGU+PENpdGU+PEF1dGhvcj5CaXZlcjwvQXV0aG9yPjxZZWFyPjIwMTI8L1llYXI+PFJl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PEVuZE5vdGU+PENpdGU+PEF1dGhvcj5CaXZlcjwvQXV0aG9yPjxZZWFyPjIwMTI8L1llYXI+PFJl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F9068D">
        <w:rPr>
          <w:rFonts w:ascii="Arial" w:hAnsi="Arial" w:cs="Arial"/>
        </w:rPr>
      </w:r>
      <w:r w:rsidR="00F9068D">
        <w:rPr>
          <w:rFonts w:ascii="Arial" w:hAnsi="Arial" w:cs="Arial"/>
        </w:rPr>
        <w:fldChar w:fldCharType="separate"/>
      </w:r>
      <w:r w:rsidR="000D155C">
        <w:rPr>
          <w:rFonts w:ascii="Arial" w:hAnsi="Arial" w:cs="Arial"/>
          <w:noProof/>
        </w:rPr>
        <w:t>(</w:t>
      </w:r>
      <w:hyperlink w:anchor="_ENREF_401" w:tooltip="Biver, 2012 #296" w:history="1">
        <w:r w:rsidR="003B725E">
          <w:rPr>
            <w:rFonts w:ascii="Arial" w:hAnsi="Arial" w:cs="Arial"/>
            <w:noProof/>
          </w:rPr>
          <w:t>401</w:t>
        </w:r>
      </w:hyperlink>
      <w:r w:rsidR="000D155C">
        <w:rPr>
          <w:rFonts w:ascii="Arial" w:hAnsi="Arial" w:cs="Arial"/>
          <w:noProof/>
        </w:rPr>
        <w:t>)</w:t>
      </w:r>
      <w:r w:rsidR="00F9068D">
        <w:rPr>
          <w:rFonts w:ascii="Arial" w:hAnsi="Arial" w:cs="Arial"/>
        </w:rPr>
        <w:fldChar w:fldCharType="end"/>
      </w:r>
      <w:r w:rsidR="009C0174">
        <w:rPr>
          <w:rFonts w:ascii="Arial" w:hAnsi="Arial" w:cs="Arial"/>
        </w:rPr>
        <w:t xml:space="preserve">. In particular </w:t>
      </w:r>
      <w:r w:rsidR="00960306">
        <w:rPr>
          <w:rFonts w:ascii="Arial" w:hAnsi="Arial" w:cs="Arial"/>
        </w:rPr>
        <w:t xml:space="preserve">BTMs were correlated with BMD </w:t>
      </w:r>
      <w:r w:rsidR="009C0174">
        <w:rPr>
          <w:rFonts w:ascii="Arial" w:hAnsi="Arial" w:cs="Arial"/>
        </w:rPr>
        <w:t xml:space="preserve">the total hip </w:t>
      </w:r>
      <w:r w:rsidR="00960306">
        <w:rPr>
          <w:rFonts w:ascii="Arial" w:hAnsi="Arial" w:cs="Arial"/>
        </w:rPr>
        <w:t>more tha</w:t>
      </w:r>
      <w:r w:rsidR="009C0174">
        <w:rPr>
          <w:rFonts w:ascii="Arial" w:hAnsi="Arial" w:cs="Arial"/>
        </w:rPr>
        <w:t xml:space="preserve">n </w:t>
      </w:r>
      <w:r w:rsidR="00960306">
        <w:rPr>
          <w:rFonts w:ascii="Arial" w:hAnsi="Arial" w:cs="Arial"/>
        </w:rPr>
        <w:t xml:space="preserve">at </w:t>
      </w:r>
      <w:r w:rsidR="009C0174">
        <w:rPr>
          <w:rFonts w:ascii="Arial" w:hAnsi="Arial" w:cs="Arial"/>
        </w:rPr>
        <w:t>the femoral neck</w:t>
      </w:r>
      <w:r w:rsidR="00960306">
        <w:rPr>
          <w:rFonts w:ascii="Arial" w:hAnsi="Arial" w:cs="Arial"/>
        </w:rPr>
        <w:t xml:space="preserve"> </w:t>
      </w:r>
      <w:r w:rsidR="00960306">
        <w:rPr>
          <w:rFonts w:ascii="Arial" w:hAnsi="Arial" w:cs="Arial"/>
        </w:rPr>
        <w:fldChar w:fldCharType="begin">
          <w:fldData xml:space="preserve">PEVuZE5vdGU+PENpdGU+PEF1dGhvcj5NZWx0b248L0F1dGhvcj48WWVhcj4xOTk3PC9ZZWFyPjxS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PEVuZE5vdGU+PENpdGU+PEF1dGhvcj5NZWx0b248L0F1dGhvcj48WWVhcj4xOTk3PC9ZZWFyPjxS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60306">
        <w:rPr>
          <w:rFonts w:ascii="Arial" w:hAnsi="Arial" w:cs="Arial"/>
        </w:rPr>
      </w:r>
      <w:r w:rsidR="00960306">
        <w:rPr>
          <w:rFonts w:ascii="Arial" w:hAnsi="Arial" w:cs="Arial"/>
        </w:rPr>
        <w:fldChar w:fldCharType="separate"/>
      </w:r>
      <w:r w:rsidR="000D155C">
        <w:rPr>
          <w:rFonts w:ascii="Arial" w:hAnsi="Arial" w:cs="Arial"/>
          <w:noProof/>
        </w:rPr>
        <w:t>(</w:t>
      </w:r>
      <w:hyperlink w:anchor="_ENREF_402" w:tooltip="Melton, 1997 #297" w:history="1">
        <w:r w:rsidR="003B725E">
          <w:rPr>
            <w:rFonts w:ascii="Arial" w:hAnsi="Arial" w:cs="Arial"/>
            <w:noProof/>
          </w:rPr>
          <w:t>402</w:t>
        </w:r>
      </w:hyperlink>
      <w:r w:rsidR="000D155C">
        <w:rPr>
          <w:rFonts w:ascii="Arial" w:hAnsi="Arial" w:cs="Arial"/>
          <w:noProof/>
        </w:rPr>
        <w:t>)</w:t>
      </w:r>
      <w:r w:rsidR="00960306">
        <w:rPr>
          <w:rFonts w:ascii="Arial" w:hAnsi="Arial" w:cs="Arial"/>
        </w:rPr>
        <w:fldChar w:fldCharType="end"/>
      </w:r>
      <w:r w:rsidR="00960306">
        <w:rPr>
          <w:rFonts w:ascii="Arial" w:hAnsi="Arial" w:cs="Arial"/>
        </w:rPr>
        <w:t xml:space="preserve">. </w:t>
      </w:r>
      <w:r w:rsidR="00D809A2" w:rsidRPr="007B305F">
        <w:rPr>
          <w:rFonts w:ascii="Arial" w:hAnsi="Arial" w:cs="Arial"/>
        </w:rPr>
        <w:t>More importantly, at the total hip it was bone balance and not bone turnover that appeared to be significantly related to bone loss</w:t>
      </w:r>
      <w:r w:rsidR="00E160EF">
        <w:rPr>
          <w:rFonts w:ascii="Arial" w:hAnsi="Arial" w:cs="Arial"/>
        </w:rPr>
        <w:t xml:space="preserve"> over six years</w:t>
      </w:r>
      <w:r w:rsidR="00D809A2" w:rsidRPr="007B305F">
        <w:rPr>
          <w:rFonts w:ascii="Arial" w:hAnsi="Arial" w:cs="Arial"/>
        </w:rPr>
        <w:t xml:space="preserve">. </w:t>
      </w:r>
      <w:r w:rsidR="00AC530B">
        <w:rPr>
          <w:rFonts w:ascii="Arial" w:hAnsi="Arial" w:cs="Arial"/>
        </w:rPr>
        <w:t xml:space="preserve">A positive balance was related to a reduction in bone loss at the hip. </w:t>
      </w:r>
      <w:r w:rsidR="00D809A2" w:rsidRPr="007B305F">
        <w:rPr>
          <w:rFonts w:ascii="Arial" w:hAnsi="Arial" w:cs="Arial"/>
        </w:rPr>
        <w:t xml:space="preserve">This finding has not been previously reported </w:t>
      </w:r>
      <w:r w:rsidR="00A66DBE" w:rsidRPr="007B305F">
        <w:rPr>
          <w:rFonts w:ascii="Arial" w:hAnsi="Arial" w:cs="Arial"/>
        </w:rPr>
        <w:t xml:space="preserve">and adds to our current understanding about how bone remodelling is associated with bone loss. </w:t>
      </w:r>
      <w:r w:rsidR="002327CA">
        <w:rPr>
          <w:rFonts w:ascii="Arial" w:hAnsi="Arial" w:cs="Arial"/>
        </w:rPr>
        <w:t>Previous studies ha</w:t>
      </w:r>
      <w:r w:rsidR="00E160EF">
        <w:rPr>
          <w:rFonts w:ascii="Arial" w:hAnsi="Arial" w:cs="Arial"/>
        </w:rPr>
        <w:t>ve investigated individual BTMs, rather than</w:t>
      </w:r>
      <w:r w:rsidR="002327CA">
        <w:rPr>
          <w:rFonts w:ascii="Arial" w:hAnsi="Arial" w:cs="Arial"/>
        </w:rPr>
        <w:t xml:space="preserve"> </w:t>
      </w:r>
      <w:r w:rsidR="00317C30">
        <w:rPr>
          <w:rFonts w:ascii="Arial" w:hAnsi="Arial" w:cs="Arial"/>
        </w:rPr>
        <w:t>a combination</w:t>
      </w:r>
      <w:r w:rsidR="002327CA">
        <w:rPr>
          <w:rFonts w:ascii="Arial" w:hAnsi="Arial" w:cs="Arial"/>
        </w:rPr>
        <w:t xml:space="preserve"> </w:t>
      </w:r>
      <w:r w:rsidR="00317C30">
        <w:rPr>
          <w:rFonts w:ascii="Arial" w:hAnsi="Arial" w:cs="Arial"/>
        </w:rPr>
        <w:t xml:space="preserve">of bone turnover </w:t>
      </w:r>
      <w:r w:rsidR="002327CA">
        <w:rPr>
          <w:rFonts w:ascii="Arial" w:hAnsi="Arial" w:cs="Arial"/>
        </w:rPr>
        <w:t>and bone b</w:t>
      </w:r>
      <w:r w:rsidR="009A0C46">
        <w:rPr>
          <w:rFonts w:ascii="Arial" w:hAnsi="Arial" w:cs="Arial"/>
        </w:rPr>
        <w:t>alance. Furthermore, identified from this method</w:t>
      </w:r>
      <w:r w:rsidR="00305A21">
        <w:rPr>
          <w:rFonts w:ascii="Arial" w:hAnsi="Arial" w:cs="Arial"/>
        </w:rPr>
        <w:t xml:space="preserve"> it appeared</w:t>
      </w:r>
      <w:r w:rsidR="009A0C46">
        <w:rPr>
          <w:rFonts w:ascii="Arial" w:hAnsi="Arial" w:cs="Arial"/>
        </w:rPr>
        <w:t xml:space="preserve"> to be that high CTX levels </w:t>
      </w:r>
      <w:r w:rsidR="0012347C">
        <w:rPr>
          <w:rFonts w:ascii="Arial" w:hAnsi="Arial" w:cs="Arial"/>
        </w:rPr>
        <w:t>and not PINP were</w:t>
      </w:r>
      <w:r w:rsidR="00305A21">
        <w:rPr>
          <w:rFonts w:ascii="Arial" w:hAnsi="Arial" w:cs="Arial"/>
        </w:rPr>
        <w:t xml:space="preserve"> </w:t>
      </w:r>
      <w:r w:rsidR="005C246D">
        <w:rPr>
          <w:rFonts w:ascii="Arial" w:hAnsi="Arial" w:cs="Arial"/>
        </w:rPr>
        <w:t xml:space="preserve">significantly </w:t>
      </w:r>
      <w:r w:rsidR="00305A21">
        <w:rPr>
          <w:rFonts w:ascii="Arial" w:hAnsi="Arial" w:cs="Arial"/>
        </w:rPr>
        <w:t xml:space="preserve">related to bone loss. This is supported by findings from three other large studies; i) </w:t>
      </w:r>
      <w:r w:rsidR="00B908FE">
        <w:rPr>
          <w:rFonts w:ascii="Arial" w:hAnsi="Arial" w:cs="Arial"/>
        </w:rPr>
        <w:t xml:space="preserve">in </w:t>
      </w:r>
      <w:r w:rsidR="00305A21">
        <w:rPr>
          <w:rFonts w:ascii="Arial" w:hAnsi="Arial" w:cs="Arial"/>
        </w:rPr>
        <w:t xml:space="preserve">the </w:t>
      </w:r>
      <w:r w:rsidR="002327CA">
        <w:rPr>
          <w:rFonts w:ascii="Arial" w:hAnsi="Arial" w:cs="Arial"/>
        </w:rPr>
        <w:t>Study of Osteoporotic Fractures</w:t>
      </w:r>
      <w:r w:rsidR="00136C3C">
        <w:rPr>
          <w:rFonts w:ascii="Arial" w:hAnsi="Arial" w:cs="Arial"/>
        </w:rPr>
        <w:t xml:space="preserve"> higher le</w:t>
      </w:r>
      <w:r w:rsidR="003A275D">
        <w:rPr>
          <w:rFonts w:ascii="Arial" w:hAnsi="Arial" w:cs="Arial"/>
        </w:rPr>
        <w:t>vels of the bone resorption markers</w:t>
      </w:r>
      <w:r w:rsidR="00136C3C">
        <w:rPr>
          <w:rFonts w:ascii="Arial" w:hAnsi="Arial" w:cs="Arial"/>
        </w:rPr>
        <w:t xml:space="preserve"> (including CTX and NTX) but not bone ALP were associated with increased bone loss at the total hip</w:t>
      </w:r>
      <w:r w:rsidR="002327CA">
        <w:rPr>
          <w:rFonts w:ascii="Arial" w:hAnsi="Arial" w:cs="Arial"/>
        </w:rPr>
        <w:t xml:space="preserve"> </w:t>
      </w:r>
      <w:r w:rsidR="002327CA">
        <w:rPr>
          <w:rFonts w:ascii="Arial" w:hAnsi="Arial" w:cs="Arial"/>
        </w:rPr>
        <w:fldChar w:fldCharType="begin">
          <w:fldData xml:space="preserve">PEVuZE5vdGU+PENpdGU+PEF1dGhvcj5CYXVlcjwvQXV0aG9yPjxZZWFyPjE5OTk8L1llYXI+PFJl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bmUgYW5kIE1pbmVyYWwgUmVzZWFyY2g8L2FiYnItMT48L3BlcmlvZGljYWw+PHBhZ2VzPjE0MDQt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PEVuZE5vdGU+PENpdGU+PEF1dGhvcj5CYXVlcjwvQXV0aG9yPjxZZWFyPjE5OTk8L1llYXI+PFJl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bmUgYW5kIE1pbmVyYWwgUmVzZWFyY2g8L2FiYnItMT48L3BlcmlvZGljYWw+PHBhZ2VzPjE0MDQt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002327CA">
        <w:rPr>
          <w:rFonts w:ascii="Arial" w:hAnsi="Arial" w:cs="Arial"/>
        </w:rPr>
      </w:r>
      <w:r w:rsidR="002327CA">
        <w:rPr>
          <w:rFonts w:ascii="Arial" w:hAnsi="Arial" w:cs="Arial"/>
        </w:rPr>
        <w:fldChar w:fldCharType="separate"/>
      </w:r>
      <w:r w:rsidR="00B329CC">
        <w:rPr>
          <w:rFonts w:ascii="Arial" w:hAnsi="Arial" w:cs="Arial"/>
          <w:noProof/>
        </w:rPr>
        <w:t>(</w:t>
      </w:r>
      <w:hyperlink w:anchor="_ENREF_315" w:tooltip="Bauer, 1999 #298" w:history="1">
        <w:r w:rsidR="003B725E">
          <w:rPr>
            <w:rFonts w:ascii="Arial" w:hAnsi="Arial" w:cs="Arial"/>
            <w:noProof/>
          </w:rPr>
          <w:t>315</w:t>
        </w:r>
      </w:hyperlink>
      <w:r w:rsidR="00B329CC">
        <w:rPr>
          <w:rFonts w:ascii="Arial" w:hAnsi="Arial" w:cs="Arial"/>
          <w:noProof/>
        </w:rPr>
        <w:t>)</w:t>
      </w:r>
      <w:r w:rsidR="002327CA">
        <w:rPr>
          <w:rFonts w:ascii="Arial" w:hAnsi="Arial" w:cs="Arial"/>
        </w:rPr>
        <w:fldChar w:fldCharType="end"/>
      </w:r>
      <w:r w:rsidR="00305A21">
        <w:rPr>
          <w:rFonts w:ascii="Arial" w:hAnsi="Arial" w:cs="Arial"/>
        </w:rPr>
        <w:t xml:space="preserve">, ii) </w:t>
      </w:r>
      <w:r w:rsidR="00B908FE">
        <w:rPr>
          <w:rFonts w:ascii="Arial" w:hAnsi="Arial" w:cs="Arial"/>
        </w:rPr>
        <w:t xml:space="preserve">in </w:t>
      </w:r>
      <w:r w:rsidR="00305A21">
        <w:rPr>
          <w:rFonts w:ascii="Arial" w:hAnsi="Arial" w:cs="Arial"/>
        </w:rPr>
        <w:t>the OFELY study</w:t>
      </w:r>
      <w:r w:rsidR="00136C3C">
        <w:rPr>
          <w:rFonts w:ascii="Arial" w:hAnsi="Arial" w:cs="Arial"/>
        </w:rPr>
        <w:t xml:space="preserve"> high levels of BTMs (including CTX and PINP) were correlated with increased bone loss at the distal forearm</w:t>
      </w:r>
      <w:r w:rsidR="00305A21">
        <w:rPr>
          <w:rFonts w:ascii="Arial" w:hAnsi="Arial" w:cs="Arial"/>
        </w:rPr>
        <w:t xml:space="preserve"> </w:t>
      </w:r>
      <w:r w:rsidR="00305A21">
        <w:rPr>
          <w:rFonts w:ascii="Arial" w:hAnsi="Arial" w:cs="Arial"/>
        </w:rPr>
        <w:fldChar w:fldCharType="begin"/>
      </w:r>
      <w:r w:rsidR="005A347B">
        <w:rPr>
          <w:rFonts w:ascii="Arial" w:hAnsi="Arial" w:cs="Arial"/>
        </w:rPr>
        <w:instrText xml:space="preserve"> ADDIN EN.CITE &lt;EndNote&gt;&lt;Cite&gt;&lt;Author&gt;Garnero&lt;/Author&gt;&lt;Year&gt;1999&lt;/Year&gt;&lt;RecNum&gt;299&lt;/RecNum&gt;&lt;DisplayText&gt;(161)&lt;/DisplayText&gt;&lt;record&gt;&lt;rec-number&gt;299&lt;/rec-number&gt;&lt;foreign-keys&gt;&lt;key app="EN" db-id="p9a5ttsvyvde9me5aw2x05fp5p55axf0wr90" timestamp="1432135983"&gt;299&lt;/key&gt;&lt;/foreign-keys&gt;&lt;ref-type name="Journal Article"&gt;17&lt;/ref-type&gt;&lt;contributors&gt;&lt;authors&gt;&lt;author&gt;Garnero, P.&lt;/author&gt;&lt;author&gt;Sornay-Rendu, E.&lt;/author&gt;&lt;author&gt;Duboeuf, F.&lt;/author&gt;&lt;author&gt;Delmas, P. D.&lt;/author&gt;&lt;/authors&gt;&lt;/contributors&gt;&lt;auth-address&gt;INSERM Research Unit 403, Hopital E Herriot, Lyon, France.&lt;/auth-address&gt;&lt;titles&gt;&lt;title&gt;Markers of bone turnover predict postmenopausal forearm bone loss over 4 years: the OFELY study&lt;/title&gt;&lt;secondary-title&gt;J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Research&lt;/abbr-1&gt;&lt;/periodical&gt;&lt;pages&gt;1614-21&lt;/pages&gt;&lt;volume&gt;14&lt;/volume&gt;&lt;number&gt;9&lt;/number&gt;&lt;edition&gt;1999/09/01&lt;/edition&gt;&lt;keywords&gt;&lt;keyword&gt;Aged&lt;/keyword&gt;&lt;keyword&gt;Aged, 80 and over&lt;/keyword&gt;&lt;keyword&gt;Biological Markers&lt;/keyword&gt;&lt;keyword&gt;Bone Density&lt;/keyword&gt;&lt;keyword&gt;Bone Remodeling&lt;/keyword&gt;&lt;keyword&gt;Cohort Studies&lt;/keyword&gt;&lt;keyword&gt;Collagen/analysis&lt;/keyword&gt;&lt;keyword&gt;Collagen Type I&lt;/keyword&gt;&lt;keyword&gt;Female&lt;/keyword&gt;&lt;keyword&gt;Forearm&lt;/keyword&gt;&lt;keyword&gt;Humans&lt;/keyword&gt;&lt;keyword&gt;Middle Aged&lt;/keyword&gt;&lt;keyword&gt;Osteoporosis, Postmenopausal/ physiopathology&lt;/keyword&gt;&lt;keyword&gt;Peptides/analysis&lt;/keyword&gt;&lt;/keywords&gt;&lt;dates&gt;&lt;year&gt;1999&lt;/year&gt;&lt;pub-dates&gt;&lt;date&gt;Sep&lt;/date&gt;&lt;/pub-dates&gt;&lt;/dates&gt;&lt;isbn&gt;0884-0431 (Print)&amp;#xD;0884-0431 (Linking)&lt;/isbn&gt;&lt;accession-num&gt;10469291&lt;/accession-num&gt;&lt;urls&gt;&lt;/urls&gt;&lt;electronic-resource-num&gt;10.1359/jbmr.1999.14.9.1614&lt;/electronic-resource-num&gt;&lt;remote-database-provider&gt;NLM&lt;/remote-database-provider&gt;&lt;language&gt;eng&lt;/language&gt;&lt;/record&gt;&lt;/Cite&gt;&lt;/EndNote&gt;</w:instrText>
      </w:r>
      <w:r w:rsidR="00305A21">
        <w:rPr>
          <w:rFonts w:ascii="Arial" w:hAnsi="Arial" w:cs="Arial"/>
        </w:rPr>
        <w:fldChar w:fldCharType="separate"/>
      </w:r>
      <w:r w:rsidR="005A347B">
        <w:rPr>
          <w:rFonts w:ascii="Arial" w:hAnsi="Arial" w:cs="Arial"/>
          <w:noProof/>
        </w:rPr>
        <w:t>(</w:t>
      </w:r>
      <w:hyperlink w:anchor="_ENREF_161" w:tooltip="Garnero, 1999 #299" w:history="1">
        <w:r w:rsidR="003B725E">
          <w:rPr>
            <w:rFonts w:ascii="Arial" w:hAnsi="Arial" w:cs="Arial"/>
            <w:noProof/>
          </w:rPr>
          <w:t>161</w:t>
        </w:r>
      </w:hyperlink>
      <w:r w:rsidR="005A347B">
        <w:rPr>
          <w:rFonts w:ascii="Arial" w:hAnsi="Arial" w:cs="Arial"/>
          <w:noProof/>
        </w:rPr>
        <w:t>)</w:t>
      </w:r>
      <w:r w:rsidR="00305A21">
        <w:rPr>
          <w:rFonts w:ascii="Arial" w:hAnsi="Arial" w:cs="Arial"/>
        </w:rPr>
        <w:fldChar w:fldCharType="end"/>
      </w:r>
      <w:r w:rsidR="00B908FE">
        <w:rPr>
          <w:rFonts w:ascii="Arial" w:hAnsi="Arial" w:cs="Arial"/>
        </w:rPr>
        <w:t xml:space="preserve"> and iii) also from the OPUS cohort</w:t>
      </w:r>
      <w:r w:rsidR="00136C3C">
        <w:rPr>
          <w:rFonts w:ascii="Arial" w:hAnsi="Arial" w:cs="Arial"/>
        </w:rPr>
        <w:t xml:space="preserve"> </w:t>
      </w:r>
      <w:r w:rsidR="00B908FE">
        <w:rPr>
          <w:rFonts w:ascii="Arial" w:hAnsi="Arial" w:cs="Arial"/>
        </w:rPr>
        <w:t xml:space="preserve"> high levels of CTX were associated with increased bone loss at the femoral neck</w:t>
      </w:r>
      <w:r w:rsidR="00136C3C">
        <w:rPr>
          <w:rFonts w:ascii="Arial" w:hAnsi="Arial" w:cs="Arial"/>
        </w:rPr>
        <w:t xml:space="preserve"> (Finigan J et al 2008, </w:t>
      </w:r>
      <w:r w:rsidR="00136C3C" w:rsidRPr="00136C3C">
        <w:rPr>
          <w:rFonts w:ascii="Arial" w:hAnsi="Arial" w:cs="Arial"/>
        </w:rPr>
        <w:t>Rel</w:t>
      </w:r>
      <w:r w:rsidR="00136C3C">
        <w:rPr>
          <w:rFonts w:ascii="Arial" w:hAnsi="Arial" w:cs="Arial"/>
        </w:rPr>
        <w:t xml:space="preserve">ationship between baseline bone </w:t>
      </w:r>
      <w:r w:rsidR="00136C3C" w:rsidRPr="00136C3C">
        <w:rPr>
          <w:rFonts w:ascii="Arial" w:hAnsi="Arial" w:cs="Arial"/>
        </w:rPr>
        <w:t>turnover, subsequent vertebral fracture and bone loss</w:t>
      </w:r>
      <w:r w:rsidR="00136C3C">
        <w:rPr>
          <w:rFonts w:ascii="Arial" w:hAnsi="Arial" w:cs="Arial"/>
        </w:rPr>
        <w:t xml:space="preserve"> unpublished).</w:t>
      </w:r>
      <w:r w:rsidR="00E160EF">
        <w:rPr>
          <w:rFonts w:ascii="Arial" w:hAnsi="Arial" w:cs="Arial"/>
        </w:rPr>
        <w:t xml:space="preserve"> </w:t>
      </w:r>
      <w:r w:rsidR="00AC530B">
        <w:rPr>
          <w:rFonts w:ascii="Arial" w:hAnsi="Arial" w:cs="Arial"/>
        </w:rPr>
        <w:t>From my findings it may therefore</w:t>
      </w:r>
      <w:r w:rsidR="00A00EAA">
        <w:rPr>
          <w:rFonts w:ascii="Arial" w:hAnsi="Arial" w:cs="Arial"/>
        </w:rPr>
        <w:t xml:space="preserve"> be</w:t>
      </w:r>
      <w:r w:rsidR="00AC530B">
        <w:rPr>
          <w:rFonts w:ascii="Arial" w:hAnsi="Arial" w:cs="Arial"/>
        </w:rPr>
        <w:t xml:space="preserve"> plausible to suggest that </w:t>
      </w:r>
      <w:r w:rsidR="001F31E5">
        <w:rPr>
          <w:rFonts w:ascii="Arial" w:hAnsi="Arial" w:cs="Arial"/>
        </w:rPr>
        <w:t>it is</w:t>
      </w:r>
      <w:r w:rsidR="00AC530B">
        <w:rPr>
          <w:rFonts w:ascii="Arial" w:hAnsi="Arial" w:cs="Arial"/>
        </w:rPr>
        <w:t xml:space="preserve"> high </w:t>
      </w:r>
      <w:r w:rsidR="000B7DDC">
        <w:rPr>
          <w:rFonts w:ascii="Arial" w:hAnsi="Arial" w:cs="Arial"/>
        </w:rPr>
        <w:t>resorption</w:t>
      </w:r>
      <w:r w:rsidR="0012347C">
        <w:rPr>
          <w:rFonts w:ascii="Arial" w:hAnsi="Arial" w:cs="Arial"/>
        </w:rPr>
        <w:t xml:space="preserve"> rate</w:t>
      </w:r>
      <w:r w:rsidR="000B7DDC">
        <w:rPr>
          <w:rFonts w:ascii="Arial" w:hAnsi="Arial" w:cs="Arial"/>
        </w:rPr>
        <w:t xml:space="preserve"> </w:t>
      </w:r>
      <w:r w:rsidR="001F31E5">
        <w:rPr>
          <w:rFonts w:ascii="Arial" w:hAnsi="Arial" w:cs="Arial"/>
        </w:rPr>
        <w:t>and not</w:t>
      </w:r>
      <w:r w:rsidR="000B7DDC">
        <w:rPr>
          <w:rFonts w:ascii="Arial" w:hAnsi="Arial" w:cs="Arial"/>
        </w:rPr>
        <w:t xml:space="preserve"> high turnover that is related to increased bone loss. </w:t>
      </w:r>
      <w:r w:rsidR="001F31E5">
        <w:rPr>
          <w:rFonts w:ascii="Arial" w:hAnsi="Arial" w:cs="Arial"/>
        </w:rPr>
        <w:t xml:space="preserve">In </w:t>
      </w:r>
      <w:r w:rsidR="001F31E5">
        <w:rPr>
          <w:rFonts w:ascii="Arial" w:hAnsi="Arial" w:cs="Arial"/>
        </w:rPr>
        <w:lastRenderedPageBreak/>
        <w:t xml:space="preserve">addition </w:t>
      </w:r>
      <w:r w:rsidR="0012347C">
        <w:rPr>
          <w:rFonts w:ascii="Arial" w:hAnsi="Arial" w:cs="Arial"/>
        </w:rPr>
        <w:t>it is</w:t>
      </w:r>
      <w:r w:rsidR="001F31E5">
        <w:rPr>
          <w:rFonts w:ascii="Arial" w:hAnsi="Arial" w:cs="Arial"/>
        </w:rPr>
        <w:t xml:space="preserve"> resorption that appears to be </w:t>
      </w:r>
      <w:r w:rsidR="000B7DDC">
        <w:rPr>
          <w:rFonts w:ascii="Arial" w:hAnsi="Arial" w:cs="Arial"/>
        </w:rPr>
        <w:t>dominating</w:t>
      </w:r>
      <w:r w:rsidR="001F31E5">
        <w:rPr>
          <w:rFonts w:ascii="Arial" w:hAnsi="Arial" w:cs="Arial"/>
        </w:rPr>
        <w:t>/contributing</w:t>
      </w:r>
      <w:r w:rsidR="00BF1F13">
        <w:rPr>
          <w:rFonts w:ascii="Arial" w:hAnsi="Arial" w:cs="Arial"/>
        </w:rPr>
        <w:t xml:space="preserve"> </w:t>
      </w:r>
      <w:r w:rsidR="00826621">
        <w:rPr>
          <w:rFonts w:ascii="Arial" w:hAnsi="Arial" w:cs="Arial"/>
        </w:rPr>
        <w:t>significantly</w:t>
      </w:r>
      <w:r w:rsidR="001F31E5">
        <w:rPr>
          <w:rFonts w:ascii="Arial" w:hAnsi="Arial" w:cs="Arial"/>
        </w:rPr>
        <w:t xml:space="preserve"> to</w:t>
      </w:r>
      <w:r w:rsidR="00AC530B">
        <w:rPr>
          <w:rFonts w:ascii="Arial" w:hAnsi="Arial" w:cs="Arial"/>
        </w:rPr>
        <w:t xml:space="preserve"> the positive bone balance that is related to a reduction in bone loss (i.e</w:t>
      </w:r>
      <w:r w:rsidR="000B7DDC">
        <w:rPr>
          <w:rFonts w:ascii="Arial" w:hAnsi="Arial" w:cs="Arial"/>
        </w:rPr>
        <w:t xml:space="preserve">. </w:t>
      </w:r>
      <w:r w:rsidR="0012347C">
        <w:rPr>
          <w:rFonts w:ascii="Arial" w:hAnsi="Arial" w:cs="Arial"/>
        </w:rPr>
        <w:t xml:space="preserve">as shown by the </w:t>
      </w:r>
      <w:r w:rsidR="000B7DDC">
        <w:rPr>
          <w:rFonts w:ascii="Arial" w:hAnsi="Arial" w:cs="Arial"/>
        </w:rPr>
        <w:t xml:space="preserve">positive change in BMD). </w:t>
      </w:r>
    </w:p>
    <w:p w:rsidR="00E160EF" w:rsidRDefault="00E160EF" w:rsidP="00844C20">
      <w:pPr>
        <w:autoSpaceDE w:val="0"/>
        <w:autoSpaceDN w:val="0"/>
        <w:adjustRightInd w:val="0"/>
        <w:spacing w:after="0" w:line="360" w:lineRule="auto"/>
        <w:jc w:val="both"/>
        <w:rPr>
          <w:rFonts w:ascii="Arial" w:hAnsi="Arial" w:cs="Arial"/>
        </w:rPr>
      </w:pPr>
    </w:p>
    <w:p w:rsidR="002142A4" w:rsidRDefault="001F31E5" w:rsidP="003B725E">
      <w:pPr>
        <w:spacing w:line="360" w:lineRule="auto"/>
        <w:jc w:val="both"/>
        <w:rPr>
          <w:rFonts w:ascii="Arial" w:hAnsi="Arial" w:cs="Arial"/>
        </w:rPr>
      </w:pPr>
      <w:r>
        <w:rPr>
          <w:rFonts w:ascii="Arial" w:hAnsi="Arial" w:cs="Arial"/>
        </w:rPr>
        <w:t xml:space="preserve">This led on to the final and probably most important finding in this chapter with regards to </w:t>
      </w:r>
      <w:r w:rsidR="00995752">
        <w:rPr>
          <w:rFonts w:ascii="Arial" w:hAnsi="Arial" w:cs="Arial"/>
        </w:rPr>
        <w:t xml:space="preserve">the </w:t>
      </w:r>
      <w:r w:rsidR="00DC215B">
        <w:rPr>
          <w:rFonts w:ascii="Arial" w:hAnsi="Arial" w:cs="Arial"/>
        </w:rPr>
        <w:t xml:space="preserve">management of </w:t>
      </w:r>
      <w:r>
        <w:rPr>
          <w:rFonts w:ascii="Arial" w:hAnsi="Arial" w:cs="Arial"/>
        </w:rPr>
        <w:t xml:space="preserve">postmenopausal osteoporosis. </w:t>
      </w:r>
      <w:r w:rsidR="0012347C">
        <w:rPr>
          <w:rFonts w:ascii="Arial" w:hAnsi="Arial" w:cs="Arial"/>
        </w:rPr>
        <w:t>The data suggests that it is a</w:t>
      </w:r>
      <w:r w:rsidR="00E160EF" w:rsidRPr="007B305F">
        <w:rPr>
          <w:rFonts w:ascii="Arial" w:hAnsi="Arial" w:cs="Arial"/>
        </w:rPr>
        <w:t xml:space="preserve"> positive balance </w:t>
      </w:r>
      <w:r w:rsidR="005C246D">
        <w:rPr>
          <w:rFonts w:ascii="Arial" w:hAnsi="Arial" w:cs="Arial"/>
        </w:rPr>
        <w:t>and not a low state of</w:t>
      </w:r>
      <w:r w:rsidR="0012347C">
        <w:rPr>
          <w:rFonts w:ascii="Arial" w:hAnsi="Arial" w:cs="Arial"/>
        </w:rPr>
        <w:t xml:space="preserve"> turnover that </w:t>
      </w:r>
      <w:r w:rsidR="00E160EF" w:rsidRPr="007B305F">
        <w:rPr>
          <w:rFonts w:ascii="Arial" w:hAnsi="Arial" w:cs="Arial"/>
        </w:rPr>
        <w:t xml:space="preserve">maybe related to a </w:t>
      </w:r>
      <w:r w:rsidR="0012347C">
        <w:rPr>
          <w:rFonts w:ascii="Arial" w:hAnsi="Arial" w:cs="Arial"/>
        </w:rPr>
        <w:t>reduction in</w:t>
      </w:r>
      <w:r w:rsidR="00E160EF" w:rsidRPr="007B305F">
        <w:rPr>
          <w:rFonts w:ascii="Arial" w:hAnsi="Arial" w:cs="Arial"/>
        </w:rPr>
        <w:t xml:space="preserve"> vertebral and non-vertebral fract</w:t>
      </w:r>
      <w:r w:rsidR="0012347C">
        <w:rPr>
          <w:rFonts w:ascii="Arial" w:hAnsi="Arial" w:cs="Arial"/>
        </w:rPr>
        <w:t xml:space="preserve">ure risk. Interestingly, in this instance </w:t>
      </w:r>
      <w:r w:rsidR="005C246D">
        <w:rPr>
          <w:rFonts w:ascii="Arial" w:hAnsi="Arial" w:cs="Arial"/>
        </w:rPr>
        <w:t>it was</w:t>
      </w:r>
      <w:r w:rsidR="0012347C">
        <w:rPr>
          <w:rFonts w:ascii="Arial" w:hAnsi="Arial" w:cs="Arial"/>
        </w:rPr>
        <w:t xml:space="preserve"> high levels of PINP and not CTX </w:t>
      </w:r>
      <w:r w:rsidR="005C246D">
        <w:rPr>
          <w:rFonts w:ascii="Arial" w:hAnsi="Arial" w:cs="Arial"/>
        </w:rPr>
        <w:t xml:space="preserve">that </w:t>
      </w:r>
      <w:r w:rsidR="0012347C">
        <w:rPr>
          <w:rFonts w:ascii="Arial" w:hAnsi="Arial" w:cs="Arial"/>
        </w:rPr>
        <w:t xml:space="preserve">were </w:t>
      </w:r>
      <w:r w:rsidR="005C246D">
        <w:rPr>
          <w:rFonts w:ascii="Arial" w:hAnsi="Arial" w:cs="Arial"/>
        </w:rPr>
        <w:t xml:space="preserve">significantly </w:t>
      </w:r>
      <w:r w:rsidR="0012347C">
        <w:rPr>
          <w:rFonts w:ascii="Arial" w:hAnsi="Arial" w:cs="Arial"/>
        </w:rPr>
        <w:t>related to the reduction in fracture risk.</w:t>
      </w:r>
      <w:r w:rsidR="005C246D">
        <w:rPr>
          <w:rFonts w:ascii="Arial" w:hAnsi="Arial" w:cs="Arial"/>
        </w:rPr>
        <w:t xml:space="preserve"> </w:t>
      </w:r>
      <w:r w:rsidR="008417BC">
        <w:rPr>
          <w:rFonts w:ascii="Arial" w:hAnsi="Arial" w:cs="Arial"/>
        </w:rPr>
        <w:t>In comparison to the latter point, other retrospective studies have demonstrated similar findings</w:t>
      </w:r>
      <w:r w:rsidR="00945BE2">
        <w:rPr>
          <w:rFonts w:ascii="Arial" w:hAnsi="Arial" w:cs="Arial"/>
        </w:rPr>
        <w:t xml:space="preserve"> but assessing each BTM individually and not in relation to each other</w:t>
      </w:r>
      <w:r w:rsidR="008417BC">
        <w:rPr>
          <w:rFonts w:ascii="Arial" w:hAnsi="Arial" w:cs="Arial"/>
        </w:rPr>
        <w:t xml:space="preserve">. Melton </w:t>
      </w:r>
      <w:r w:rsidR="009D11C5">
        <w:rPr>
          <w:rFonts w:ascii="Arial" w:hAnsi="Arial" w:cs="Arial"/>
        </w:rPr>
        <w:t xml:space="preserve">LJ </w:t>
      </w:r>
      <w:r w:rsidR="008417BC">
        <w:rPr>
          <w:rFonts w:ascii="Arial" w:hAnsi="Arial" w:cs="Arial"/>
        </w:rPr>
        <w:t>et al</w:t>
      </w:r>
      <w:r w:rsidR="00765DEA">
        <w:rPr>
          <w:rFonts w:ascii="Arial" w:hAnsi="Arial" w:cs="Arial"/>
        </w:rPr>
        <w:t>, 1997</w:t>
      </w:r>
      <w:r w:rsidR="008417BC">
        <w:rPr>
          <w:rFonts w:ascii="Arial" w:hAnsi="Arial" w:cs="Arial"/>
        </w:rPr>
        <w:t xml:space="preserve"> and Akesson </w:t>
      </w:r>
      <w:r w:rsidR="009D11C5">
        <w:rPr>
          <w:rFonts w:ascii="Arial" w:hAnsi="Arial" w:cs="Arial"/>
        </w:rPr>
        <w:t xml:space="preserve">K </w:t>
      </w:r>
      <w:r w:rsidR="008417BC">
        <w:rPr>
          <w:rFonts w:ascii="Arial" w:hAnsi="Arial" w:cs="Arial"/>
        </w:rPr>
        <w:t>et al</w:t>
      </w:r>
      <w:r w:rsidR="00765DEA">
        <w:rPr>
          <w:rFonts w:ascii="Arial" w:hAnsi="Arial" w:cs="Arial"/>
        </w:rPr>
        <w:t>, 1995</w:t>
      </w:r>
      <w:r w:rsidR="008417BC">
        <w:rPr>
          <w:rFonts w:ascii="Arial" w:hAnsi="Arial" w:cs="Arial"/>
        </w:rPr>
        <w:t xml:space="preserve"> reported decreased levels of osteocalcin only</w:t>
      </w:r>
      <w:r w:rsidR="00DC215B">
        <w:rPr>
          <w:rFonts w:ascii="Arial" w:hAnsi="Arial" w:cs="Arial"/>
        </w:rPr>
        <w:t>,</w:t>
      </w:r>
      <w:r w:rsidR="00FC32B6">
        <w:rPr>
          <w:rFonts w:ascii="Arial" w:hAnsi="Arial" w:cs="Arial"/>
        </w:rPr>
        <w:t xml:space="preserve"> were associated with all types of fracture </w:t>
      </w:r>
      <w:r w:rsidR="00141C2F">
        <w:rPr>
          <w:rFonts w:ascii="Arial" w:hAnsi="Arial" w:cs="Arial"/>
        </w:rPr>
        <w:fldChar w:fldCharType="begin">
          <w:fldData xml:space="preserve">PEVuZE5vdGU+PENpdGU+PEF1dGhvcj5Ba2Vzc29uPC9BdXRob3I+PFllYXI+MTk5NTwvWWVhcj48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bD48cGFnZXM+MTA4My05MTwvcGFnZXM+PHZvbHVtZT4xMjwvdm9sdW1lPjxudW1iZXI+NzwvbnVt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PEVuZE5vdGU+PENpdGU+PEF1dGhvcj5Ba2Vzc29uPC9BdXRob3I+PFllYXI+MTk5NTwvWWVhcj48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bD48cGFnZXM+MTA4My05MTwvcGFnZXM+PHZvbHVtZT4xMjwvdm9sdW1lPjxudW1iZXI+NzwvbnVt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41C2F">
        <w:rPr>
          <w:rFonts w:ascii="Arial" w:hAnsi="Arial" w:cs="Arial"/>
        </w:rPr>
      </w:r>
      <w:r w:rsidR="00141C2F">
        <w:rPr>
          <w:rFonts w:ascii="Arial" w:hAnsi="Arial" w:cs="Arial"/>
        </w:rPr>
        <w:fldChar w:fldCharType="separate"/>
      </w:r>
      <w:r w:rsidR="000D155C">
        <w:rPr>
          <w:rFonts w:ascii="Arial" w:hAnsi="Arial" w:cs="Arial"/>
          <w:noProof/>
        </w:rPr>
        <w:t>(</w:t>
      </w:r>
      <w:hyperlink w:anchor="_ENREF_402" w:tooltip="Melton, 1997 #297" w:history="1">
        <w:r w:rsidR="003B725E">
          <w:rPr>
            <w:rFonts w:ascii="Arial" w:hAnsi="Arial" w:cs="Arial"/>
            <w:noProof/>
          </w:rPr>
          <w:t>402</w:t>
        </w:r>
      </w:hyperlink>
      <w:r w:rsidR="000D155C">
        <w:rPr>
          <w:rFonts w:ascii="Arial" w:hAnsi="Arial" w:cs="Arial"/>
          <w:noProof/>
        </w:rPr>
        <w:t xml:space="preserve">, </w:t>
      </w:r>
      <w:hyperlink w:anchor="_ENREF_403" w:tooltip="Akesson, 1995 #300" w:history="1">
        <w:r w:rsidR="003B725E">
          <w:rPr>
            <w:rFonts w:ascii="Arial" w:hAnsi="Arial" w:cs="Arial"/>
            <w:noProof/>
          </w:rPr>
          <w:t>403</w:t>
        </w:r>
      </w:hyperlink>
      <w:r w:rsidR="000D155C">
        <w:rPr>
          <w:rFonts w:ascii="Arial" w:hAnsi="Arial" w:cs="Arial"/>
          <w:noProof/>
        </w:rPr>
        <w:t>)</w:t>
      </w:r>
      <w:r w:rsidR="00141C2F">
        <w:rPr>
          <w:rFonts w:ascii="Arial" w:hAnsi="Arial" w:cs="Arial"/>
        </w:rPr>
        <w:fldChar w:fldCharType="end"/>
      </w:r>
      <w:r w:rsidR="009D11C5">
        <w:rPr>
          <w:rFonts w:ascii="Arial" w:hAnsi="Arial" w:cs="Arial"/>
        </w:rPr>
        <w:t xml:space="preserve">. In contrast, in the EPIDOS study, a prospective study demonstrated </w:t>
      </w:r>
      <w:r w:rsidR="009B374C">
        <w:rPr>
          <w:rFonts w:ascii="Arial" w:hAnsi="Arial" w:cs="Arial"/>
        </w:rPr>
        <w:t xml:space="preserve">there was no association between bone formation markers and the risk of fracture </w:t>
      </w:r>
      <w:r w:rsidR="009D11C5">
        <w:rPr>
          <w:rFonts w:ascii="Arial" w:hAnsi="Arial" w:cs="Arial"/>
        </w:rPr>
        <w:fldChar w:fldCharType="begin">
          <w:fldData xml:space="preserve">PEVuZE5vdGU+PENpdGU+PEF1dGhvcj5HYXJuZXJvPC9BdXRob3I+PFllYXI+MTk5NjwvWWVhcj48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bHQtcGVyaW9kaWNhbD48cGFnZXM+MTUzMS04PC9wYWdlcz48dm9sdW1lPjExPC92b2x1bWU+PG51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PEVuZE5vdGU+PENpdGU+PEF1dGhvcj5HYXJuZXJvPC9BdXRob3I+PFllYXI+MTk5NjwvWWVhcj48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9D11C5">
        <w:rPr>
          <w:rFonts w:ascii="Arial" w:hAnsi="Arial" w:cs="Arial"/>
        </w:rPr>
      </w:r>
      <w:r w:rsidR="009D11C5">
        <w:rPr>
          <w:rFonts w:ascii="Arial" w:hAnsi="Arial" w:cs="Arial"/>
        </w:rPr>
        <w:fldChar w:fldCharType="separate"/>
      </w:r>
      <w:r w:rsidR="00B64C0F">
        <w:rPr>
          <w:rFonts w:ascii="Arial" w:hAnsi="Arial" w:cs="Arial"/>
          <w:noProof/>
        </w:rPr>
        <w:t>(</w:t>
      </w:r>
      <w:hyperlink w:anchor="_ENREF_364" w:tooltip="Garnero, 1996 #163" w:history="1">
        <w:r w:rsidR="003B725E">
          <w:rPr>
            <w:rFonts w:ascii="Arial" w:hAnsi="Arial" w:cs="Arial"/>
            <w:noProof/>
          </w:rPr>
          <w:t>364</w:t>
        </w:r>
      </w:hyperlink>
      <w:r w:rsidR="00B64C0F">
        <w:rPr>
          <w:rFonts w:ascii="Arial" w:hAnsi="Arial" w:cs="Arial"/>
          <w:noProof/>
        </w:rPr>
        <w:t>)</w:t>
      </w:r>
      <w:r w:rsidR="009D11C5">
        <w:rPr>
          <w:rFonts w:ascii="Arial" w:hAnsi="Arial" w:cs="Arial"/>
        </w:rPr>
        <w:fldChar w:fldCharType="end"/>
      </w:r>
      <w:r w:rsidR="009D11C5">
        <w:rPr>
          <w:rFonts w:ascii="Arial" w:hAnsi="Arial" w:cs="Arial"/>
        </w:rPr>
        <w:t>.</w:t>
      </w:r>
      <w:r w:rsidR="00FC32B6">
        <w:rPr>
          <w:rFonts w:ascii="Arial" w:hAnsi="Arial" w:cs="Arial"/>
        </w:rPr>
        <w:t xml:space="preserve"> However, PINP was not investigated</w:t>
      </w:r>
      <w:r w:rsidR="009B374C">
        <w:rPr>
          <w:rFonts w:ascii="Arial" w:hAnsi="Arial" w:cs="Arial"/>
        </w:rPr>
        <w:t xml:space="preserve"> in these</w:t>
      </w:r>
      <w:r w:rsidR="00FC32B6">
        <w:rPr>
          <w:rFonts w:ascii="Arial" w:hAnsi="Arial" w:cs="Arial"/>
        </w:rPr>
        <w:t xml:space="preserve"> and to my knowledge, until now has not been investigated in any other study that aimed to establish its utility prior to the occurrence of fracture</w:t>
      </w:r>
      <w:r w:rsidR="009B374C">
        <w:rPr>
          <w:rFonts w:ascii="Arial" w:hAnsi="Arial" w:cs="Arial"/>
        </w:rPr>
        <w:t>. This may be because the studies were performed about 20 years ago and immunoassays were technically limited</w:t>
      </w:r>
      <w:r w:rsidR="00FC32B6">
        <w:rPr>
          <w:rFonts w:ascii="Arial" w:hAnsi="Arial" w:cs="Arial"/>
        </w:rPr>
        <w:t>.</w:t>
      </w:r>
      <w:r w:rsidR="008417BC">
        <w:rPr>
          <w:rFonts w:ascii="Arial" w:hAnsi="Arial" w:cs="Arial"/>
        </w:rPr>
        <w:t xml:space="preserve"> </w:t>
      </w:r>
      <w:r w:rsidR="009B374C">
        <w:rPr>
          <w:rFonts w:ascii="Arial" w:hAnsi="Arial" w:cs="Arial"/>
        </w:rPr>
        <w:t xml:space="preserve">This highlights the need to re-assess the BTMs association with fracture risk using newer/improved methods that are currently available. </w:t>
      </w:r>
      <w:r w:rsidR="00EB718E">
        <w:rPr>
          <w:rFonts w:ascii="Arial" w:hAnsi="Arial" w:cs="Arial"/>
        </w:rPr>
        <w:t xml:space="preserve">With regards to the bone resorption markers what we currently know from the Rotterdam and EPIDOS studies is that high levels of uCTX, NTX, PYD were associated with increased risk of hip fracture </w:t>
      </w:r>
      <w:r w:rsidR="009D11C5">
        <w:rPr>
          <w:rFonts w:ascii="Arial" w:hAnsi="Arial" w:cs="Arial"/>
        </w:rPr>
        <w:fldChar w:fldCharType="begin">
          <w:fldData xml:space="preserve">PEVuZE5vdGU+PENpdGU+PEF1dGhvcj5HYXJuZXJvPC9BdXRob3I+PFllYXI+MTk5NjwvWWVhcj48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MT48L2FsdC1wZXJpb2RpY2FsPjxwYWdlcz4xNTMxLTg8L3BhZ2VzPjx2b2x1bWU+MTE8L3ZvbHVt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PEVuZE5vdGU+PENpdGU+PEF1dGhvcj5HYXJuZXJvPC9BdXRob3I+PFllYXI+MTk5NjwvWWVhcj48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MT48L2FsdC1wZXJpb2RpY2FsPjxwYWdlcz4xNTMxLTg8L3BhZ2VzPjx2b2x1bWU+MTE8L3ZvbHVt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D11C5">
        <w:rPr>
          <w:rFonts w:ascii="Arial" w:hAnsi="Arial" w:cs="Arial"/>
        </w:rPr>
      </w:r>
      <w:r w:rsidR="009D11C5">
        <w:rPr>
          <w:rFonts w:ascii="Arial" w:hAnsi="Arial" w:cs="Arial"/>
        </w:rPr>
        <w:fldChar w:fldCharType="separate"/>
      </w:r>
      <w:r w:rsidR="000D155C">
        <w:rPr>
          <w:rFonts w:ascii="Arial" w:hAnsi="Arial" w:cs="Arial"/>
          <w:noProof/>
        </w:rPr>
        <w:t>(</w:t>
      </w:r>
      <w:hyperlink w:anchor="_ENREF_364" w:tooltip="Garnero, 1996 #163" w:history="1">
        <w:r w:rsidR="003B725E">
          <w:rPr>
            <w:rFonts w:ascii="Arial" w:hAnsi="Arial" w:cs="Arial"/>
            <w:noProof/>
          </w:rPr>
          <w:t>364</w:t>
        </w:r>
      </w:hyperlink>
      <w:r w:rsidR="000D155C">
        <w:rPr>
          <w:rFonts w:ascii="Arial" w:hAnsi="Arial" w:cs="Arial"/>
          <w:noProof/>
        </w:rPr>
        <w:t xml:space="preserve">, </w:t>
      </w:r>
      <w:hyperlink w:anchor="_ENREF_390" w:tooltip="van Daele, 1996 #301" w:history="1">
        <w:r w:rsidR="003B725E">
          <w:rPr>
            <w:rFonts w:ascii="Arial" w:hAnsi="Arial" w:cs="Arial"/>
            <w:noProof/>
          </w:rPr>
          <w:t>390</w:t>
        </w:r>
      </w:hyperlink>
      <w:r w:rsidR="000D155C">
        <w:rPr>
          <w:rFonts w:ascii="Arial" w:hAnsi="Arial" w:cs="Arial"/>
          <w:noProof/>
        </w:rPr>
        <w:t>)</w:t>
      </w:r>
      <w:r w:rsidR="009D11C5">
        <w:rPr>
          <w:rFonts w:ascii="Arial" w:hAnsi="Arial" w:cs="Arial"/>
        </w:rPr>
        <w:fldChar w:fldCharType="end"/>
      </w:r>
      <w:r w:rsidR="009D11C5">
        <w:rPr>
          <w:rFonts w:ascii="Arial" w:hAnsi="Arial" w:cs="Arial"/>
        </w:rPr>
        <w:t>.</w:t>
      </w:r>
      <w:r w:rsidR="00EB718E">
        <w:rPr>
          <w:rFonts w:ascii="Arial" w:hAnsi="Arial" w:cs="Arial"/>
        </w:rPr>
        <w:t xml:space="preserve"> </w:t>
      </w:r>
      <w:r w:rsidR="00DC215B">
        <w:rPr>
          <w:rFonts w:ascii="Arial" w:hAnsi="Arial" w:cs="Arial"/>
        </w:rPr>
        <w:t>Possibly for similar reasons to PINP, t</w:t>
      </w:r>
      <w:r w:rsidR="00EB718E">
        <w:rPr>
          <w:rFonts w:ascii="Arial" w:hAnsi="Arial" w:cs="Arial"/>
        </w:rPr>
        <w:t>hese studies did not assess CTX in serum, I have used this in my investigation as it is now considered as the most sensitive of the resorption markers</w:t>
      </w:r>
      <w:r w:rsidR="00945BE2">
        <w:rPr>
          <w:rFonts w:ascii="Arial" w:hAnsi="Arial" w:cs="Arial"/>
        </w:rPr>
        <w:t xml:space="preserve"> </w:t>
      </w:r>
      <w:r w:rsidR="009D11C5">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PjxSZWNOdW0+NTE4PC9SZWNOdW0+PERpc3BsYXlUZXh0PigzMTkpPC9EaXNwbGF5VGV4dD48cmVj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=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D11C5">
        <w:rPr>
          <w:rFonts w:ascii="Arial" w:hAnsi="Arial" w:cs="Arial"/>
        </w:rPr>
      </w:r>
      <w:r w:rsidR="009D11C5">
        <w:rPr>
          <w:rFonts w:ascii="Arial" w:hAnsi="Arial" w:cs="Arial"/>
        </w:rPr>
        <w:fldChar w:fldCharType="separate"/>
      </w:r>
      <w:r w:rsidR="00B64C0F">
        <w:rPr>
          <w:rFonts w:ascii="Arial" w:hAnsi="Arial" w:cs="Arial"/>
          <w:noProof/>
        </w:rPr>
        <w:t>(</w:t>
      </w:r>
      <w:hyperlink w:anchor="_ENREF_319" w:tooltip="Vasikaran, 2011 #518" w:history="1">
        <w:r w:rsidR="003B725E">
          <w:rPr>
            <w:rFonts w:ascii="Arial" w:hAnsi="Arial" w:cs="Arial"/>
            <w:noProof/>
          </w:rPr>
          <w:t>319</w:t>
        </w:r>
      </w:hyperlink>
      <w:r w:rsidR="00B64C0F">
        <w:rPr>
          <w:rFonts w:ascii="Arial" w:hAnsi="Arial" w:cs="Arial"/>
          <w:noProof/>
        </w:rPr>
        <w:t>)</w:t>
      </w:r>
      <w:r w:rsidR="009D11C5">
        <w:rPr>
          <w:rFonts w:ascii="Arial" w:hAnsi="Arial" w:cs="Arial"/>
        </w:rPr>
        <w:fldChar w:fldCharType="end"/>
      </w:r>
      <w:r w:rsidR="009D11C5">
        <w:rPr>
          <w:rFonts w:ascii="Arial" w:hAnsi="Arial" w:cs="Arial"/>
        </w:rPr>
        <w:t>.</w:t>
      </w:r>
      <w:r w:rsidR="002142A4">
        <w:rPr>
          <w:rFonts w:ascii="Arial" w:hAnsi="Arial" w:cs="Arial"/>
        </w:rPr>
        <w:t xml:space="preserve"> </w:t>
      </w:r>
    </w:p>
    <w:p w:rsidR="00E160EF" w:rsidRDefault="00371682" w:rsidP="003B725E">
      <w:pPr>
        <w:spacing w:line="360" w:lineRule="auto"/>
        <w:jc w:val="both"/>
        <w:rPr>
          <w:rFonts w:ascii="Arial" w:hAnsi="Arial" w:cs="Arial"/>
        </w:rPr>
      </w:pPr>
      <w:r>
        <w:rPr>
          <w:rFonts w:ascii="Arial" w:hAnsi="Arial" w:cs="Arial"/>
        </w:rPr>
        <w:t xml:space="preserve">A notable limitation was the low number </w:t>
      </w:r>
      <w:r w:rsidR="002142A4">
        <w:rPr>
          <w:rFonts w:ascii="Arial" w:hAnsi="Arial" w:cs="Arial"/>
        </w:rPr>
        <w:t>of vertebral fracture cases presented in this study population (more on this in the overall discussions).</w:t>
      </w:r>
      <w:r w:rsidR="00DC215B">
        <w:rPr>
          <w:rFonts w:ascii="Arial" w:hAnsi="Arial" w:cs="Arial"/>
        </w:rPr>
        <w:t xml:space="preserve"> However the total number of fractures were comparable to the N=116 women who presented with incident fractures in the </w:t>
      </w:r>
      <w:r w:rsidR="009D11C5">
        <w:rPr>
          <w:rFonts w:ascii="Arial" w:hAnsi="Arial" w:cs="Arial"/>
        </w:rPr>
        <w:t>follow-up</w:t>
      </w:r>
      <w:r w:rsidR="00DC215B">
        <w:rPr>
          <w:rFonts w:ascii="Arial" w:hAnsi="Arial" w:cs="Arial"/>
        </w:rPr>
        <w:t xml:space="preserve"> OFELY study </w:t>
      </w:r>
      <w:r w:rsidR="00D44C85">
        <w:rPr>
          <w:rFonts w:ascii="Arial" w:hAnsi="Arial" w:cs="Arial"/>
        </w:rPr>
        <w:fldChar w:fldCharType="begin"/>
      </w:r>
      <w:r w:rsidR="000D155C">
        <w:rPr>
          <w:rFonts w:ascii="Arial" w:hAnsi="Arial" w:cs="Arial"/>
        </w:rPr>
        <w:instrText xml:space="preserve"> ADDIN EN.CITE &lt;EndNote&gt;&lt;Cite&gt;&lt;Author&gt;Sornay-Rendu&lt;/Author&gt;&lt;Year&gt;2005&lt;/Year&gt;&lt;RecNum&gt;302&lt;/RecNum&gt;&lt;DisplayText&gt;(404)&lt;/DisplayText&gt;&lt;record&gt;&lt;rec-number&gt;302&lt;/rec-number&gt;&lt;foreign-keys&gt;&lt;key app="EN" db-id="p9a5ttsvyvde9me5aw2x05fp5p55axf0wr90" timestamp="1432299501"&gt;302&lt;/key&gt;&lt;/foreign-keys&gt;&lt;ref-type name="Journal Article"&gt;17&lt;/ref-type&gt;&lt;contributors&gt;&lt;authors&gt;&lt;author&gt;Sornay-Rendu, E.&lt;/author&gt;&lt;author&gt;Munoz, F.&lt;/author&gt;&lt;author&gt;Garnero, P.&lt;/author&gt;&lt;author&gt;Duboeuf, F.&lt;/author&gt;&lt;author&gt;Delmas, P. D.&lt;/author&gt;&lt;/authors&gt;&lt;/contributors&gt;&lt;auth-address&gt;INSERM Research Unit 403, E. Herriot Hospital, Lyon Cedex 03, France. rendu@lyon.inserm.fr&lt;/auth-address&gt;&lt;titles&gt;&lt;title&gt;Identification of osteopenic women at high risk of fracture: the OFELY study&lt;/title&gt;&lt;secondary-title&gt;J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1813-9&lt;/pages&gt;&lt;volume&gt;20&lt;/volume&gt;&lt;number&gt;10&lt;/number&gt;&lt;edition&gt;2005/09/15&lt;/edition&gt;&lt;keywords&gt;&lt;keyword&gt;Adult&lt;/keyword&gt;&lt;keyword&gt;Aged&lt;/keyword&gt;&lt;keyword&gt;Aged, 80 and over&lt;/keyword&gt;&lt;keyword&gt;Bone Density&lt;/keyword&gt;&lt;keyword&gt;Female&lt;/keyword&gt;&lt;keyword&gt;Fractures, Bone/ epidemiology/etiology&lt;/keyword&gt;&lt;keyword&gt;Humans&lt;/keyword&gt;&lt;keyword&gt;Incidence&lt;/keyword&gt;&lt;keyword&gt;Middle Aged&lt;/keyword&gt;&lt;keyword&gt;Osteoporosis, Postmenopausal/complications/ epidemiology&lt;/keyword&gt;&lt;keyword&gt;Postmenopause&lt;/keyword&gt;&lt;keyword&gt;Prospective Studies&lt;/keyword&gt;&lt;keyword&gt;Risk Factors&lt;/keyword&gt;&lt;/keywords&gt;&lt;dates&gt;&lt;year&gt;2005&lt;/year&gt;&lt;pub-dates&gt;&lt;date&gt;Oct&lt;/date&gt;&lt;/pub-dates&gt;&lt;/dates&gt;&lt;isbn&gt;0884-0431 (Print)&amp;#xD;0884-0431 (Linking)&lt;/isbn&gt;&lt;accession-num&gt;16160738&lt;/accession-num&gt;&lt;urls&gt;&lt;/urls&gt;&lt;electronic-resource-num&gt;10.1359/jbmr.050609&lt;/electronic-resource-num&gt;&lt;remote-database-provider&gt;NLM&lt;/remote-database-provider&gt;&lt;language&gt;eng&lt;/language&gt;&lt;/record&gt;&lt;/Cite&gt;&lt;/EndNote&gt;</w:instrText>
      </w:r>
      <w:r w:rsidR="00D44C85">
        <w:rPr>
          <w:rFonts w:ascii="Arial" w:hAnsi="Arial" w:cs="Arial"/>
        </w:rPr>
        <w:fldChar w:fldCharType="separate"/>
      </w:r>
      <w:r w:rsidR="000D155C">
        <w:rPr>
          <w:rFonts w:ascii="Arial" w:hAnsi="Arial" w:cs="Arial"/>
          <w:noProof/>
        </w:rPr>
        <w:t>(</w:t>
      </w:r>
      <w:hyperlink w:anchor="_ENREF_404" w:tooltip="Sornay-Rendu, 2005 #302" w:history="1">
        <w:r w:rsidR="003B725E">
          <w:rPr>
            <w:rFonts w:ascii="Arial" w:hAnsi="Arial" w:cs="Arial"/>
            <w:noProof/>
          </w:rPr>
          <w:t>404</w:t>
        </w:r>
      </w:hyperlink>
      <w:r w:rsidR="000D155C">
        <w:rPr>
          <w:rFonts w:ascii="Arial" w:hAnsi="Arial" w:cs="Arial"/>
          <w:noProof/>
        </w:rPr>
        <w:t>)</w:t>
      </w:r>
      <w:r w:rsidR="00D44C85">
        <w:rPr>
          <w:rFonts w:ascii="Arial" w:hAnsi="Arial" w:cs="Arial"/>
        </w:rPr>
        <w:fldChar w:fldCharType="end"/>
      </w:r>
      <w:r w:rsidR="00D44C85">
        <w:rPr>
          <w:rFonts w:ascii="Arial" w:hAnsi="Arial" w:cs="Arial"/>
        </w:rPr>
        <w:t>.</w:t>
      </w:r>
    </w:p>
    <w:p w:rsidR="00D809A2" w:rsidRPr="007B305F" w:rsidRDefault="00A66DBE" w:rsidP="00844C20">
      <w:pPr>
        <w:autoSpaceDE w:val="0"/>
        <w:autoSpaceDN w:val="0"/>
        <w:adjustRightInd w:val="0"/>
        <w:spacing w:after="0" w:line="360" w:lineRule="auto"/>
        <w:jc w:val="both"/>
        <w:rPr>
          <w:rFonts w:ascii="Arial" w:hAnsi="Arial" w:cs="Arial"/>
        </w:rPr>
      </w:pPr>
      <w:r w:rsidRPr="007B305F">
        <w:rPr>
          <w:rFonts w:ascii="Arial" w:hAnsi="Arial" w:cs="Arial"/>
        </w:rPr>
        <w:t xml:space="preserve">By </w:t>
      </w:r>
      <w:r w:rsidR="00E160EF">
        <w:rPr>
          <w:rFonts w:ascii="Arial" w:hAnsi="Arial" w:cs="Arial"/>
        </w:rPr>
        <w:t>investigating</w:t>
      </w:r>
      <w:r w:rsidRPr="007B305F">
        <w:rPr>
          <w:rFonts w:ascii="Arial" w:hAnsi="Arial" w:cs="Arial"/>
        </w:rPr>
        <w:t xml:space="preserve"> </w:t>
      </w:r>
      <w:r w:rsidR="00E160EF">
        <w:rPr>
          <w:rFonts w:ascii="Arial" w:hAnsi="Arial" w:cs="Arial"/>
        </w:rPr>
        <w:t>the</w:t>
      </w:r>
      <w:r w:rsidRPr="007B305F">
        <w:rPr>
          <w:rFonts w:ascii="Arial" w:hAnsi="Arial" w:cs="Arial"/>
        </w:rPr>
        <w:t xml:space="preserve"> two main components</w:t>
      </w:r>
      <w:r w:rsidR="00E160EF">
        <w:rPr>
          <w:rFonts w:ascii="Arial" w:hAnsi="Arial" w:cs="Arial"/>
        </w:rPr>
        <w:t xml:space="preserve"> of </w:t>
      </w:r>
      <w:r w:rsidR="00E160EF" w:rsidRPr="007B305F">
        <w:rPr>
          <w:rFonts w:ascii="Arial" w:hAnsi="Arial" w:cs="Arial"/>
        </w:rPr>
        <w:t>bone remodelling</w:t>
      </w:r>
      <w:r w:rsidRPr="007B305F">
        <w:rPr>
          <w:rFonts w:ascii="Arial" w:hAnsi="Arial" w:cs="Arial"/>
        </w:rPr>
        <w:t xml:space="preserve"> </w:t>
      </w:r>
      <w:r w:rsidR="00F27058" w:rsidRPr="007B305F">
        <w:rPr>
          <w:rFonts w:ascii="Arial" w:hAnsi="Arial" w:cs="Arial"/>
        </w:rPr>
        <w:t>i.e. turnover</w:t>
      </w:r>
      <w:r w:rsidR="00D44C85">
        <w:rPr>
          <w:rFonts w:ascii="Arial" w:hAnsi="Arial" w:cs="Arial"/>
        </w:rPr>
        <w:t xml:space="preserve"> state</w:t>
      </w:r>
      <w:r w:rsidR="00F27058" w:rsidRPr="007B305F">
        <w:rPr>
          <w:rFonts w:ascii="Arial" w:hAnsi="Arial" w:cs="Arial"/>
        </w:rPr>
        <w:t xml:space="preserve"> and balance using this method</w:t>
      </w:r>
      <w:r w:rsidR="003D6C99" w:rsidRPr="007B305F">
        <w:rPr>
          <w:rFonts w:ascii="Arial" w:hAnsi="Arial" w:cs="Arial"/>
        </w:rPr>
        <w:t>, allows each</w:t>
      </w:r>
      <w:r w:rsidR="00F27058" w:rsidRPr="007B305F">
        <w:rPr>
          <w:rFonts w:ascii="Arial" w:hAnsi="Arial" w:cs="Arial"/>
        </w:rPr>
        <w:t xml:space="preserve"> to be</w:t>
      </w:r>
      <w:r w:rsidRPr="007B305F">
        <w:rPr>
          <w:rFonts w:ascii="Arial" w:hAnsi="Arial" w:cs="Arial"/>
        </w:rPr>
        <w:t xml:space="preserve"> investigated quantitatively and in relation to each other.</w:t>
      </w:r>
    </w:p>
    <w:p w:rsidR="009030C6" w:rsidRDefault="005B6D66" w:rsidP="00844C20">
      <w:pPr>
        <w:pStyle w:val="Heading2"/>
        <w:tabs>
          <w:tab w:val="left" w:pos="1784"/>
        </w:tabs>
        <w:jc w:val="both"/>
      </w:pPr>
      <w:bookmarkStart w:id="153" w:name="_Toc425418935"/>
      <w:r>
        <w:t>Conclusions</w:t>
      </w:r>
      <w:bookmarkEnd w:id="153"/>
    </w:p>
    <w:p w:rsidR="00C45858" w:rsidRPr="00C45858" w:rsidRDefault="00C45858" w:rsidP="00844C20">
      <w:pPr>
        <w:spacing w:line="360" w:lineRule="auto"/>
        <w:jc w:val="both"/>
        <w:rPr>
          <w:rFonts w:ascii="Arial" w:hAnsi="Arial" w:cs="Arial"/>
        </w:rPr>
      </w:pPr>
      <w:r w:rsidRPr="00C45858">
        <w:rPr>
          <w:rFonts w:ascii="Arial" w:hAnsi="Arial" w:cs="Arial"/>
        </w:rPr>
        <w:t xml:space="preserve">Postmenopausal women have high bone turnover and an imbalance between bone resorption and bone formation. The T-score bone marker plot described here may enable researchers (and possibly clinicians) to quantitatively and qualitatively </w:t>
      </w:r>
      <w:r w:rsidR="00D44C85">
        <w:rPr>
          <w:rFonts w:ascii="Arial" w:hAnsi="Arial" w:cs="Arial"/>
        </w:rPr>
        <w:t xml:space="preserve">determine </w:t>
      </w:r>
      <w:r w:rsidRPr="00C45858">
        <w:rPr>
          <w:rFonts w:ascii="Arial" w:hAnsi="Arial" w:cs="Arial"/>
        </w:rPr>
        <w:t xml:space="preserve">the </w:t>
      </w:r>
      <w:r w:rsidRPr="00C45858">
        <w:rPr>
          <w:rFonts w:ascii="Arial" w:hAnsi="Arial" w:cs="Arial"/>
        </w:rPr>
        <w:lastRenderedPageBreak/>
        <w:t>state of bone turnover and bone balance in postmenopausal women and possibly other diseases characterised by an increased state of bone remodelling.</w:t>
      </w:r>
    </w:p>
    <w:p w:rsidR="00C45858" w:rsidRPr="00C45858" w:rsidRDefault="00290243" w:rsidP="00844C20">
      <w:pPr>
        <w:spacing w:line="360" w:lineRule="auto"/>
        <w:jc w:val="both"/>
        <w:rPr>
          <w:rFonts w:ascii="Arial" w:hAnsi="Arial" w:cs="Arial"/>
        </w:rPr>
      </w:pPr>
      <w:r>
        <w:rPr>
          <w:rFonts w:ascii="Arial" w:hAnsi="Arial" w:cs="Arial"/>
        </w:rPr>
        <w:t xml:space="preserve">The potential utility of the T-score bone marker plot must be further validated in other cohorts. </w:t>
      </w:r>
      <w:r w:rsidR="00C45858" w:rsidRPr="00C45858">
        <w:rPr>
          <w:rFonts w:ascii="Arial" w:hAnsi="Arial" w:cs="Arial"/>
        </w:rPr>
        <w:t>It may be possible to use bone balance as a predictor of bone loss and fracture risk. In addition it may be that CTX is the better predictor of bone loss and PINP of fracture risk. These findings have not been previously reported and adds to our current understanding of how fracture risk can be identified</w:t>
      </w:r>
      <w:r w:rsidR="00D44C85">
        <w:rPr>
          <w:rFonts w:ascii="Arial" w:hAnsi="Arial" w:cs="Arial"/>
        </w:rPr>
        <w:t>/predictive from BTM measurements</w:t>
      </w:r>
      <w:r w:rsidR="00C45858" w:rsidRPr="00C45858">
        <w:rPr>
          <w:rFonts w:ascii="Arial" w:hAnsi="Arial" w:cs="Arial"/>
        </w:rPr>
        <w:t xml:space="preserve"> and therefore possibly prevented.</w:t>
      </w:r>
      <w:r>
        <w:rPr>
          <w:rFonts w:ascii="Arial" w:hAnsi="Arial" w:cs="Arial"/>
        </w:rPr>
        <w:t xml:space="preserve"> </w:t>
      </w:r>
    </w:p>
    <w:p w:rsidR="00C45858" w:rsidRPr="00C45858" w:rsidRDefault="00C45858" w:rsidP="00844C20">
      <w:pPr>
        <w:spacing w:line="360" w:lineRule="auto"/>
        <w:jc w:val="both"/>
        <w:rPr>
          <w:rFonts w:ascii="Arial" w:hAnsi="Arial" w:cs="Arial"/>
        </w:rPr>
      </w:pPr>
      <w:r w:rsidRPr="00C45858">
        <w:rPr>
          <w:rFonts w:ascii="Arial" w:hAnsi="Arial" w:cs="Arial"/>
        </w:rPr>
        <w:t>The findings from this chapter will allow me to investigate this imbalance further by establishing how it is effected with antiresorptive treatments.</w:t>
      </w:r>
      <w:r w:rsidR="007419A7">
        <w:rPr>
          <w:rFonts w:ascii="Arial" w:hAnsi="Arial" w:cs="Arial"/>
        </w:rPr>
        <w:t xml:space="preserve"> In order to do this fully it is necessary to establish the effects of some antiresorptive treatments on BTMs </w:t>
      </w:r>
      <w:r w:rsidR="002313DC">
        <w:rPr>
          <w:rFonts w:ascii="Arial" w:hAnsi="Arial" w:cs="Arial"/>
        </w:rPr>
        <w:t>with regards to duration of action and magnitude (subsequent chapter</w:t>
      </w:r>
      <w:r w:rsidR="00995D3E">
        <w:rPr>
          <w:rFonts w:ascii="Arial" w:hAnsi="Arial" w:cs="Arial"/>
        </w:rPr>
        <w:t>s</w:t>
      </w:r>
      <w:r w:rsidR="002313DC">
        <w:rPr>
          <w:rFonts w:ascii="Arial" w:hAnsi="Arial" w:cs="Arial"/>
        </w:rPr>
        <w:t>).</w:t>
      </w:r>
    </w:p>
    <w:p w:rsidR="00401556" w:rsidRDefault="00401556" w:rsidP="00844C20">
      <w:pPr>
        <w:pStyle w:val="Heading1"/>
        <w:jc w:val="both"/>
      </w:pPr>
    </w:p>
    <w:p w:rsidR="00401556" w:rsidRDefault="00401556" w:rsidP="00900F2C"/>
    <w:p w:rsidR="00401556" w:rsidRPr="00401556" w:rsidRDefault="00401556" w:rsidP="00900F2C"/>
    <w:p w:rsidR="004009E5" w:rsidRDefault="004009E5" w:rsidP="00900F2C">
      <w:pPr>
        <w:pStyle w:val="Heading1"/>
      </w:pPr>
    </w:p>
    <w:p w:rsidR="004009E5" w:rsidRDefault="004009E5" w:rsidP="00900F2C">
      <w:pPr>
        <w:pStyle w:val="Heading1"/>
      </w:pPr>
    </w:p>
    <w:p w:rsidR="004009E5" w:rsidRDefault="004009E5" w:rsidP="00900F2C">
      <w:pPr>
        <w:pStyle w:val="Heading1"/>
      </w:pPr>
    </w:p>
    <w:p w:rsidR="004009E5" w:rsidRDefault="004009E5" w:rsidP="00900F2C">
      <w:pPr>
        <w:pStyle w:val="Heading1"/>
      </w:pPr>
    </w:p>
    <w:p w:rsidR="004009E5" w:rsidRDefault="004009E5" w:rsidP="00900F2C">
      <w:pPr>
        <w:pStyle w:val="Heading1"/>
      </w:pPr>
    </w:p>
    <w:p w:rsidR="004009E5" w:rsidRDefault="004009E5" w:rsidP="00900F2C">
      <w:pPr>
        <w:pStyle w:val="Heading1"/>
      </w:pPr>
    </w:p>
    <w:p w:rsidR="004009E5" w:rsidRDefault="004009E5" w:rsidP="00900F2C">
      <w:pPr>
        <w:pStyle w:val="Heading1"/>
      </w:pPr>
    </w:p>
    <w:p w:rsidR="004009E5" w:rsidRDefault="004009E5" w:rsidP="00900F2C"/>
    <w:p w:rsidR="004009E5" w:rsidRPr="004009E5" w:rsidRDefault="004009E5" w:rsidP="00900F2C"/>
    <w:p w:rsidR="00415FE9" w:rsidRDefault="00415FE9" w:rsidP="00844C20">
      <w:pPr>
        <w:pStyle w:val="Heading1"/>
        <w:jc w:val="both"/>
      </w:pPr>
      <w:bookmarkStart w:id="154" w:name="_Toc425418936"/>
      <w:r>
        <w:lastRenderedPageBreak/>
        <w:t xml:space="preserve">Chapter 5: </w:t>
      </w:r>
      <w:r w:rsidR="006F5036">
        <w:t>The effect of antiresorptive treatments on biochemical markers of bone turnover</w:t>
      </w:r>
      <w:bookmarkEnd w:id="154"/>
    </w:p>
    <w:p w:rsidR="00A457EF" w:rsidRDefault="00A457EF" w:rsidP="00844C20">
      <w:pPr>
        <w:pStyle w:val="Heading2"/>
        <w:jc w:val="both"/>
      </w:pPr>
      <w:bookmarkStart w:id="155" w:name="_Toc425418937"/>
      <w:r>
        <w:t>Introduction</w:t>
      </w:r>
      <w:bookmarkEnd w:id="155"/>
    </w:p>
    <w:p w:rsidR="00ED7D9F" w:rsidRPr="00C02DB7" w:rsidRDefault="008D1402" w:rsidP="003B725E">
      <w:pPr>
        <w:spacing w:line="360" w:lineRule="auto"/>
        <w:jc w:val="both"/>
        <w:rPr>
          <w:rFonts w:ascii="Arial" w:hAnsi="Arial" w:cs="Arial"/>
        </w:rPr>
      </w:pPr>
      <w:r w:rsidRPr="00C02DB7">
        <w:rPr>
          <w:rFonts w:ascii="Arial" w:hAnsi="Arial" w:cs="Arial"/>
        </w:rPr>
        <w:t>Antiresorptive treatments used in postmenopausal osteoporosis have shown to reduce bone turnover and the activation frequency, increase BMD and reduce bone loss and fracture risk</w:t>
      </w:r>
      <w:r w:rsidR="001E60B6">
        <w:rPr>
          <w:rFonts w:ascii="Arial" w:hAnsi="Arial" w:cs="Arial"/>
        </w:rPr>
        <w:t xml:space="preserve">, </w:t>
      </w:r>
      <w:r w:rsidR="001E60B6">
        <w:rPr>
          <w:rFonts w:ascii="Arial" w:hAnsi="Arial" w:cs="Arial"/>
        </w:rPr>
        <w:fldChar w:fldCharType="begin">
          <w:fldData xml:space="preserve">PEVuZE5vdGU+PENpdGU+PEF1dGhvcj5SaWdnczwvQXV0aG9yPjxZZWFyPjIwMDU8L1llYXI+PFJl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YXJjaDwvYWJici0xPjwvcGVyaW9kaWNhbD48YWx0LXBlcmlvZGljYWw+PGZ1bGwtdGl0bGU+SiBC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PEVuZE5vdGU+PENpdGU+PEF1dGhvcj5SaWdnczwvQXV0aG9yPjxZZWFyPjIwMDU8L1llYXI+PFJl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YXJjaDwvYWJici0xPjwvcGVyaW9kaWNhbD48YWx0LXBlcmlvZGljYWw+PGZ1bGwtdGl0bGU+SiBC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1E60B6">
        <w:rPr>
          <w:rFonts w:ascii="Arial" w:hAnsi="Arial" w:cs="Arial"/>
        </w:rPr>
      </w:r>
      <w:r w:rsidR="001E60B6">
        <w:rPr>
          <w:rFonts w:ascii="Arial" w:hAnsi="Arial" w:cs="Arial"/>
        </w:rPr>
        <w:fldChar w:fldCharType="separate"/>
      </w:r>
      <w:r w:rsidR="008E761B">
        <w:rPr>
          <w:rFonts w:ascii="Arial" w:hAnsi="Arial" w:cs="Arial"/>
          <w:noProof/>
        </w:rPr>
        <w:t>(</w:t>
      </w:r>
      <w:hyperlink w:anchor="_ENREF_235" w:tooltip="Riggs, 2005 #130" w:history="1">
        <w:r w:rsidR="003B725E">
          <w:rPr>
            <w:rFonts w:ascii="Arial" w:hAnsi="Arial" w:cs="Arial"/>
            <w:noProof/>
          </w:rPr>
          <w:t>235</w:t>
        </w:r>
      </w:hyperlink>
      <w:r w:rsidR="008E761B">
        <w:rPr>
          <w:rFonts w:ascii="Arial" w:hAnsi="Arial" w:cs="Arial"/>
          <w:noProof/>
        </w:rPr>
        <w:t xml:space="preserve">, </w:t>
      </w:r>
      <w:hyperlink w:anchor="_ENREF_239" w:tooltip="Russell, 2011 #220" w:history="1">
        <w:r w:rsidR="003B725E">
          <w:rPr>
            <w:rFonts w:ascii="Arial" w:hAnsi="Arial" w:cs="Arial"/>
            <w:noProof/>
          </w:rPr>
          <w:t>239</w:t>
        </w:r>
      </w:hyperlink>
      <w:r w:rsidR="008E761B">
        <w:rPr>
          <w:rFonts w:ascii="Arial" w:hAnsi="Arial" w:cs="Arial"/>
          <w:noProof/>
        </w:rPr>
        <w:t>)</w:t>
      </w:r>
      <w:r w:rsidR="001E60B6">
        <w:rPr>
          <w:rFonts w:ascii="Arial" w:hAnsi="Arial" w:cs="Arial"/>
        </w:rPr>
        <w:fldChar w:fldCharType="end"/>
      </w:r>
      <w:r w:rsidRPr="00C02DB7">
        <w:rPr>
          <w:rFonts w:ascii="Arial" w:hAnsi="Arial" w:cs="Arial"/>
        </w:rPr>
        <w:t>.</w:t>
      </w:r>
      <w:r w:rsidR="00D12B47" w:rsidRPr="00C02DB7">
        <w:rPr>
          <w:rFonts w:ascii="Arial" w:hAnsi="Arial" w:cs="Arial"/>
        </w:rPr>
        <w:t xml:space="preserve"> </w:t>
      </w:r>
      <w:r w:rsidR="0063503D" w:rsidRPr="00C02DB7">
        <w:rPr>
          <w:rFonts w:ascii="Arial" w:hAnsi="Arial" w:cs="Arial"/>
        </w:rPr>
        <w:t>Bisphosphonates bind to the hydroxyapatite on the bone surface and reduce osteoclast activity and raloxifene acts as an estrogen agonist on bone</w:t>
      </w:r>
      <w:r w:rsidR="00D12B47" w:rsidRPr="00C02DB7">
        <w:rPr>
          <w:rFonts w:ascii="Arial" w:hAnsi="Arial" w:cs="Arial"/>
        </w:rPr>
        <w:t xml:space="preserve"> reducing osteoclast proliferation and differentiation</w:t>
      </w:r>
      <w:r w:rsidR="0063503D" w:rsidRPr="00C02DB7">
        <w:rPr>
          <w:rFonts w:ascii="Arial" w:hAnsi="Arial" w:cs="Arial"/>
        </w:rPr>
        <w:t>.</w:t>
      </w:r>
      <w:r w:rsidR="00ED7D9F" w:rsidRPr="00C02DB7">
        <w:rPr>
          <w:rFonts w:ascii="Arial" w:hAnsi="Arial" w:cs="Arial"/>
        </w:rPr>
        <w:t xml:space="preserve"> </w:t>
      </w:r>
      <w:r w:rsidR="009B3BFA" w:rsidRPr="00C02DB7">
        <w:rPr>
          <w:rFonts w:ascii="Arial" w:hAnsi="Arial" w:cs="Arial"/>
        </w:rPr>
        <w:t>It has previously been shown that levels of BTMs</w:t>
      </w:r>
      <w:r w:rsidR="00033257" w:rsidRPr="00C02DB7">
        <w:rPr>
          <w:rFonts w:ascii="Arial" w:hAnsi="Arial" w:cs="Arial"/>
        </w:rPr>
        <w:t xml:space="preserve"> decrease </w:t>
      </w:r>
      <w:r w:rsidR="009B3BFA" w:rsidRPr="00C02DB7">
        <w:rPr>
          <w:rFonts w:ascii="Arial" w:hAnsi="Arial" w:cs="Arial"/>
        </w:rPr>
        <w:t xml:space="preserve">in response to </w:t>
      </w:r>
      <w:r w:rsidR="00ED7D9F" w:rsidRPr="00C02DB7">
        <w:rPr>
          <w:rFonts w:ascii="Arial" w:hAnsi="Arial" w:cs="Arial"/>
        </w:rPr>
        <w:t xml:space="preserve">antiresorptive </w:t>
      </w:r>
      <w:r w:rsidR="009B3BFA" w:rsidRPr="00C02DB7">
        <w:rPr>
          <w:rFonts w:ascii="Arial" w:hAnsi="Arial" w:cs="Arial"/>
        </w:rPr>
        <w:t>treatment</w:t>
      </w:r>
      <w:r w:rsidR="00ED7D9F" w:rsidRPr="00C02DB7">
        <w:rPr>
          <w:rFonts w:ascii="Arial" w:hAnsi="Arial" w:cs="Arial"/>
        </w:rPr>
        <w:t>s</w:t>
      </w:r>
      <w:r w:rsidR="009B3BFA" w:rsidRPr="00C02DB7">
        <w:rPr>
          <w:rFonts w:ascii="Arial" w:hAnsi="Arial" w:cs="Arial"/>
        </w:rPr>
        <w:t xml:space="preserve"> in postmenopausal women with osteoporosis</w:t>
      </w:r>
      <w:r w:rsidR="001E60B6">
        <w:rPr>
          <w:rFonts w:ascii="Arial" w:hAnsi="Arial" w:cs="Arial"/>
        </w:rPr>
        <w:t xml:space="preserve">, </w:t>
      </w:r>
      <w:r w:rsidR="001E60B6">
        <w:rPr>
          <w:rFonts w:ascii="Arial" w:hAnsi="Arial" w:cs="Arial"/>
        </w:rPr>
        <w:fldChar w:fldCharType="begin">
          <w:fldData xml:space="preserve">PEVuZE5vdGU+PENpdGU+PEF1dGhvcj5CYW5kZWlyYTwvQXV0aG9yPjxZZWFyPjIwMTQ8L1llYXI+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PEVuZE5vdGU+PENpdGU+PEF1dGhvcj5CYW5kZWlyYTwvQXV0aG9yPjxZZWFyPjIwMTQ8L1llYXI+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E60B6">
        <w:rPr>
          <w:rFonts w:ascii="Arial" w:hAnsi="Arial" w:cs="Arial"/>
        </w:rPr>
      </w:r>
      <w:r w:rsidR="001E60B6">
        <w:rPr>
          <w:rFonts w:ascii="Arial" w:hAnsi="Arial" w:cs="Arial"/>
        </w:rPr>
        <w:fldChar w:fldCharType="separate"/>
      </w:r>
      <w:r w:rsidR="000D155C">
        <w:rPr>
          <w:rFonts w:ascii="Arial" w:hAnsi="Arial" w:cs="Arial"/>
          <w:noProof/>
        </w:rPr>
        <w:t>(</w:t>
      </w:r>
      <w:hyperlink w:anchor="_ENREF_405" w:tooltip="Bandeira, 2014 #527" w:history="1">
        <w:r w:rsidR="003B725E">
          <w:rPr>
            <w:rFonts w:ascii="Arial" w:hAnsi="Arial" w:cs="Arial"/>
            <w:noProof/>
          </w:rPr>
          <w:t>405</w:t>
        </w:r>
      </w:hyperlink>
      <w:r w:rsidR="000D155C">
        <w:rPr>
          <w:rFonts w:ascii="Arial" w:hAnsi="Arial" w:cs="Arial"/>
          <w:noProof/>
        </w:rPr>
        <w:t>)</w:t>
      </w:r>
      <w:r w:rsidR="001E60B6">
        <w:rPr>
          <w:rFonts w:ascii="Arial" w:hAnsi="Arial" w:cs="Arial"/>
        </w:rPr>
        <w:fldChar w:fldCharType="end"/>
      </w:r>
      <w:r w:rsidR="009B3BFA" w:rsidRPr="00C02DB7">
        <w:rPr>
          <w:rFonts w:ascii="Arial" w:hAnsi="Arial" w:cs="Arial"/>
        </w:rPr>
        <w:t xml:space="preserve">.  </w:t>
      </w:r>
      <w:r w:rsidR="00033257" w:rsidRPr="00C02DB7">
        <w:rPr>
          <w:rFonts w:ascii="Arial" w:hAnsi="Arial" w:cs="Arial"/>
        </w:rPr>
        <w:t>This is a large</w:t>
      </w:r>
      <w:r w:rsidR="00ED7D9F" w:rsidRPr="00C02DB7">
        <w:rPr>
          <w:rFonts w:ascii="Arial" w:hAnsi="Arial" w:cs="Arial"/>
        </w:rPr>
        <w:t>r</w:t>
      </w:r>
      <w:r w:rsidR="00033257" w:rsidRPr="00C02DB7">
        <w:rPr>
          <w:rFonts w:ascii="Arial" w:hAnsi="Arial" w:cs="Arial"/>
        </w:rPr>
        <w:t xml:space="preserve"> and </w:t>
      </w:r>
      <w:r w:rsidR="00ED7D9F" w:rsidRPr="00C02DB7">
        <w:rPr>
          <w:rFonts w:ascii="Arial" w:hAnsi="Arial" w:cs="Arial"/>
        </w:rPr>
        <w:t xml:space="preserve">more </w:t>
      </w:r>
      <w:r w:rsidR="00033257" w:rsidRPr="00C02DB7">
        <w:rPr>
          <w:rFonts w:ascii="Arial" w:hAnsi="Arial" w:cs="Arial"/>
        </w:rPr>
        <w:t xml:space="preserve">rapid response compared to </w:t>
      </w:r>
      <w:r w:rsidR="00ED7D9F" w:rsidRPr="00C02DB7">
        <w:rPr>
          <w:rFonts w:ascii="Arial" w:hAnsi="Arial" w:cs="Arial"/>
        </w:rPr>
        <w:t xml:space="preserve">the modest change in </w:t>
      </w:r>
      <w:r w:rsidR="00033257" w:rsidRPr="00C02DB7">
        <w:rPr>
          <w:rFonts w:ascii="Arial" w:hAnsi="Arial" w:cs="Arial"/>
        </w:rPr>
        <w:t>BMD</w:t>
      </w:r>
      <w:r w:rsidR="00ED7D9F" w:rsidRPr="00C02DB7">
        <w:rPr>
          <w:rFonts w:ascii="Arial" w:hAnsi="Arial" w:cs="Arial"/>
        </w:rPr>
        <w:t xml:space="preserve"> which occurs after months/years. </w:t>
      </w:r>
      <w:r w:rsidR="0044570D" w:rsidRPr="00C02DB7">
        <w:rPr>
          <w:rFonts w:ascii="Arial" w:hAnsi="Arial" w:cs="Arial"/>
        </w:rPr>
        <w:t>These features make BTMs attractive and provide</w:t>
      </w:r>
      <w:r w:rsidR="00ED7D9F" w:rsidRPr="00C02DB7">
        <w:rPr>
          <w:rFonts w:ascii="Arial" w:hAnsi="Arial" w:cs="Arial"/>
        </w:rPr>
        <w:t xml:space="preserve"> a rationale for them to be used as a treatment monitoring tool in a clinical setting.</w:t>
      </w:r>
    </w:p>
    <w:p w:rsidR="00CD10DF" w:rsidRPr="00C02DB7" w:rsidRDefault="00C52499" w:rsidP="003B725E">
      <w:pPr>
        <w:spacing w:line="360" w:lineRule="auto"/>
        <w:jc w:val="both"/>
        <w:rPr>
          <w:rFonts w:ascii="Arial" w:hAnsi="Arial" w:cs="Arial"/>
        </w:rPr>
      </w:pPr>
      <w:r w:rsidRPr="00C02DB7">
        <w:rPr>
          <w:rFonts w:ascii="Arial" w:hAnsi="Arial" w:cs="Arial"/>
        </w:rPr>
        <w:t xml:space="preserve">Several clinical trials have been carried out to investigate the response of BTMs to bisphosphonate </w:t>
      </w:r>
      <w:r w:rsidR="0091429E" w:rsidRPr="00C02DB7">
        <w:rPr>
          <w:rFonts w:ascii="Arial" w:hAnsi="Arial" w:cs="Arial"/>
        </w:rPr>
        <w:t xml:space="preserve">and raloxifene </w:t>
      </w:r>
      <w:r w:rsidRPr="00C02DB7">
        <w:rPr>
          <w:rFonts w:ascii="Arial" w:hAnsi="Arial" w:cs="Arial"/>
        </w:rPr>
        <w:t xml:space="preserve">treatments. </w:t>
      </w:r>
      <w:r w:rsidR="009B3BFA" w:rsidRPr="00C02DB7">
        <w:rPr>
          <w:rFonts w:ascii="Arial" w:hAnsi="Arial" w:cs="Arial"/>
        </w:rPr>
        <w:t xml:space="preserve">A trial of </w:t>
      </w:r>
      <w:r w:rsidR="0091429E" w:rsidRPr="00C02DB7">
        <w:rPr>
          <w:rFonts w:ascii="Arial" w:hAnsi="Arial" w:cs="Arial"/>
        </w:rPr>
        <w:t>risedronate</w:t>
      </w:r>
      <w:r w:rsidR="009B3BFA" w:rsidRPr="00C02DB7">
        <w:rPr>
          <w:rFonts w:ascii="Arial" w:hAnsi="Arial" w:cs="Arial"/>
        </w:rPr>
        <w:t xml:space="preserve"> demonstrated a significant reduction in NTX/Cr and CTX </w:t>
      </w:r>
      <w:r w:rsidR="002A401A" w:rsidRPr="00C02DB7">
        <w:rPr>
          <w:rFonts w:ascii="Arial" w:hAnsi="Arial" w:cs="Arial"/>
        </w:rPr>
        <w:t>levels;</w:t>
      </w:r>
      <w:r w:rsidR="009B3BFA" w:rsidRPr="00C02DB7">
        <w:rPr>
          <w:rFonts w:ascii="Arial" w:hAnsi="Arial" w:cs="Arial"/>
        </w:rPr>
        <w:t xml:space="preserve"> in addition this was associated with a reduced risk of fracture </w:t>
      </w:r>
      <w:r w:rsidR="002A401A" w:rsidRPr="00C02DB7">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PEVuZE5vdGU+PENpdGU+PEF1dGhvcj5FYXN0ZWxsPC9BdXRob3I+PFllYXI+MjAwMzwvWWVhcj48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2A401A" w:rsidRPr="00C02DB7">
        <w:rPr>
          <w:rFonts w:ascii="Arial" w:hAnsi="Arial" w:cs="Arial"/>
        </w:rPr>
      </w:r>
      <w:r w:rsidR="002A401A" w:rsidRPr="00C02DB7">
        <w:rPr>
          <w:rFonts w:ascii="Arial" w:hAnsi="Arial" w:cs="Arial"/>
        </w:rPr>
        <w:fldChar w:fldCharType="separate"/>
      </w:r>
      <w:r w:rsidR="008E761B">
        <w:rPr>
          <w:rFonts w:ascii="Arial" w:hAnsi="Arial" w:cs="Arial"/>
          <w:noProof/>
        </w:rPr>
        <w:t>(</w:t>
      </w:r>
      <w:hyperlink w:anchor="_ENREF_310" w:tooltip="Eastell, 2003 #170" w:history="1">
        <w:r w:rsidR="003B725E">
          <w:rPr>
            <w:rFonts w:ascii="Arial" w:hAnsi="Arial" w:cs="Arial"/>
            <w:noProof/>
          </w:rPr>
          <w:t>310</w:t>
        </w:r>
      </w:hyperlink>
      <w:r w:rsidR="008E761B">
        <w:rPr>
          <w:rFonts w:ascii="Arial" w:hAnsi="Arial" w:cs="Arial"/>
          <w:noProof/>
        </w:rPr>
        <w:t>)</w:t>
      </w:r>
      <w:r w:rsidR="002A401A" w:rsidRPr="00C02DB7">
        <w:rPr>
          <w:rFonts w:ascii="Arial" w:hAnsi="Arial" w:cs="Arial"/>
        </w:rPr>
        <w:fldChar w:fldCharType="end"/>
      </w:r>
      <w:r w:rsidR="002A401A" w:rsidRPr="00C02DB7">
        <w:rPr>
          <w:rFonts w:ascii="Arial" w:hAnsi="Arial" w:cs="Arial"/>
        </w:rPr>
        <w:t>.</w:t>
      </w:r>
      <w:r w:rsidR="00CD10DF" w:rsidRPr="00C02DB7">
        <w:rPr>
          <w:rFonts w:ascii="Arial" w:hAnsi="Arial" w:cs="Arial"/>
        </w:rPr>
        <w:t xml:space="preserve"> </w:t>
      </w:r>
      <w:r w:rsidR="009443FB">
        <w:rPr>
          <w:rFonts w:ascii="Arial" w:hAnsi="Arial" w:cs="Arial"/>
        </w:rPr>
        <w:t>Risedronate therapy results in a</w:t>
      </w:r>
      <w:r w:rsidR="00CD10DF" w:rsidRPr="00C02DB7">
        <w:rPr>
          <w:rFonts w:ascii="Arial" w:hAnsi="Arial" w:cs="Arial"/>
        </w:rPr>
        <w:t xml:space="preserve"> 40 to 55% reduction in bone resorption markers and 15% reduction in bon</w:t>
      </w:r>
      <w:r w:rsidR="009443FB">
        <w:rPr>
          <w:rFonts w:ascii="Arial" w:hAnsi="Arial" w:cs="Arial"/>
        </w:rPr>
        <w:t>e ALP</w:t>
      </w:r>
      <w:r w:rsidR="00CD10DF" w:rsidRPr="00C02DB7">
        <w:rPr>
          <w:rFonts w:ascii="Arial" w:hAnsi="Arial" w:cs="Arial"/>
        </w:rPr>
        <w:t xml:space="preserve"> </w:t>
      </w:r>
      <w:r w:rsidR="002A401A" w:rsidRPr="00C02DB7">
        <w:rPr>
          <w:rFonts w:ascii="Arial" w:hAnsi="Arial" w:cs="Arial"/>
        </w:rPr>
        <w:fldChar w:fldCharType="begin">
          <w:fldData xml:space="preserve">PEVuZE5vdGU+PENpdGU+PEF1dGhvcj5IYXJyaXM8L0F1dGhvcj48WWVhcj4xOTk5PC9ZZWFyPjxS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PEVuZE5vdGU+PENpdGU+PEF1dGhvcj5IYXJyaXM8L0F1dGhvcj48WWVhcj4xOTk5PC9ZZWFyPjxS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2A401A" w:rsidRPr="00C02DB7">
        <w:rPr>
          <w:rFonts w:ascii="Arial" w:hAnsi="Arial" w:cs="Arial"/>
        </w:rPr>
      </w:r>
      <w:r w:rsidR="002A401A" w:rsidRPr="00C02DB7">
        <w:rPr>
          <w:rFonts w:ascii="Arial" w:hAnsi="Arial" w:cs="Arial"/>
        </w:rPr>
        <w:fldChar w:fldCharType="separate"/>
      </w:r>
      <w:r w:rsidR="000D155C">
        <w:rPr>
          <w:rFonts w:ascii="Arial" w:hAnsi="Arial" w:cs="Arial"/>
          <w:noProof/>
        </w:rPr>
        <w:t>(</w:t>
      </w:r>
      <w:hyperlink w:anchor="_ENREF_311" w:tooltip="Harris, 1999 #196" w:history="1">
        <w:r w:rsidR="003B725E">
          <w:rPr>
            <w:rFonts w:ascii="Arial" w:hAnsi="Arial" w:cs="Arial"/>
            <w:noProof/>
          </w:rPr>
          <w:t>311</w:t>
        </w:r>
      </w:hyperlink>
      <w:r w:rsidR="000D155C">
        <w:rPr>
          <w:rFonts w:ascii="Arial" w:hAnsi="Arial" w:cs="Arial"/>
          <w:noProof/>
        </w:rPr>
        <w:t xml:space="preserve">, </w:t>
      </w:r>
      <w:hyperlink w:anchor="_ENREF_406" w:tooltip="Rosen, 2005 #197" w:history="1">
        <w:r w:rsidR="003B725E">
          <w:rPr>
            <w:rFonts w:ascii="Arial" w:hAnsi="Arial" w:cs="Arial"/>
            <w:noProof/>
          </w:rPr>
          <w:t>406</w:t>
        </w:r>
      </w:hyperlink>
      <w:r w:rsidR="000D155C">
        <w:rPr>
          <w:rFonts w:ascii="Arial" w:hAnsi="Arial" w:cs="Arial"/>
          <w:noProof/>
        </w:rPr>
        <w:t>)</w:t>
      </w:r>
      <w:r w:rsidR="002A401A" w:rsidRPr="00C02DB7">
        <w:rPr>
          <w:rFonts w:ascii="Arial" w:hAnsi="Arial" w:cs="Arial"/>
        </w:rPr>
        <w:fldChar w:fldCharType="end"/>
      </w:r>
      <w:r w:rsidR="002A401A" w:rsidRPr="00C02DB7">
        <w:rPr>
          <w:rFonts w:ascii="Arial" w:hAnsi="Arial" w:cs="Arial"/>
        </w:rPr>
        <w:t>.</w:t>
      </w:r>
      <w:r w:rsidR="00CD10DF" w:rsidRPr="00C02DB7">
        <w:rPr>
          <w:rFonts w:ascii="Arial" w:hAnsi="Arial" w:cs="Arial"/>
        </w:rPr>
        <w:t xml:space="preserve"> </w:t>
      </w:r>
      <w:r w:rsidR="008F4CE8" w:rsidRPr="00C02DB7">
        <w:rPr>
          <w:rFonts w:ascii="Arial" w:hAnsi="Arial" w:cs="Arial"/>
        </w:rPr>
        <w:t>These findings are supported by other trial</w:t>
      </w:r>
      <w:r w:rsidR="00974CF2" w:rsidRPr="00C02DB7">
        <w:rPr>
          <w:rFonts w:ascii="Arial" w:hAnsi="Arial" w:cs="Arial"/>
        </w:rPr>
        <w:t>s.</w:t>
      </w:r>
      <w:r w:rsidR="009443FB">
        <w:rPr>
          <w:rFonts w:ascii="Arial" w:hAnsi="Arial" w:cs="Arial"/>
        </w:rPr>
        <w:t xml:space="preserve"> I</w:t>
      </w:r>
      <w:r w:rsidR="00C343DA" w:rsidRPr="00C02DB7">
        <w:rPr>
          <w:rFonts w:ascii="Arial" w:hAnsi="Arial" w:cs="Arial"/>
        </w:rPr>
        <w:t xml:space="preserve">bandronate </w:t>
      </w:r>
      <w:r w:rsidR="009443FB">
        <w:rPr>
          <w:rFonts w:ascii="Arial" w:hAnsi="Arial" w:cs="Arial"/>
        </w:rPr>
        <w:t xml:space="preserve">therapy results in </w:t>
      </w:r>
      <w:r w:rsidR="00C343DA" w:rsidRPr="00C02DB7">
        <w:rPr>
          <w:rFonts w:ascii="Arial" w:hAnsi="Arial" w:cs="Arial"/>
        </w:rPr>
        <w:t xml:space="preserve">decreased levels of CTX significantly </w:t>
      </w:r>
      <w:r w:rsidR="009925FD">
        <w:rPr>
          <w:rFonts w:ascii="Arial" w:hAnsi="Arial" w:cs="Arial"/>
        </w:rPr>
        <w:t xml:space="preserve">by </w:t>
      </w:r>
      <w:r w:rsidR="0002551F">
        <w:rPr>
          <w:rFonts w:ascii="Arial" w:hAnsi="Arial" w:cs="Arial"/>
        </w:rPr>
        <w:t xml:space="preserve">60% </w:t>
      </w:r>
      <w:r w:rsidR="00C343DA" w:rsidRPr="00C02DB7">
        <w:rPr>
          <w:rFonts w:ascii="Arial" w:hAnsi="Arial" w:cs="Arial"/>
        </w:rPr>
        <w:t xml:space="preserve">after 3 months </w:t>
      </w:r>
      <w:r w:rsidR="002A401A" w:rsidRPr="00C02DB7">
        <w:rPr>
          <w:rFonts w:ascii="Arial" w:hAnsi="Arial" w:cs="Arial"/>
        </w:rPr>
        <w:fldChar w:fldCharType="begin">
          <w:fldData xml:space="preserve">PEVuZE5vdGU+PENpdGU+PEF1dGhvcj5SZWdpbnN0ZXI8L0F1dGhvcj48WWVhcj4yMDA2PC9ZZWFy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PEVuZE5vdGU+PENpdGU+PEF1dGhvcj5SZWdpbnN0ZXI8L0F1dGhvcj48WWVhcj4yMDA2PC9ZZWFy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2A401A" w:rsidRPr="00C02DB7">
        <w:rPr>
          <w:rFonts w:ascii="Arial" w:hAnsi="Arial" w:cs="Arial"/>
        </w:rPr>
      </w:r>
      <w:r w:rsidR="002A401A" w:rsidRPr="00C02DB7">
        <w:rPr>
          <w:rFonts w:ascii="Arial" w:hAnsi="Arial" w:cs="Arial"/>
        </w:rPr>
        <w:fldChar w:fldCharType="separate"/>
      </w:r>
      <w:r w:rsidR="00B64C0F">
        <w:rPr>
          <w:rFonts w:ascii="Arial" w:hAnsi="Arial" w:cs="Arial"/>
          <w:noProof/>
        </w:rPr>
        <w:t>(</w:t>
      </w:r>
      <w:hyperlink w:anchor="_ENREF_378" w:tooltip="Reginster, 2006 #180" w:history="1">
        <w:r w:rsidR="003B725E">
          <w:rPr>
            <w:rFonts w:ascii="Arial" w:hAnsi="Arial" w:cs="Arial"/>
            <w:noProof/>
          </w:rPr>
          <w:t>378</w:t>
        </w:r>
      </w:hyperlink>
      <w:r w:rsidR="00B64C0F">
        <w:rPr>
          <w:rFonts w:ascii="Arial" w:hAnsi="Arial" w:cs="Arial"/>
          <w:noProof/>
        </w:rPr>
        <w:t>)</w:t>
      </w:r>
      <w:r w:rsidR="002A401A" w:rsidRPr="00C02DB7">
        <w:rPr>
          <w:rFonts w:ascii="Arial" w:hAnsi="Arial" w:cs="Arial"/>
        </w:rPr>
        <w:fldChar w:fldCharType="end"/>
      </w:r>
      <w:r w:rsidR="002A401A" w:rsidRPr="00C02DB7">
        <w:rPr>
          <w:rFonts w:ascii="Arial" w:hAnsi="Arial" w:cs="Arial"/>
        </w:rPr>
        <w:t>.</w:t>
      </w:r>
      <w:r w:rsidR="00974CF2" w:rsidRPr="00C02DB7">
        <w:rPr>
          <w:rFonts w:ascii="Arial" w:hAnsi="Arial" w:cs="Arial"/>
        </w:rPr>
        <w:t xml:space="preserve"> Delmas et al demonstrated a 63% decrease in CTX and 31% in NTX/Cr</w:t>
      </w:r>
      <w:r w:rsidR="002A401A" w:rsidRPr="00C02DB7">
        <w:rPr>
          <w:rFonts w:ascii="Arial" w:hAnsi="Arial" w:cs="Arial"/>
        </w:rPr>
        <w:t xml:space="preserve"> with alendronate treatment</w:t>
      </w:r>
      <w:r w:rsidR="00974CF2" w:rsidRPr="00C02DB7">
        <w:rPr>
          <w:rFonts w:ascii="Arial" w:hAnsi="Arial" w:cs="Arial"/>
        </w:rPr>
        <w:t xml:space="preserve"> in the BONE study </w:t>
      </w:r>
      <w:r w:rsidR="002A401A" w:rsidRPr="00C02DB7">
        <w:rPr>
          <w:rFonts w:ascii="Arial" w:hAnsi="Arial" w:cs="Arial"/>
        </w:rPr>
        <w:fldChar w:fldCharType="begin">
          <w:fldData xml:space="preserve">PEVuZE5vdGU+PENpdGU+PEF1dGhvcj5EZWxtYXM8L0F1dGhvcj48WWVhcj4yMDA0PC9ZZWFyPjxS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ZiB0aGUgVVNBPC9hYmJyLTE+PC9hbHQtcGVyaW9kaWNhbD48cGFnZXM+NzkyLTg8L3BhZ2VzPjx2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PEVuZE5vdGU+PENpdGU+PEF1dGhvcj5EZWxtYXM8L0F1dGhvcj48WWVhcj4yMDA0PC9ZZWFyPjxS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ZiB0aGUgVVNBPC9hYmJyLTE+PC9hbHQtcGVyaW9kaWNhbD48cGFnZXM+NzkyLTg8L3BhZ2VzPjx2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2A401A" w:rsidRPr="00C02DB7">
        <w:rPr>
          <w:rFonts w:ascii="Arial" w:hAnsi="Arial" w:cs="Arial"/>
        </w:rPr>
      </w:r>
      <w:r w:rsidR="002A401A" w:rsidRPr="00C02DB7">
        <w:rPr>
          <w:rFonts w:ascii="Arial" w:hAnsi="Arial" w:cs="Arial"/>
        </w:rPr>
        <w:fldChar w:fldCharType="separate"/>
      </w:r>
      <w:r w:rsidR="000D155C">
        <w:rPr>
          <w:rFonts w:ascii="Arial" w:hAnsi="Arial" w:cs="Arial"/>
          <w:noProof/>
        </w:rPr>
        <w:t>(</w:t>
      </w:r>
      <w:hyperlink w:anchor="_ENREF_407" w:tooltip="Delmas, 2004 #198" w:history="1">
        <w:r w:rsidR="003B725E">
          <w:rPr>
            <w:rFonts w:ascii="Arial" w:hAnsi="Arial" w:cs="Arial"/>
            <w:noProof/>
          </w:rPr>
          <w:t>407</w:t>
        </w:r>
      </w:hyperlink>
      <w:r w:rsidR="000D155C">
        <w:rPr>
          <w:rFonts w:ascii="Arial" w:hAnsi="Arial" w:cs="Arial"/>
          <w:noProof/>
        </w:rPr>
        <w:t>)</w:t>
      </w:r>
      <w:r w:rsidR="002A401A" w:rsidRPr="00C02DB7">
        <w:rPr>
          <w:rFonts w:ascii="Arial" w:hAnsi="Arial" w:cs="Arial"/>
        </w:rPr>
        <w:fldChar w:fldCharType="end"/>
      </w:r>
      <w:r w:rsidR="007A2E5A" w:rsidRPr="00C02DB7">
        <w:rPr>
          <w:rFonts w:ascii="Arial" w:hAnsi="Arial" w:cs="Arial"/>
        </w:rPr>
        <w:t xml:space="preserve"> compared to a 76% decrease in levels of CTX</w:t>
      </w:r>
      <w:r w:rsidR="002A401A" w:rsidRPr="00C02DB7">
        <w:rPr>
          <w:rFonts w:ascii="Arial" w:hAnsi="Arial" w:cs="Arial"/>
        </w:rPr>
        <w:t xml:space="preserve"> with ibandronate treatment</w:t>
      </w:r>
      <w:r w:rsidR="007A2E5A" w:rsidRPr="00C02DB7">
        <w:rPr>
          <w:rFonts w:ascii="Arial" w:hAnsi="Arial" w:cs="Arial"/>
        </w:rPr>
        <w:t xml:space="preserve"> by Emkey R et al in the MOTION study </w:t>
      </w:r>
      <w:r w:rsidR="002A401A" w:rsidRPr="00C02DB7">
        <w:rPr>
          <w:rFonts w:ascii="Arial" w:hAnsi="Arial" w:cs="Arial"/>
        </w:rPr>
        <w:fldChar w:fldCharType="begin">
          <w:fldData xml:space="preserve">PEVuZE5vdGU+PENpdGU+PEF1dGhvcj5FbWtleTwvQXV0aG9yPjxZZWFyPjIwMDk8L1llYXI+PFJl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PEVuZE5vdGU+PENpdGU+PEF1dGhvcj5FbWtleTwvQXV0aG9yPjxZZWFyPjIwMDk8L1llYXI+PFJl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2A401A" w:rsidRPr="00C02DB7">
        <w:rPr>
          <w:rFonts w:ascii="Arial" w:hAnsi="Arial" w:cs="Arial"/>
        </w:rPr>
      </w:r>
      <w:r w:rsidR="002A401A" w:rsidRPr="00C02DB7">
        <w:rPr>
          <w:rFonts w:ascii="Arial" w:hAnsi="Arial" w:cs="Arial"/>
        </w:rPr>
        <w:fldChar w:fldCharType="separate"/>
      </w:r>
      <w:r w:rsidR="000D155C">
        <w:rPr>
          <w:rFonts w:ascii="Arial" w:hAnsi="Arial" w:cs="Arial"/>
          <w:noProof/>
        </w:rPr>
        <w:t>(</w:t>
      </w:r>
      <w:hyperlink w:anchor="_ENREF_408" w:tooltip="Emkey, 2009 #199" w:history="1">
        <w:r w:rsidR="003B725E">
          <w:rPr>
            <w:rFonts w:ascii="Arial" w:hAnsi="Arial" w:cs="Arial"/>
            <w:noProof/>
          </w:rPr>
          <w:t>408</w:t>
        </w:r>
      </w:hyperlink>
      <w:r w:rsidR="000D155C">
        <w:rPr>
          <w:rFonts w:ascii="Arial" w:hAnsi="Arial" w:cs="Arial"/>
          <w:noProof/>
        </w:rPr>
        <w:t>)</w:t>
      </w:r>
      <w:r w:rsidR="002A401A" w:rsidRPr="00C02DB7">
        <w:rPr>
          <w:rFonts w:ascii="Arial" w:hAnsi="Arial" w:cs="Arial"/>
        </w:rPr>
        <w:fldChar w:fldCharType="end"/>
      </w:r>
      <w:r w:rsidR="002A401A" w:rsidRPr="00C02DB7">
        <w:rPr>
          <w:rFonts w:ascii="Arial" w:hAnsi="Arial" w:cs="Arial"/>
        </w:rPr>
        <w:t>.</w:t>
      </w:r>
      <w:r w:rsidR="007A2E5A" w:rsidRPr="00C02DB7">
        <w:rPr>
          <w:rFonts w:ascii="Arial" w:hAnsi="Arial" w:cs="Arial"/>
        </w:rPr>
        <w:t xml:space="preserve"> </w:t>
      </w:r>
      <w:r w:rsidR="00CD10DF" w:rsidRPr="00C02DB7">
        <w:rPr>
          <w:rFonts w:ascii="Arial" w:hAnsi="Arial" w:cs="Arial"/>
        </w:rPr>
        <w:t>Similar t</w:t>
      </w:r>
      <w:r w:rsidR="007A2E5A" w:rsidRPr="00C02DB7">
        <w:rPr>
          <w:rFonts w:ascii="Arial" w:hAnsi="Arial" w:cs="Arial"/>
        </w:rPr>
        <w:t>rials</w:t>
      </w:r>
      <w:r w:rsidR="00CD10DF" w:rsidRPr="00C02DB7">
        <w:rPr>
          <w:rFonts w:ascii="Arial" w:hAnsi="Arial" w:cs="Arial"/>
        </w:rPr>
        <w:t xml:space="preserve"> have been carried out</w:t>
      </w:r>
      <w:r w:rsidR="007A2E5A" w:rsidRPr="00C02DB7">
        <w:rPr>
          <w:rFonts w:ascii="Arial" w:hAnsi="Arial" w:cs="Arial"/>
        </w:rPr>
        <w:t xml:space="preserve"> using alendronate</w:t>
      </w:r>
      <w:r w:rsidR="00CD10DF" w:rsidRPr="00C02DB7">
        <w:rPr>
          <w:rFonts w:ascii="Arial" w:hAnsi="Arial" w:cs="Arial"/>
        </w:rPr>
        <w:t xml:space="preserve"> that have</w:t>
      </w:r>
      <w:r w:rsidR="007A2E5A" w:rsidRPr="00C02DB7">
        <w:rPr>
          <w:rFonts w:ascii="Arial" w:hAnsi="Arial" w:cs="Arial"/>
        </w:rPr>
        <w:t xml:space="preserve"> demonstrated a decrease in </w:t>
      </w:r>
      <w:r w:rsidR="00624B12" w:rsidRPr="00C02DB7">
        <w:rPr>
          <w:rFonts w:ascii="Arial" w:hAnsi="Arial" w:cs="Arial"/>
        </w:rPr>
        <w:t xml:space="preserve">levels </w:t>
      </w:r>
      <w:r w:rsidR="007A2E5A" w:rsidRPr="00C02DB7">
        <w:rPr>
          <w:rFonts w:ascii="Arial" w:hAnsi="Arial" w:cs="Arial"/>
        </w:rPr>
        <w:t xml:space="preserve">bone </w:t>
      </w:r>
      <w:r w:rsidR="00624B12" w:rsidRPr="00C02DB7">
        <w:rPr>
          <w:rFonts w:ascii="Arial" w:hAnsi="Arial" w:cs="Arial"/>
        </w:rPr>
        <w:t>resorption</w:t>
      </w:r>
      <w:r w:rsidR="007A2E5A" w:rsidRPr="00C02DB7">
        <w:rPr>
          <w:rFonts w:ascii="Arial" w:hAnsi="Arial" w:cs="Arial"/>
        </w:rPr>
        <w:t xml:space="preserve"> markers </w:t>
      </w:r>
      <w:r w:rsidR="00624B12" w:rsidRPr="00C02DB7">
        <w:rPr>
          <w:rFonts w:ascii="Arial" w:hAnsi="Arial" w:cs="Arial"/>
        </w:rPr>
        <w:t>by</w:t>
      </w:r>
      <w:r w:rsidR="00A30886" w:rsidRPr="00C02DB7">
        <w:rPr>
          <w:rFonts w:ascii="Arial" w:hAnsi="Arial" w:cs="Arial"/>
        </w:rPr>
        <w:t xml:space="preserve"> 53</w:t>
      </w:r>
      <w:r w:rsidR="007A2E5A" w:rsidRPr="00C02DB7">
        <w:rPr>
          <w:rFonts w:ascii="Arial" w:hAnsi="Arial" w:cs="Arial"/>
        </w:rPr>
        <w:t>%</w:t>
      </w:r>
      <w:r w:rsidR="00624B12" w:rsidRPr="00C02DB7">
        <w:rPr>
          <w:rFonts w:ascii="Arial" w:hAnsi="Arial" w:cs="Arial"/>
        </w:rPr>
        <w:t xml:space="preserve"> and 71</w:t>
      </w:r>
      <w:r w:rsidR="00A30886" w:rsidRPr="00C02DB7">
        <w:rPr>
          <w:rFonts w:ascii="Arial" w:hAnsi="Arial" w:cs="Arial"/>
        </w:rPr>
        <w:t xml:space="preserve"> to 74</w:t>
      </w:r>
      <w:r w:rsidR="00624B12" w:rsidRPr="00C02DB7">
        <w:rPr>
          <w:rFonts w:ascii="Arial" w:hAnsi="Arial" w:cs="Arial"/>
        </w:rPr>
        <w:t>%</w:t>
      </w:r>
      <w:r w:rsidR="007A2E5A" w:rsidRPr="00C02DB7">
        <w:rPr>
          <w:rFonts w:ascii="Arial" w:hAnsi="Arial" w:cs="Arial"/>
        </w:rPr>
        <w:t xml:space="preserve"> </w:t>
      </w:r>
      <w:r w:rsidR="00A30886" w:rsidRPr="00C02DB7">
        <w:rPr>
          <w:rFonts w:ascii="Arial" w:hAnsi="Arial" w:cs="Arial"/>
        </w:rPr>
        <w:t xml:space="preserve">in </w:t>
      </w:r>
      <w:r w:rsidR="007A2E5A" w:rsidRPr="00C02DB7">
        <w:rPr>
          <w:rFonts w:ascii="Arial" w:hAnsi="Arial" w:cs="Arial"/>
        </w:rPr>
        <w:t>NTX/Cr and CTX respectively</w:t>
      </w:r>
      <w:r w:rsidR="0085152C" w:rsidRPr="00C02DB7">
        <w:rPr>
          <w:rFonts w:ascii="Arial" w:hAnsi="Arial" w:cs="Arial"/>
        </w:rPr>
        <w:t xml:space="preserve"> and bone formation markers by 64 to 70%</w:t>
      </w:r>
      <w:r w:rsidR="001E60B6">
        <w:rPr>
          <w:rFonts w:ascii="Arial" w:hAnsi="Arial" w:cs="Arial"/>
        </w:rPr>
        <w:t xml:space="preserve"> </w:t>
      </w:r>
      <w:r w:rsidR="009073DE" w:rsidRPr="00C02DB7">
        <w:rPr>
          <w:rFonts w:ascii="Arial" w:hAnsi="Arial" w:cs="Arial"/>
        </w:rPr>
        <w:fldChar w:fldCharType="begin">
          <w:fldData xml:space="preserve">PEVuZE5vdGU+PENpdGU+PEF1dGhvcj5IYW5ub248L0F1dGhvcj48WWVhcj4yMDA0PC9ZZWFyPjxS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ZXJhbCBSZXNlYXJjaDwvYWJici0xPjwvcGVyaW9kaWNhbD48YWx0LXBlcmlvZGljYWw+PGZ1bGwt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==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PEVuZE5vdGU+PENpdGU+PEF1dGhvcj5IYW5ub248L0F1dGhvcj48WWVhcj4yMDA0PC9ZZWFyPjxS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ZXJhbCBSZXNlYXJjaDwvYWJici0xPjwvcGVyaW9kaWNhbD48YWx0LXBlcmlvZGljYWw+PGZ1bGwt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==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073DE" w:rsidRPr="00C02DB7">
        <w:rPr>
          <w:rFonts w:ascii="Arial" w:hAnsi="Arial" w:cs="Arial"/>
        </w:rPr>
      </w:r>
      <w:r w:rsidR="009073DE" w:rsidRPr="00C02DB7">
        <w:rPr>
          <w:rFonts w:ascii="Arial" w:hAnsi="Arial" w:cs="Arial"/>
        </w:rPr>
        <w:fldChar w:fldCharType="separate"/>
      </w:r>
      <w:r w:rsidR="000D155C">
        <w:rPr>
          <w:rFonts w:ascii="Arial" w:hAnsi="Arial" w:cs="Arial"/>
          <w:noProof/>
        </w:rPr>
        <w:t>(</w:t>
      </w:r>
      <w:hyperlink w:anchor="_ENREF_406" w:tooltip="Rosen, 2005 #197" w:history="1">
        <w:r w:rsidR="003B725E">
          <w:rPr>
            <w:rFonts w:ascii="Arial" w:hAnsi="Arial" w:cs="Arial"/>
            <w:noProof/>
          </w:rPr>
          <w:t>406</w:t>
        </w:r>
      </w:hyperlink>
      <w:r w:rsidR="000D155C">
        <w:rPr>
          <w:rFonts w:ascii="Arial" w:hAnsi="Arial" w:cs="Arial"/>
          <w:noProof/>
        </w:rPr>
        <w:t xml:space="preserve">, </w:t>
      </w:r>
      <w:hyperlink w:anchor="_ENREF_409" w:tooltip="Hannon, 2004 #522" w:history="1">
        <w:r w:rsidR="003B725E">
          <w:rPr>
            <w:rFonts w:ascii="Arial" w:hAnsi="Arial" w:cs="Arial"/>
            <w:noProof/>
          </w:rPr>
          <w:t>409</w:t>
        </w:r>
      </w:hyperlink>
      <w:r w:rsidR="000D155C">
        <w:rPr>
          <w:rFonts w:ascii="Arial" w:hAnsi="Arial" w:cs="Arial"/>
          <w:noProof/>
        </w:rPr>
        <w:t xml:space="preserve">, </w:t>
      </w:r>
      <w:hyperlink w:anchor="_ENREF_410" w:tooltip="Arlot, 2005 #201" w:history="1">
        <w:r w:rsidR="003B725E">
          <w:rPr>
            <w:rFonts w:ascii="Arial" w:hAnsi="Arial" w:cs="Arial"/>
            <w:noProof/>
          </w:rPr>
          <w:t>410</w:t>
        </w:r>
      </w:hyperlink>
      <w:r w:rsidR="000D155C">
        <w:rPr>
          <w:rFonts w:ascii="Arial" w:hAnsi="Arial" w:cs="Arial"/>
          <w:noProof/>
        </w:rPr>
        <w:t>)</w:t>
      </w:r>
      <w:r w:rsidR="009073DE" w:rsidRPr="00C02DB7">
        <w:rPr>
          <w:rFonts w:ascii="Arial" w:hAnsi="Arial" w:cs="Arial"/>
        </w:rPr>
        <w:fldChar w:fldCharType="end"/>
      </w:r>
      <w:r w:rsidR="009073DE" w:rsidRPr="00C02DB7">
        <w:rPr>
          <w:rFonts w:ascii="Arial" w:hAnsi="Arial" w:cs="Arial"/>
        </w:rPr>
        <w:t>.</w:t>
      </w:r>
    </w:p>
    <w:p w:rsidR="00103321" w:rsidRPr="006A3ABF" w:rsidRDefault="00103321" w:rsidP="003B725E">
      <w:pPr>
        <w:spacing w:line="360" w:lineRule="auto"/>
        <w:jc w:val="both"/>
        <w:rPr>
          <w:rFonts w:ascii="Arial" w:hAnsi="Arial" w:cs="Arial"/>
        </w:rPr>
      </w:pPr>
      <w:r w:rsidRPr="00C02DB7">
        <w:rPr>
          <w:rFonts w:ascii="Arial" w:hAnsi="Arial" w:cs="Arial"/>
        </w:rPr>
        <w:t>Clinical trial</w:t>
      </w:r>
      <w:r w:rsidR="001451EF" w:rsidRPr="00C02DB7">
        <w:rPr>
          <w:rFonts w:ascii="Arial" w:hAnsi="Arial" w:cs="Arial"/>
        </w:rPr>
        <w:t>s</w:t>
      </w:r>
      <w:r w:rsidR="0091429E" w:rsidRPr="00C02DB7">
        <w:rPr>
          <w:rFonts w:ascii="Arial" w:hAnsi="Arial" w:cs="Arial"/>
        </w:rPr>
        <w:t xml:space="preserve"> </w:t>
      </w:r>
      <w:r w:rsidRPr="00C02DB7">
        <w:rPr>
          <w:rFonts w:ascii="Arial" w:hAnsi="Arial" w:cs="Arial"/>
        </w:rPr>
        <w:t>investigating the effects of</w:t>
      </w:r>
      <w:r w:rsidR="0091429E" w:rsidRPr="00C02DB7">
        <w:rPr>
          <w:rFonts w:ascii="Arial" w:hAnsi="Arial" w:cs="Arial"/>
        </w:rPr>
        <w:t xml:space="preserve"> raloxifene have demonstrated significant </w:t>
      </w:r>
      <w:r w:rsidR="00527E15">
        <w:rPr>
          <w:rFonts w:ascii="Arial" w:hAnsi="Arial" w:cs="Arial"/>
        </w:rPr>
        <w:t>but</w:t>
      </w:r>
      <w:r w:rsidR="00A902D8" w:rsidRPr="00C02DB7">
        <w:rPr>
          <w:rFonts w:ascii="Arial" w:hAnsi="Arial" w:cs="Arial"/>
        </w:rPr>
        <w:t xml:space="preserve"> a less of a decrease</w:t>
      </w:r>
      <w:r w:rsidR="0091429E" w:rsidRPr="00C02DB7">
        <w:rPr>
          <w:rFonts w:ascii="Arial" w:hAnsi="Arial" w:cs="Arial"/>
        </w:rPr>
        <w:t xml:space="preserve"> in levels of </w:t>
      </w:r>
      <w:r w:rsidR="00527E15">
        <w:rPr>
          <w:rFonts w:ascii="Arial" w:hAnsi="Arial" w:cs="Arial"/>
        </w:rPr>
        <w:t xml:space="preserve">some </w:t>
      </w:r>
      <w:r w:rsidR="00A902D8" w:rsidRPr="00C02DB7">
        <w:rPr>
          <w:rFonts w:ascii="Arial" w:hAnsi="Arial" w:cs="Arial"/>
        </w:rPr>
        <w:t xml:space="preserve">BTMs (compared to bisphosphonates) </w:t>
      </w:r>
      <w:r w:rsidR="00C7709A" w:rsidRPr="00C02DB7">
        <w:rPr>
          <w:rFonts w:ascii="Arial" w:hAnsi="Arial" w:cs="Arial"/>
        </w:rPr>
        <w:t xml:space="preserve">and </w:t>
      </w:r>
      <w:r w:rsidR="00A902D8" w:rsidRPr="00C02DB7">
        <w:rPr>
          <w:rFonts w:ascii="Arial" w:hAnsi="Arial" w:cs="Arial"/>
        </w:rPr>
        <w:t xml:space="preserve">an </w:t>
      </w:r>
      <w:r w:rsidR="00C7709A" w:rsidRPr="00C02DB7">
        <w:rPr>
          <w:rFonts w:ascii="Arial" w:hAnsi="Arial" w:cs="Arial"/>
        </w:rPr>
        <w:t>increase</w:t>
      </w:r>
      <w:r w:rsidR="00A902D8" w:rsidRPr="00C02DB7">
        <w:rPr>
          <w:rFonts w:ascii="Arial" w:hAnsi="Arial" w:cs="Arial"/>
        </w:rPr>
        <w:t xml:space="preserve"> in BMD compared to baseline. The data from these studies have demonstrated that the reduction in PINP and osteocalcin ranged from 20 to 30% and the reduction in CTX and </w:t>
      </w:r>
      <w:r w:rsidR="00A902D8" w:rsidRPr="006A3ABF">
        <w:rPr>
          <w:rFonts w:ascii="Arial" w:hAnsi="Arial" w:cs="Arial"/>
        </w:rPr>
        <w:t xml:space="preserve">NTX/Cr ranged </w:t>
      </w:r>
      <w:r w:rsidR="000727CC" w:rsidRPr="006A3ABF">
        <w:rPr>
          <w:rFonts w:ascii="Arial" w:hAnsi="Arial" w:cs="Arial"/>
        </w:rPr>
        <w:t xml:space="preserve">from 25 to 28% </w:t>
      </w:r>
      <w:r w:rsidRPr="006A3ABF">
        <w:rPr>
          <w:rFonts w:ascii="Arial" w:hAnsi="Arial" w:cs="Arial"/>
        </w:rPr>
        <w:fldChar w:fldCharType="begin">
          <w:fldData xml:space="preserve">PEVuZE5vdGU+PENpdGU+PEF1dGhvcj5OYXlsb3I8L0F1dGhvcj48WWVhcj4yMDEwPC9ZZWFyPjxS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PEVuZE5vdGU+PENpdGU+PEF1dGhvcj5OYXlsb3I8L0F1dGhvcj48WWVhcj4yMDEwPC9ZZWFyPjxS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6A3ABF">
        <w:rPr>
          <w:rFonts w:ascii="Arial" w:hAnsi="Arial" w:cs="Arial"/>
        </w:rPr>
      </w:r>
      <w:r w:rsidRPr="006A3ABF">
        <w:rPr>
          <w:rFonts w:ascii="Arial" w:hAnsi="Arial" w:cs="Arial"/>
        </w:rPr>
        <w:fldChar w:fldCharType="separate"/>
      </w:r>
      <w:r w:rsidR="000D155C">
        <w:rPr>
          <w:rFonts w:ascii="Arial" w:hAnsi="Arial" w:cs="Arial"/>
          <w:noProof/>
        </w:rPr>
        <w:t>(</w:t>
      </w:r>
      <w:hyperlink w:anchor="_ENREF_302" w:tooltip="Ettinger, 1999 #150" w:history="1">
        <w:r w:rsidR="003B725E">
          <w:rPr>
            <w:rFonts w:ascii="Arial" w:hAnsi="Arial" w:cs="Arial"/>
            <w:noProof/>
          </w:rPr>
          <w:t>302</w:t>
        </w:r>
      </w:hyperlink>
      <w:r w:rsidR="000D155C">
        <w:rPr>
          <w:rFonts w:ascii="Arial" w:hAnsi="Arial" w:cs="Arial"/>
          <w:noProof/>
        </w:rPr>
        <w:t xml:space="preserve">, </w:t>
      </w:r>
      <w:hyperlink w:anchor="_ENREF_411" w:tooltip="Naylor, 2010 #202" w:history="1">
        <w:r w:rsidR="003B725E">
          <w:rPr>
            <w:rFonts w:ascii="Arial" w:hAnsi="Arial" w:cs="Arial"/>
            <w:noProof/>
          </w:rPr>
          <w:t>411</w:t>
        </w:r>
      </w:hyperlink>
      <w:r w:rsidR="000D155C">
        <w:rPr>
          <w:rFonts w:ascii="Arial" w:hAnsi="Arial" w:cs="Arial"/>
          <w:noProof/>
        </w:rPr>
        <w:t>)</w:t>
      </w:r>
      <w:r w:rsidRPr="006A3ABF">
        <w:rPr>
          <w:rFonts w:ascii="Arial" w:hAnsi="Arial" w:cs="Arial"/>
        </w:rPr>
        <w:fldChar w:fldCharType="end"/>
      </w:r>
      <w:r w:rsidRPr="006A3ABF">
        <w:rPr>
          <w:rFonts w:ascii="Arial" w:hAnsi="Arial" w:cs="Arial"/>
        </w:rPr>
        <w:t>.</w:t>
      </w:r>
    </w:p>
    <w:p w:rsidR="006A3ABF" w:rsidRPr="00C02DB7" w:rsidRDefault="00227EB2" w:rsidP="003B725E">
      <w:pPr>
        <w:spacing w:line="360" w:lineRule="auto"/>
        <w:jc w:val="both"/>
        <w:rPr>
          <w:rFonts w:ascii="Arial" w:hAnsi="Arial" w:cs="Arial"/>
        </w:rPr>
      </w:pPr>
      <w:r w:rsidRPr="00C02DB7">
        <w:rPr>
          <w:rFonts w:ascii="Arial" w:hAnsi="Arial" w:cs="Arial"/>
        </w:rPr>
        <w:t>The findings from</w:t>
      </w:r>
      <w:r w:rsidR="00103321" w:rsidRPr="00C02DB7">
        <w:rPr>
          <w:rFonts w:ascii="Arial" w:hAnsi="Arial" w:cs="Arial"/>
        </w:rPr>
        <w:t xml:space="preserve"> such</w:t>
      </w:r>
      <w:r w:rsidRPr="00C02DB7">
        <w:rPr>
          <w:rFonts w:ascii="Arial" w:hAnsi="Arial" w:cs="Arial"/>
        </w:rPr>
        <w:t xml:space="preserve"> clinical trials </w:t>
      </w:r>
      <w:r w:rsidR="00CC6E89" w:rsidRPr="00C02DB7">
        <w:rPr>
          <w:rFonts w:ascii="Arial" w:hAnsi="Arial" w:cs="Arial"/>
        </w:rPr>
        <w:t xml:space="preserve">have suggested that BTMs may be used as a tool for assessing </w:t>
      </w:r>
      <w:r w:rsidR="0081443E" w:rsidRPr="00C02DB7">
        <w:rPr>
          <w:rFonts w:ascii="Arial" w:hAnsi="Arial" w:cs="Arial"/>
        </w:rPr>
        <w:t xml:space="preserve">and monitoring </w:t>
      </w:r>
      <w:r w:rsidR="00CC6E89" w:rsidRPr="00C02DB7">
        <w:rPr>
          <w:rFonts w:ascii="Arial" w:hAnsi="Arial" w:cs="Arial"/>
        </w:rPr>
        <w:t>th</w:t>
      </w:r>
      <w:r w:rsidR="0081443E" w:rsidRPr="00C02DB7">
        <w:rPr>
          <w:rFonts w:ascii="Arial" w:hAnsi="Arial" w:cs="Arial"/>
        </w:rPr>
        <w:t>erapeutic efficacy</w:t>
      </w:r>
      <w:r w:rsidR="003108FD">
        <w:rPr>
          <w:rFonts w:ascii="Arial" w:hAnsi="Arial" w:cs="Arial"/>
        </w:rPr>
        <w:t xml:space="preserve"> in a clinical setting</w:t>
      </w:r>
      <w:r w:rsidR="0081443E" w:rsidRPr="00C02DB7">
        <w:rPr>
          <w:rFonts w:ascii="Arial" w:hAnsi="Arial" w:cs="Arial"/>
        </w:rPr>
        <w:t>. They have</w:t>
      </w:r>
      <w:r w:rsidR="00CC6E89" w:rsidRPr="00C02DB7">
        <w:rPr>
          <w:rFonts w:ascii="Arial" w:hAnsi="Arial" w:cs="Arial"/>
        </w:rPr>
        <w:t xml:space="preserve"> d</w:t>
      </w:r>
      <w:r w:rsidRPr="00C02DB7">
        <w:rPr>
          <w:rFonts w:ascii="Arial" w:hAnsi="Arial" w:cs="Arial"/>
        </w:rPr>
        <w:t>emonstrate</w:t>
      </w:r>
      <w:r w:rsidR="00CC6E89" w:rsidRPr="00C02DB7">
        <w:rPr>
          <w:rFonts w:ascii="Arial" w:hAnsi="Arial" w:cs="Arial"/>
        </w:rPr>
        <w:t>d</w:t>
      </w:r>
      <w:r w:rsidRPr="00C02DB7">
        <w:rPr>
          <w:rFonts w:ascii="Arial" w:hAnsi="Arial" w:cs="Arial"/>
        </w:rPr>
        <w:t xml:space="preserve"> a varying magnitude of response by some BTMs</w:t>
      </w:r>
      <w:r w:rsidR="006B6A6B" w:rsidRPr="00C02DB7">
        <w:rPr>
          <w:rFonts w:ascii="Arial" w:hAnsi="Arial" w:cs="Arial"/>
        </w:rPr>
        <w:t xml:space="preserve"> and they do not </w:t>
      </w:r>
      <w:r w:rsidR="00103321" w:rsidRPr="00C02DB7">
        <w:rPr>
          <w:rFonts w:ascii="Arial" w:hAnsi="Arial" w:cs="Arial"/>
        </w:rPr>
        <w:t xml:space="preserve">always </w:t>
      </w:r>
      <w:r w:rsidR="006B6A6B" w:rsidRPr="00C02DB7">
        <w:rPr>
          <w:rFonts w:ascii="Arial" w:hAnsi="Arial" w:cs="Arial"/>
        </w:rPr>
        <w:t>capture the response at early and regular time points, i.e. within 1, 2 and 4 weeks after drug administrat</w:t>
      </w:r>
      <w:r w:rsidR="0020638C" w:rsidRPr="00C02DB7">
        <w:rPr>
          <w:rFonts w:ascii="Arial" w:hAnsi="Arial" w:cs="Arial"/>
        </w:rPr>
        <w:t>ion. In addition the response</w:t>
      </w:r>
      <w:r w:rsidR="006A3ABF">
        <w:rPr>
          <w:rFonts w:ascii="Arial" w:hAnsi="Arial" w:cs="Arial"/>
        </w:rPr>
        <w:t>s</w:t>
      </w:r>
      <w:r w:rsidR="0020638C" w:rsidRPr="00C02DB7">
        <w:rPr>
          <w:rFonts w:ascii="Arial" w:hAnsi="Arial" w:cs="Arial"/>
        </w:rPr>
        <w:t xml:space="preserve"> in</w:t>
      </w:r>
      <w:r w:rsidR="006B6A6B" w:rsidRPr="00C02DB7">
        <w:rPr>
          <w:rFonts w:ascii="Arial" w:hAnsi="Arial" w:cs="Arial"/>
        </w:rPr>
        <w:t xml:space="preserve"> BTMs were compared to baseline levels and not also to healthy premenopausal reference intervals</w:t>
      </w:r>
      <w:r w:rsidR="006A3ABF">
        <w:rPr>
          <w:rFonts w:ascii="Arial" w:hAnsi="Arial" w:cs="Arial"/>
        </w:rPr>
        <w:t>.</w:t>
      </w:r>
      <w:r w:rsidR="006B6A6B" w:rsidRPr="00C02DB7">
        <w:rPr>
          <w:rFonts w:ascii="Arial" w:hAnsi="Arial" w:cs="Arial"/>
        </w:rPr>
        <w:t xml:space="preserve"> </w:t>
      </w:r>
      <w:r w:rsidR="006A3ABF" w:rsidRPr="006A3ABF">
        <w:rPr>
          <w:rFonts w:ascii="Arial" w:hAnsi="Arial" w:cs="Arial"/>
        </w:rPr>
        <w:t xml:space="preserve">Improved adherence during </w:t>
      </w:r>
      <w:r w:rsidR="006A3ABF" w:rsidRPr="006A3ABF">
        <w:rPr>
          <w:rFonts w:ascii="Arial" w:hAnsi="Arial" w:cs="Arial"/>
        </w:rPr>
        <w:lastRenderedPageBreak/>
        <w:t xml:space="preserve">antiresorptive treatments is associated with a greater decrease in the levels of bone turnover and a reduced risk of fracture </w:t>
      </w:r>
      <w:r w:rsidR="007B40D7">
        <w:rPr>
          <w:rFonts w:ascii="Arial" w:hAnsi="Arial" w:cs="Arial"/>
        </w:rPr>
        <w:fldChar w:fldCharType="begin">
          <w:fldData xml:space="preserve">PEVuZE5vdGU+PENpdGU+PEF1dGhvcj5TaXJpczwvQXV0aG9yPjxZZWFyPjIwMDY8L1llYXI+PFJl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PEVuZE5vdGU+PENpdGU+PEF1dGhvcj5TaXJpczwvQXV0aG9yPjxZZWFyPjIwMDY8L1llYXI+PFJl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B40D7">
        <w:rPr>
          <w:rFonts w:ascii="Arial" w:hAnsi="Arial" w:cs="Arial"/>
        </w:rPr>
      </w:r>
      <w:r w:rsidR="007B40D7">
        <w:rPr>
          <w:rFonts w:ascii="Arial" w:hAnsi="Arial" w:cs="Arial"/>
        </w:rPr>
        <w:fldChar w:fldCharType="separate"/>
      </w:r>
      <w:r w:rsidR="000D155C">
        <w:rPr>
          <w:rFonts w:ascii="Arial" w:hAnsi="Arial" w:cs="Arial"/>
          <w:noProof/>
        </w:rPr>
        <w:t>(</w:t>
      </w:r>
      <w:hyperlink w:anchor="_ENREF_277" w:tooltip="Eastell, 2011 #210" w:history="1">
        <w:r w:rsidR="003B725E">
          <w:rPr>
            <w:rFonts w:ascii="Arial" w:hAnsi="Arial" w:cs="Arial"/>
            <w:noProof/>
          </w:rPr>
          <w:t>277</w:t>
        </w:r>
      </w:hyperlink>
      <w:proofErr w:type="gramStart"/>
      <w:r w:rsidR="000D155C">
        <w:rPr>
          <w:rFonts w:ascii="Arial" w:hAnsi="Arial" w:cs="Arial"/>
          <w:noProof/>
        </w:rPr>
        <w:t xml:space="preserve">, </w:t>
      </w:r>
      <w:hyperlink w:anchor="_ENREF_343" w:tooltip="Clowes, 2004 #365" w:history="1">
        <w:r w:rsidR="003B725E">
          <w:rPr>
            <w:rFonts w:ascii="Arial" w:hAnsi="Arial" w:cs="Arial"/>
            <w:noProof/>
          </w:rPr>
          <w:t>343</w:t>
        </w:r>
      </w:hyperlink>
      <w:r w:rsidR="000D155C">
        <w:rPr>
          <w:rFonts w:ascii="Arial" w:hAnsi="Arial" w:cs="Arial"/>
          <w:noProof/>
        </w:rPr>
        <w:t xml:space="preserve">, </w:t>
      </w:r>
      <w:hyperlink w:anchor="_ENREF_412" w:tooltip="Siris, 2006 #477" w:history="1">
        <w:r w:rsidR="003B725E">
          <w:rPr>
            <w:rFonts w:ascii="Arial" w:hAnsi="Arial" w:cs="Arial"/>
            <w:noProof/>
          </w:rPr>
          <w:t>412</w:t>
        </w:r>
      </w:hyperlink>
      <w:r w:rsidR="000D155C">
        <w:rPr>
          <w:rFonts w:ascii="Arial" w:hAnsi="Arial" w:cs="Arial"/>
          <w:noProof/>
        </w:rPr>
        <w:t>,</w:t>
      </w:r>
      <w:proofErr w:type="gramEnd"/>
      <w:r w:rsidR="000D155C">
        <w:rPr>
          <w:rFonts w:ascii="Arial" w:hAnsi="Arial" w:cs="Arial"/>
          <w:noProof/>
        </w:rPr>
        <w:t xml:space="preserve"> </w:t>
      </w:r>
      <w:hyperlink w:anchor="_ENREF_413" w:tooltip="Delmas, 2007 #478" w:history="1">
        <w:r w:rsidR="003B725E">
          <w:rPr>
            <w:rFonts w:ascii="Arial" w:hAnsi="Arial" w:cs="Arial"/>
            <w:noProof/>
          </w:rPr>
          <w:t>413</w:t>
        </w:r>
      </w:hyperlink>
      <w:r w:rsidR="000D155C">
        <w:rPr>
          <w:rFonts w:ascii="Arial" w:hAnsi="Arial" w:cs="Arial"/>
          <w:noProof/>
        </w:rPr>
        <w:t>)</w:t>
      </w:r>
      <w:r w:rsidR="007B40D7">
        <w:rPr>
          <w:rFonts w:ascii="Arial" w:hAnsi="Arial" w:cs="Arial"/>
        </w:rPr>
        <w:fldChar w:fldCharType="end"/>
      </w:r>
      <w:r w:rsidR="00290243">
        <w:rPr>
          <w:rFonts w:ascii="Arial" w:hAnsi="Arial" w:cs="Arial"/>
        </w:rPr>
        <w:t xml:space="preserve">. A </w:t>
      </w:r>
      <w:r w:rsidR="006A3ABF" w:rsidRPr="006A3ABF">
        <w:rPr>
          <w:rFonts w:ascii="Arial" w:hAnsi="Arial" w:cs="Arial"/>
        </w:rPr>
        <w:t xml:space="preserve">goal of monitoring antiresorptive treatments in postmenopausal women with osteoporosis or osteopenia is to assess the magnitude of </w:t>
      </w:r>
      <w:r w:rsidR="00290243">
        <w:rPr>
          <w:rFonts w:ascii="Arial" w:hAnsi="Arial" w:cs="Arial"/>
        </w:rPr>
        <w:t xml:space="preserve">the decrease in bone turnover. </w:t>
      </w:r>
    </w:p>
    <w:p w:rsidR="00533429" w:rsidRPr="00C02DB7" w:rsidRDefault="00216E94" w:rsidP="003B725E">
      <w:pPr>
        <w:spacing w:line="360" w:lineRule="auto"/>
        <w:jc w:val="both"/>
        <w:rPr>
          <w:rFonts w:ascii="Arial" w:hAnsi="Arial" w:cs="Arial"/>
        </w:rPr>
      </w:pPr>
      <w:r w:rsidRPr="00C02DB7">
        <w:rPr>
          <w:rFonts w:ascii="Arial" w:hAnsi="Arial" w:cs="Arial"/>
        </w:rPr>
        <w:t xml:space="preserve">A head-to-head </w:t>
      </w:r>
      <w:r w:rsidR="00533429" w:rsidRPr="00C02DB7">
        <w:rPr>
          <w:rFonts w:ascii="Arial" w:hAnsi="Arial" w:cs="Arial"/>
        </w:rPr>
        <w:t xml:space="preserve">randomised controlled </w:t>
      </w:r>
      <w:r w:rsidRPr="00C02DB7">
        <w:rPr>
          <w:rFonts w:ascii="Arial" w:hAnsi="Arial" w:cs="Arial"/>
        </w:rPr>
        <w:t>trial</w:t>
      </w:r>
      <w:r w:rsidR="0020638C" w:rsidRPr="00C02DB7">
        <w:rPr>
          <w:rFonts w:ascii="Arial" w:hAnsi="Arial" w:cs="Arial"/>
        </w:rPr>
        <w:t xml:space="preserve"> </w:t>
      </w:r>
      <w:r w:rsidR="00F0329B" w:rsidRPr="00C02DB7">
        <w:rPr>
          <w:rFonts w:ascii="Arial" w:hAnsi="Arial" w:cs="Arial"/>
        </w:rPr>
        <w:t>will allow me</w:t>
      </w:r>
      <w:r w:rsidRPr="00C02DB7">
        <w:rPr>
          <w:rFonts w:ascii="Arial" w:hAnsi="Arial" w:cs="Arial"/>
        </w:rPr>
        <w:t xml:space="preserve"> to </w:t>
      </w:r>
      <w:r w:rsidR="001451EF" w:rsidRPr="00C02DB7">
        <w:rPr>
          <w:rFonts w:ascii="Arial" w:hAnsi="Arial" w:cs="Arial"/>
        </w:rPr>
        <w:t xml:space="preserve">directly </w:t>
      </w:r>
      <w:r w:rsidRPr="00C02DB7">
        <w:rPr>
          <w:rFonts w:ascii="Arial" w:hAnsi="Arial" w:cs="Arial"/>
        </w:rPr>
        <w:t>assess and compare</w:t>
      </w:r>
      <w:r w:rsidR="0020638C" w:rsidRPr="00C02DB7">
        <w:rPr>
          <w:rFonts w:ascii="Arial" w:hAnsi="Arial" w:cs="Arial"/>
        </w:rPr>
        <w:t xml:space="preserve"> the magnitude of effect and duration of </w:t>
      </w:r>
      <w:r w:rsidR="0051344E">
        <w:rPr>
          <w:rFonts w:ascii="Arial" w:hAnsi="Arial" w:cs="Arial"/>
        </w:rPr>
        <w:t xml:space="preserve">action of </w:t>
      </w:r>
      <w:r w:rsidR="0020638C" w:rsidRPr="00C02DB7">
        <w:rPr>
          <w:rFonts w:ascii="Arial" w:hAnsi="Arial" w:cs="Arial"/>
        </w:rPr>
        <w:t>bispho</w:t>
      </w:r>
      <w:r w:rsidR="00F0329B" w:rsidRPr="00C02DB7">
        <w:rPr>
          <w:rFonts w:ascii="Arial" w:hAnsi="Arial" w:cs="Arial"/>
        </w:rPr>
        <w:t>sphonates on BTMs in postmenopausal women with osteoporosis. In a clinical setting the</w:t>
      </w:r>
      <w:r w:rsidR="000727CC" w:rsidRPr="00C02DB7">
        <w:rPr>
          <w:rFonts w:ascii="Arial" w:hAnsi="Arial" w:cs="Arial"/>
        </w:rPr>
        <w:t>se findings will help identify patients who have responded t</w:t>
      </w:r>
      <w:r w:rsidR="00AE58D6">
        <w:rPr>
          <w:rFonts w:ascii="Arial" w:hAnsi="Arial" w:cs="Arial"/>
        </w:rPr>
        <w:t>o antiresorptive treatm</w:t>
      </w:r>
      <w:r w:rsidR="009443FB">
        <w:rPr>
          <w:rFonts w:ascii="Arial" w:hAnsi="Arial" w:cs="Arial"/>
        </w:rPr>
        <w:t xml:space="preserve">ents. </w:t>
      </w:r>
      <w:r w:rsidR="00A23430" w:rsidRPr="00A23430">
        <w:rPr>
          <w:rFonts w:ascii="Arial" w:hAnsi="Arial" w:cs="Arial"/>
        </w:rPr>
        <w:t>There are two approaches that have been described to assess respo</w:t>
      </w:r>
      <w:r w:rsidR="00A23430">
        <w:rPr>
          <w:rFonts w:ascii="Arial" w:hAnsi="Arial" w:cs="Arial"/>
        </w:rPr>
        <w:t xml:space="preserve">nse to antiresorptive treatment, </w:t>
      </w:r>
      <w:r w:rsidR="00AE58D6">
        <w:rPr>
          <w:rFonts w:ascii="Arial" w:hAnsi="Arial" w:cs="Arial"/>
        </w:rPr>
        <w:t xml:space="preserve">i) calculating the T-scores of the BTMs </w:t>
      </w:r>
      <w:r w:rsidR="009345DC">
        <w:rPr>
          <w:rFonts w:ascii="Arial" w:hAnsi="Arial" w:cs="Arial"/>
        </w:rPr>
        <w:t>i.e. in relation</w:t>
      </w:r>
      <w:r w:rsidR="00AE58D6">
        <w:rPr>
          <w:rFonts w:ascii="Arial" w:hAnsi="Arial" w:cs="Arial"/>
        </w:rPr>
        <w:t xml:space="preserve"> to </w:t>
      </w:r>
      <w:r w:rsidR="009345DC">
        <w:rPr>
          <w:rFonts w:ascii="Arial" w:hAnsi="Arial" w:cs="Arial"/>
        </w:rPr>
        <w:t xml:space="preserve">BTMs in healthy premenopausal women and ii) calculating the least significant change i.e. the minimum change in BTMs that can be attributed to the effect of treatment and not to random variation </w:t>
      </w:r>
      <w:r w:rsidR="00920CA4">
        <w:rPr>
          <w:rFonts w:ascii="Arial" w:hAnsi="Arial" w:cs="Arial"/>
        </w:rPr>
        <w:fldChar w:fldCharType="begin">
          <w:fldData xml:space="preserve">PEVuZE5vdGU+PENpdGU+PEF1dGhvcj5IYW5ub248L0F1dGhvcj48WWVhcj4xOTk4PC9ZZWFyPjxS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ZXM8L2Z1bGwtdGl0bGU+PGFiYnItMT5Kb3VybmFsIG9mIGJvbmUgYW5kIG1pbmVyYWwgcmVzZWFy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PEVuZE5vdGU+PENpdGU+PEF1dGhvcj5IYW5ub248L0F1dGhvcj48WWVhcj4xOTk4PC9ZZWFyPjxS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ZXM8L2Z1bGwtdGl0bGU+PGFiYnItMT5Kb3VybmFsIG9mIGJvbmUgYW5kIG1pbmVyYWwgcmVzZWFy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20CA4">
        <w:rPr>
          <w:rFonts w:ascii="Arial" w:hAnsi="Arial" w:cs="Arial"/>
        </w:rPr>
      </w:r>
      <w:r w:rsidR="00920CA4">
        <w:rPr>
          <w:rFonts w:ascii="Arial" w:hAnsi="Arial" w:cs="Arial"/>
        </w:rPr>
        <w:fldChar w:fldCharType="separate"/>
      </w:r>
      <w:r w:rsidR="000D155C">
        <w:rPr>
          <w:rFonts w:ascii="Arial" w:hAnsi="Arial" w:cs="Arial"/>
          <w:noProof/>
        </w:rPr>
        <w:t>(</w:t>
      </w:r>
      <w:hyperlink w:anchor="_ENREF_414" w:tooltip="Hannon, 1998 #230" w:history="1">
        <w:r w:rsidR="003B725E">
          <w:rPr>
            <w:rFonts w:ascii="Arial" w:hAnsi="Arial" w:cs="Arial"/>
            <w:noProof/>
          </w:rPr>
          <w:t>414-416</w:t>
        </w:r>
      </w:hyperlink>
      <w:r w:rsidR="000D155C">
        <w:rPr>
          <w:rFonts w:ascii="Arial" w:hAnsi="Arial" w:cs="Arial"/>
          <w:noProof/>
        </w:rPr>
        <w:t>)</w:t>
      </w:r>
      <w:r w:rsidR="00920CA4">
        <w:rPr>
          <w:rFonts w:ascii="Arial" w:hAnsi="Arial" w:cs="Arial"/>
        </w:rPr>
        <w:fldChar w:fldCharType="end"/>
      </w:r>
      <w:r w:rsidR="00920CA4">
        <w:rPr>
          <w:rFonts w:ascii="Arial" w:hAnsi="Arial" w:cs="Arial"/>
        </w:rPr>
        <w:t xml:space="preserve">. In this chapter I </w:t>
      </w:r>
      <w:r w:rsidR="009443FB">
        <w:rPr>
          <w:rFonts w:ascii="Arial" w:hAnsi="Arial" w:cs="Arial"/>
        </w:rPr>
        <w:t xml:space="preserve">will </w:t>
      </w:r>
      <w:r w:rsidR="00920CA4">
        <w:rPr>
          <w:rFonts w:ascii="Arial" w:hAnsi="Arial" w:cs="Arial"/>
        </w:rPr>
        <w:t>use</w:t>
      </w:r>
      <w:r w:rsidR="00E81AF5">
        <w:rPr>
          <w:rFonts w:ascii="Arial" w:hAnsi="Arial" w:cs="Arial"/>
        </w:rPr>
        <w:t xml:space="preserve"> another approach which assess</w:t>
      </w:r>
      <w:r w:rsidR="00920CA4">
        <w:rPr>
          <w:rFonts w:ascii="Arial" w:hAnsi="Arial" w:cs="Arial"/>
        </w:rPr>
        <w:t>ed</w:t>
      </w:r>
      <w:r w:rsidR="00E81AF5">
        <w:rPr>
          <w:rFonts w:ascii="Arial" w:hAnsi="Arial" w:cs="Arial"/>
        </w:rPr>
        <w:t xml:space="preserve"> response using the lower part of the healthy premenopausal reference interval of the BTMs as the treatment goal </w:t>
      </w:r>
      <w:r w:rsidR="00920CA4">
        <w:rPr>
          <w:rFonts w:ascii="Arial" w:hAnsi="Arial" w:cs="Arial"/>
        </w:rPr>
        <w:fldChar w:fldCharType="begin">
          <w:fldData xml:space="preserve">PEVuZE5vdGU+PENpdGU+PEF1dGhvcj5CZXJnbWFubjwvQXV0aG9yPjxZZWFyPjIwMDk8L1llYXI+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PEVuZE5vdGU+PENpdGU+PEF1dGhvcj5CZXJnbWFubjwvQXV0aG9yPjxZZWFyPjIwMDk8L1llYXI+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20CA4">
        <w:rPr>
          <w:rFonts w:ascii="Arial" w:hAnsi="Arial" w:cs="Arial"/>
        </w:rPr>
      </w:r>
      <w:r w:rsidR="00920CA4">
        <w:rPr>
          <w:rFonts w:ascii="Arial" w:hAnsi="Arial" w:cs="Arial"/>
        </w:rPr>
        <w:fldChar w:fldCharType="separate"/>
      </w:r>
      <w:r w:rsidR="000D155C">
        <w:rPr>
          <w:rFonts w:ascii="Arial" w:hAnsi="Arial" w:cs="Arial"/>
          <w:noProof/>
        </w:rPr>
        <w:t>(</w:t>
      </w:r>
      <w:hyperlink w:anchor="_ENREF_319" w:tooltip="Vasikaran, 2011 #518" w:history="1">
        <w:r w:rsidR="003B725E">
          <w:rPr>
            <w:rFonts w:ascii="Arial" w:hAnsi="Arial" w:cs="Arial"/>
            <w:noProof/>
          </w:rPr>
          <w:t>319</w:t>
        </w:r>
      </w:hyperlink>
      <w:r w:rsidR="000D155C">
        <w:rPr>
          <w:rFonts w:ascii="Arial" w:hAnsi="Arial" w:cs="Arial"/>
          <w:noProof/>
        </w:rPr>
        <w:t xml:space="preserve">, </w:t>
      </w:r>
      <w:hyperlink w:anchor="_ENREF_417" w:tooltip="Bergmann, 2009 #233" w:history="1">
        <w:r w:rsidR="003B725E">
          <w:rPr>
            <w:rFonts w:ascii="Arial" w:hAnsi="Arial" w:cs="Arial"/>
            <w:noProof/>
          </w:rPr>
          <w:t>417</w:t>
        </w:r>
      </w:hyperlink>
      <w:r w:rsidR="000D155C">
        <w:rPr>
          <w:rFonts w:ascii="Arial" w:hAnsi="Arial" w:cs="Arial"/>
          <w:noProof/>
        </w:rPr>
        <w:t>)</w:t>
      </w:r>
      <w:r w:rsidR="00920CA4">
        <w:rPr>
          <w:rFonts w:ascii="Arial" w:hAnsi="Arial" w:cs="Arial"/>
        </w:rPr>
        <w:fldChar w:fldCharType="end"/>
      </w:r>
      <w:r w:rsidR="00E81AF5">
        <w:rPr>
          <w:rFonts w:ascii="Arial" w:hAnsi="Arial" w:cs="Arial"/>
        </w:rPr>
        <w:t>. This is based on the level of bone turnover in healthy premenopausal women being associated with long-term overall skeletal stability and bone mass.</w:t>
      </w:r>
    </w:p>
    <w:p w:rsidR="00D12B47" w:rsidRDefault="00033257" w:rsidP="00844C20">
      <w:pPr>
        <w:pStyle w:val="NoSpacing"/>
        <w:spacing w:line="360" w:lineRule="auto"/>
        <w:jc w:val="both"/>
        <w:rPr>
          <w:rFonts w:ascii="Arial" w:hAnsi="Arial" w:cs="Arial"/>
        </w:rPr>
      </w:pPr>
      <w:r w:rsidRPr="00C02DB7">
        <w:rPr>
          <w:rFonts w:ascii="Arial" w:hAnsi="Arial" w:cs="Arial"/>
        </w:rPr>
        <w:t>In addition</w:t>
      </w:r>
      <w:r w:rsidR="0051344E">
        <w:rPr>
          <w:rFonts w:ascii="Arial" w:hAnsi="Arial" w:cs="Arial"/>
        </w:rPr>
        <w:t>,</w:t>
      </w:r>
      <w:r w:rsidRPr="00C02DB7">
        <w:rPr>
          <w:rFonts w:ascii="Arial" w:hAnsi="Arial" w:cs="Arial"/>
        </w:rPr>
        <w:t xml:space="preserve"> </w:t>
      </w:r>
      <w:r w:rsidR="00CC6E89" w:rsidRPr="00C02DB7">
        <w:rPr>
          <w:rFonts w:ascii="Arial" w:hAnsi="Arial" w:cs="Arial"/>
        </w:rPr>
        <w:t xml:space="preserve">by </w:t>
      </w:r>
      <w:r w:rsidR="000727CC" w:rsidRPr="00C02DB7">
        <w:rPr>
          <w:rFonts w:ascii="Arial" w:hAnsi="Arial" w:cs="Arial"/>
        </w:rPr>
        <w:t xml:space="preserve">firstly </w:t>
      </w:r>
      <w:r w:rsidR="00CC6E89" w:rsidRPr="00C02DB7">
        <w:rPr>
          <w:rFonts w:ascii="Arial" w:hAnsi="Arial" w:cs="Arial"/>
        </w:rPr>
        <w:t xml:space="preserve">assessing </w:t>
      </w:r>
      <w:r w:rsidRPr="00C02DB7">
        <w:rPr>
          <w:rFonts w:ascii="Arial" w:hAnsi="Arial" w:cs="Arial"/>
        </w:rPr>
        <w:t xml:space="preserve">the response of BTMs to </w:t>
      </w:r>
      <w:r w:rsidR="0051344E">
        <w:rPr>
          <w:rFonts w:ascii="Arial" w:hAnsi="Arial" w:cs="Arial"/>
        </w:rPr>
        <w:t xml:space="preserve">such antiresorptive </w:t>
      </w:r>
      <w:r w:rsidRPr="00C02DB7">
        <w:rPr>
          <w:rFonts w:ascii="Arial" w:hAnsi="Arial" w:cs="Arial"/>
        </w:rPr>
        <w:t xml:space="preserve">treatments </w:t>
      </w:r>
      <w:r w:rsidR="00CC6E89" w:rsidRPr="00C02DB7">
        <w:rPr>
          <w:rFonts w:ascii="Arial" w:hAnsi="Arial" w:cs="Arial"/>
        </w:rPr>
        <w:t xml:space="preserve">it </w:t>
      </w:r>
      <w:r w:rsidRPr="00C02DB7">
        <w:rPr>
          <w:rFonts w:ascii="Arial" w:hAnsi="Arial" w:cs="Arial"/>
        </w:rPr>
        <w:t xml:space="preserve">may help </w:t>
      </w:r>
      <w:r w:rsidR="00CC6E89" w:rsidRPr="00C02DB7">
        <w:rPr>
          <w:rFonts w:ascii="Arial" w:hAnsi="Arial" w:cs="Arial"/>
        </w:rPr>
        <w:t xml:space="preserve">us </w:t>
      </w:r>
      <w:r w:rsidRPr="00C02DB7">
        <w:rPr>
          <w:rFonts w:ascii="Arial" w:hAnsi="Arial" w:cs="Arial"/>
        </w:rPr>
        <w:t xml:space="preserve">to </w:t>
      </w:r>
      <w:r w:rsidR="00103321" w:rsidRPr="00C02DB7">
        <w:rPr>
          <w:rFonts w:ascii="Arial" w:hAnsi="Arial" w:cs="Arial"/>
        </w:rPr>
        <w:t xml:space="preserve">hypothesise and </w:t>
      </w:r>
      <w:r w:rsidRPr="00C02DB7">
        <w:rPr>
          <w:rFonts w:ascii="Arial" w:hAnsi="Arial" w:cs="Arial"/>
        </w:rPr>
        <w:t>establish</w:t>
      </w:r>
      <w:r w:rsidR="00626E83" w:rsidRPr="00C02DB7">
        <w:rPr>
          <w:rFonts w:ascii="Arial" w:hAnsi="Arial" w:cs="Arial"/>
        </w:rPr>
        <w:t xml:space="preserve"> and </w:t>
      </w:r>
      <w:r w:rsidRPr="00C02DB7">
        <w:rPr>
          <w:rFonts w:ascii="Arial" w:hAnsi="Arial" w:cs="Arial"/>
        </w:rPr>
        <w:t xml:space="preserve">their mechanism of action </w:t>
      </w:r>
      <w:r w:rsidR="00F0329B" w:rsidRPr="00C02DB7">
        <w:rPr>
          <w:rFonts w:ascii="Arial" w:hAnsi="Arial" w:cs="Arial"/>
        </w:rPr>
        <w:t>(subsequent chapters).</w:t>
      </w:r>
    </w:p>
    <w:p w:rsidR="00953BCF" w:rsidRDefault="00953BCF" w:rsidP="00844C20">
      <w:pPr>
        <w:pStyle w:val="NoSpacing"/>
        <w:spacing w:line="360" w:lineRule="auto"/>
        <w:jc w:val="both"/>
        <w:rPr>
          <w:rFonts w:ascii="Arial" w:hAnsi="Arial" w:cs="Arial"/>
        </w:rPr>
      </w:pPr>
      <w:r>
        <w:rPr>
          <w:rFonts w:ascii="Arial" w:hAnsi="Arial" w:cs="Arial"/>
        </w:rPr>
        <w:t xml:space="preserve">Therefore the aims of this chapter were </w:t>
      </w:r>
      <w:r w:rsidR="00C32032">
        <w:rPr>
          <w:rFonts w:ascii="Arial" w:hAnsi="Arial" w:cs="Arial"/>
        </w:rPr>
        <w:t xml:space="preserve">to i) </w:t>
      </w:r>
      <w:r>
        <w:rPr>
          <w:rFonts w:ascii="Arial" w:hAnsi="Arial" w:cs="Arial"/>
        </w:rPr>
        <w:t xml:space="preserve">determine the effects of ibandronate, alendronate, risedronate and raloxifene on BTMs in postmenopausal women with </w:t>
      </w:r>
      <w:r w:rsidR="0051344E">
        <w:rPr>
          <w:rFonts w:ascii="Arial" w:hAnsi="Arial" w:cs="Arial"/>
        </w:rPr>
        <w:t>osteoporosis and osteopenia and</w:t>
      </w:r>
      <w:r w:rsidR="00C32032">
        <w:rPr>
          <w:rFonts w:ascii="Arial" w:hAnsi="Arial" w:cs="Arial"/>
        </w:rPr>
        <w:t xml:space="preserve"> ii) </w:t>
      </w:r>
      <w:r>
        <w:rPr>
          <w:rFonts w:ascii="Arial" w:hAnsi="Arial" w:cs="Arial"/>
        </w:rPr>
        <w:t>assess the response to each treatment using healthy reference</w:t>
      </w:r>
      <w:r w:rsidR="0051344E">
        <w:rPr>
          <w:rFonts w:ascii="Arial" w:hAnsi="Arial" w:cs="Arial"/>
        </w:rPr>
        <w:t xml:space="preserve"> intervals for BTMs.</w:t>
      </w:r>
    </w:p>
    <w:p w:rsidR="003D4635" w:rsidRPr="003D4635" w:rsidRDefault="008B6EFE" w:rsidP="00844C20">
      <w:pPr>
        <w:pStyle w:val="Heading2"/>
        <w:jc w:val="both"/>
      </w:pPr>
      <w:bookmarkStart w:id="156" w:name="_Toc425418938"/>
      <w:r>
        <w:t>Study participants</w:t>
      </w:r>
      <w:bookmarkEnd w:id="156"/>
    </w:p>
    <w:p w:rsidR="00691115" w:rsidRPr="00691115" w:rsidRDefault="00220A6A" w:rsidP="003B725E">
      <w:pPr>
        <w:autoSpaceDE w:val="0"/>
        <w:autoSpaceDN w:val="0"/>
        <w:adjustRightInd w:val="0"/>
        <w:spacing w:after="0" w:line="360" w:lineRule="auto"/>
        <w:jc w:val="both"/>
        <w:rPr>
          <w:rFonts w:ascii="Arial" w:hAnsi="Arial" w:cs="Arial"/>
          <w:color w:val="131413"/>
        </w:rPr>
      </w:pPr>
      <w:r w:rsidRPr="00691115">
        <w:rPr>
          <w:rFonts w:ascii="Arial" w:hAnsi="Arial" w:cs="Arial"/>
        </w:rPr>
        <w:t>In order to investigate these aims I used participants from two randomised control single centre trials. The first one was a</w:t>
      </w:r>
      <w:r w:rsidR="00C2174C" w:rsidRPr="00691115">
        <w:rPr>
          <w:rFonts w:ascii="Arial" w:hAnsi="Arial" w:cs="Arial"/>
        </w:rPr>
        <w:t>n</w:t>
      </w:r>
      <w:r w:rsidR="00DA2DEF" w:rsidRPr="00691115">
        <w:rPr>
          <w:rFonts w:ascii="Arial" w:hAnsi="Arial" w:cs="Arial"/>
        </w:rPr>
        <w:t xml:space="preserve"> open-label, parallel control</w:t>
      </w:r>
      <w:r w:rsidR="00C2174C" w:rsidRPr="00691115">
        <w:rPr>
          <w:rFonts w:ascii="Arial" w:hAnsi="Arial" w:cs="Arial"/>
        </w:rPr>
        <w:t xml:space="preserve"> trial</w:t>
      </w:r>
      <w:r w:rsidR="00DA2DEF" w:rsidRPr="00691115">
        <w:rPr>
          <w:rFonts w:ascii="Arial" w:hAnsi="Arial" w:cs="Arial"/>
        </w:rPr>
        <w:t xml:space="preserve"> of three UK licenced orally administered </w:t>
      </w:r>
      <w:r w:rsidRPr="00691115">
        <w:rPr>
          <w:rFonts w:ascii="Arial" w:hAnsi="Arial" w:cs="Arial"/>
        </w:rPr>
        <w:t xml:space="preserve">nitrogen-containing </w:t>
      </w:r>
      <w:r w:rsidR="00DA2DEF" w:rsidRPr="00691115">
        <w:rPr>
          <w:rFonts w:ascii="Arial" w:hAnsi="Arial" w:cs="Arial"/>
        </w:rPr>
        <w:t>bisphosphonates was co</w:t>
      </w:r>
      <w:r w:rsidR="00B23D65" w:rsidRPr="00691115">
        <w:rPr>
          <w:rFonts w:ascii="Arial" w:hAnsi="Arial" w:cs="Arial"/>
        </w:rPr>
        <w:t>nducted</w:t>
      </w:r>
      <w:r w:rsidR="00DA2DEF" w:rsidRPr="00691115">
        <w:rPr>
          <w:rFonts w:ascii="Arial" w:hAnsi="Arial" w:cs="Arial"/>
        </w:rPr>
        <w:t xml:space="preserve"> between 2007 and 2012. </w:t>
      </w:r>
      <w:r w:rsidR="009443FB" w:rsidRPr="00691115">
        <w:rPr>
          <w:rFonts w:ascii="Arial" w:hAnsi="Arial" w:cs="Arial"/>
        </w:rPr>
        <w:t xml:space="preserve">This study was called the TRIO study. </w:t>
      </w:r>
      <w:r w:rsidR="00434236" w:rsidRPr="00691115">
        <w:rPr>
          <w:rFonts w:ascii="Arial" w:hAnsi="Arial" w:cs="Arial"/>
        </w:rPr>
        <w:t>The protocol</w:t>
      </w:r>
      <w:r w:rsidR="003D4635" w:rsidRPr="00691115">
        <w:rPr>
          <w:rFonts w:ascii="Arial" w:hAnsi="Arial" w:cs="Arial"/>
        </w:rPr>
        <w:t>,</w:t>
      </w:r>
      <w:r w:rsidR="00DA2DEF" w:rsidRPr="00691115">
        <w:rPr>
          <w:rFonts w:ascii="Arial" w:hAnsi="Arial" w:cs="Arial"/>
        </w:rPr>
        <w:t xml:space="preserve"> the study design</w:t>
      </w:r>
      <w:r w:rsidR="00306AB1" w:rsidRPr="00691115">
        <w:rPr>
          <w:rFonts w:ascii="Arial" w:hAnsi="Arial" w:cs="Arial"/>
        </w:rPr>
        <w:t xml:space="preserve"> and inclusion/exclusion criteria</w:t>
      </w:r>
      <w:r w:rsidR="00DA2DEF" w:rsidRPr="00691115">
        <w:rPr>
          <w:rFonts w:ascii="Arial" w:hAnsi="Arial" w:cs="Arial"/>
        </w:rPr>
        <w:t xml:space="preserve"> have recently </w:t>
      </w:r>
      <w:r w:rsidR="003D4635" w:rsidRPr="00691115">
        <w:rPr>
          <w:rFonts w:ascii="Arial" w:hAnsi="Arial" w:cs="Arial"/>
        </w:rPr>
        <w:t>been reported in detail</w:t>
      </w:r>
      <w:r w:rsidR="00DA2DEF" w:rsidRPr="00691115">
        <w:rPr>
          <w:rFonts w:ascii="Arial" w:hAnsi="Arial" w:cs="Arial"/>
        </w:rPr>
        <w:t xml:space="preserve"> </w:t>
      </w:r>
      <w:r w:rsidR="00CD700F" w:rsidRPr="00691115">
        <w:rPr>
          <w:rFonts w:ascii="Arial" w:hAnsi="Arial" w:cs="Arial"/>
        </w:rPr>
        <w:fldChar w:fldCharType="begin"/>
      </w:r>
      <w:r w:rsidR="00B64C0F">
        <w:rPr>
          <w:rFonts w:ascii="Arial" w:hAnsi="Arial" w:cs="Arial"/>
        </w:rPr>
        <w:instrText xml:space="preserve"> ADDIN EN.CITE &lt;EndNote&gt;&lt;Cite&gt;&lt;Author&gt;Paggiosi&lt;/Author&gt;&lt;Year&gt;2014&lt;/Year&gt;&lt;RecNum&gt;364&lt;/RecNum&gt;&lt;DisplayText&gt;(342)&lt;/DisplayText&gt;&lt;record&gt;&lt;rec-number&gt;364&lt;/rec-number&gt;&lt;foreign-keys&gt;&lt;key app="EN" db-id="p9a5ttsvyvde9me5aw2x05fp5p55axf0wr90" timestamp="1435333080"&gt;364&lt;/key&gt;&lt;/foreign-keys&gt;&lt;ref-type name="Journal Article"&gt;17&lt;/ref-type&gt;&lt;contributors&gt;&lt;authors&gt;&lt;author&gt;Paggiosi, M. A.&lt;/author&gt;&lt;author&gt;Peel, N.&lt;/author&gt;&lt;author&gt;McCloskey, E.&lt;/author&gt;&lt;author&gt;Walsh, J. S.&lt;/author&gt;&lt;author&gt;Eastell, R.&lt;/author&gt;&lt;/authors&gt;&lt;/contributors&gt;&lt;auth-address&gt;Academic Unit of Bone Metabolism, The Mellanby Centre for Bone Research, The University of Sheffield, South Yorkshire, UK, m.a.paggiosi@sheffield.ac.uk.&lt;/auth-address&gt;&lt;titles&gt;&lt;title&gt;Comparison of the effects of three oral bisphosphonate therapies on the peripheral skeleton in postmenopausal osteoporosis: the TRIO study&lt;/title&gt;&lt;secondary-title&gt;Osteoporos Int&lt;/secondary-title&gt;&lt;/titles&gt;&lt;periodical&gt;&lt;full-title&gt;Osteoporos Int&lt;/full-title&gt;&lt;abbr-1&gt;Osteoporosis international : a journal established as result of cooperation between the European Foundation for Osteoporosis and the National Osteoporosis Foundation of the USA&lt;/abbr-1&gt;&lt;/periodical&gt;&lt;pages&gt;2729-41&lt;/pages&gt;&lt;volume&gt;25&lt;/volume&gt;&lt;number&gt;12&lt;/number&gt;&lt;edition&gt;2014/07/31&lt;/edition&gt;&lt;dates&gt;&lt;year&gt;2014&lt;/year&gt;&lt;pub-dates&gt;&lt;date&gt;Dec&lt;/date&gt;&lt;/pub-dates&gt;&lt;/dates&gt;&lt;isbn&gt;1433-2965 (Electronic)&amp;#xD;0937-941X (Linking)&lt;/isbn&gt;&lt;accession-num&gt;25074351&lt;/accession-num&gt;&lt;urls&gt;&lt;/urls&gt;&lt;electronic-resource-num&gt;10.1007/s00198-014-2817-z&lt;/electronic-resource-num&gt;&lt;remote-database-provider&gt;NLM&lt;/remote-database-provider&gt;&lt;language&gt;eng&lt;/language&gt;&lt;/record&gt;&lt;/Cite&gt;&lt;/EndNote&gt;</w:instrText>
      </w:r>
      <w:r w:rsidR="00CD700F" w:rsidRPr="00691115">
        <w:rPr>
          <w:rFonts w:ascii="Arial" w:hAnsi="Arial" w:cs="Arial"/>
        </w:rPr>
        <w:fldChar w:fldCharType="separate"/>
      </w:r>
      <w:r w:rsidR="00B64C0F">
        <w:rPr>
          <w:rFonts w:ascii="Arial" w:hAnsi="Arial" w:cs="Arial"/>
          <w:noProof/>
        </w:rPr>
        <w:t>(</w:t>
      </w:r>
      <w:hyperlink w:anchor="_ENREF_342" w:tooltip="Paggiosi, 2014 #364" w:history="1">
        <w:r w:rsidR="003B725E">
          <w:rPr>
            <w:rFonts w:ascii="Arial" w:hAnsi="Arial" w:cs="Arial"/>
            <w:noProof/>
          </w:rPr>
          <w:t>342</w:t>
        </w:r>
      </w:hyperlink>
      <w:r w:rsidR="00B64C0F">
        <w:rPr>
          <w:rFonts w:ascii="Arial" w:hAnsi="Arial" w:cs="Arial"/>
          <w:noProof/>
        </w:rPr>
        <w:t>)</w:t>
      </w:r>
      <w:r w:rsidR="00CD700F" w:rsidRPr="00691115">
        <w:rPr>
          <w:rFonts w:ascii="Arial" w:hAnsi="Arial" w:cs="Arial"/>
        </w:rPr>
        <w:fldChar w:fldCharType="end"/>
      </w:r>
      <w:r w:rsidR="00DA2DEF" w:rsidRPr="00691115">
        <w:rPr>
          <w:rFonts w:ascii="Arial" w:hAnsi="Arial" w:cs="Arial"/>
        </w:rPr>
        <w:t xml:space="preserve">. </w:t>
      </w:r>
      <w:r w:rsidR="003D4635" w:rsidRPr="00691115">
        <w:rPr>
          <w:rFonts w:ascii="Arial" w:hAnsi="Arial" w:cs="Arial"/>
        </w:rPr>
        <w:t>Generally, a</w:t>
      </w:r>
      <w:r w:rsidR="00306AB1" w:rsidRPr="00691115">
        <w:rPr>
          <w:rFonts w:ascii="Arial" w:hAnsi="Arial" w:cs="Arial"/>
        </w:rPr>
        <w:t xml:space="preserve"> total of 180 postmenopausal women</w:t>
      </w:r>
      <w:r w:rsidR="0095121F" w:rsidRPr="00691115">
        <w:rPr>
          <w:rFonts w:ascii="Arial" w:hAnsi="Arial" w:cs="Arial"/>
        </w:rPr>
        <w:t xml:space="preserve"> were recruited through the Met</w:t>
      </w:r>
      <w:r w:rsidR="003D066A" w:rsidRPr="00691115">
        <w:rPr>
          <w:rFonts w:ascii="Arial" w:hAnsi="Arial" w:cs="Arial"/>
        </w:rPr>
        <w:t>a</w:t>
      </w:r>
      <w:r w:rsidR="0095121F" w:rsidRPr="00691115">
        <w:rPr>
          <w:rFonts w:ascii="Arial" w:hAnsi="Arial" w:cs="Arial"/>
        </w:rPr>
        <w:t>bolic Bone Clinic</w:t>
      </w:r>
      <w:r w:rsidR="00E279F1" w:rsidRPr="00691115">
        <w:rPr>
          <w:rFonts w:ascii="Arial" w:hAnsi="Arial" w:cs="Arial"/>
        </w:rPr>
        <w:t>, Northern</w:t>
      </w:r>
      <w:r w:rsidR="0095121F" w:rsidRPr="00691115">
        <w:rPr>
          <w:rFonts w:ascii="Arial" w:hAnsi="Arial" w:cs="Arial"/>
        </w:rPr>
        <w:t xml:space="preserve"> </w:t>
      </w:r>
      <w:r w:rsidR="009443FB" w:rsidRPr="00691115">
        <w:rPr>
          <w:rFonts w:ascii="Arial" w:hAnsi="Arial" w:cs="Arial"/>
        </w:rPr>
        <w:t xml:space="preserve">General Hospital </w:t>
      </w:r>
      <w:r w:rsidR="0095121F" w:rsidRPr="00691115">
        <w:rPr>
          <w:rFonts w:ascii="Arial" w:hAnsi="Arial" w:cs="Arial"/>
        </w:rPr>
        <w:t>and general practice register</w:t>
      </w:r>
      <w:r w:rsidR="009443FB" w:rsidRPr="00691115">
        <w:rPr>
          <w:rFonts w:ascii="Arial" w:hAnsi="Arial" w:cs="Arial"/>
        </w:rPr>
        <w:t>s in</w:t>
      </w:r>
      <w:r w:rsidR="00B23D65" w:rsidRPr="00691115">
        <w:rPr>
          <w:rFonts w:ascii="Arial" w:hAnsi="Arial" w:cs="Arial"/>
        </w:rPr>
        <w:t xml:space="preserve"> Sheffield</w:t>
      </w:r>
      <w:r w:rsidR="0095121F" w:rsidRPr="00691115">
        <w:rPr>
          <w:rFonts w:ascii="Arial" w:hAnsi="Arial" w:cs="Arial"/>
        </w:rPr>
        <w:t xml:space="preserve">. They had </w:t>
      </w:r>
      <w:r w:rsidR="009443FB" w:rsidRPr="00691115">
        <w:rPr>
          <w:rFonts w:ascii="Arial" w:hAnsi="Arial" w:cs="Arial"/>
        </w:rPr>
        <w:t>osteoporosis defined</w:t>
      </w:r>
      <w:r w:rsidR="0013532F" w:rsidRPr="00691115">
        <w:rPr>
          <w:rFonts w:ascii="Arial" w:hAnsi="Arial" w:cs="Arial"/>
        </w:rPr>
        <w:t xml:space="preserve"> by</w:t>
      </w:r>
      <w:r w:rsidR="00E279F1" w:rsidRPr="00691115">
        <w:rPr>
          <w:rFonts w:ascii="Arial" w:hAnsi="Arial" w:cs="Arial"/>
        </w:rPr>
        <w:t xml:space="preserve"> DXA </w:t>
      </w:r>
      <w:r w:rsidR="00306AB1" w:rsidRPr="00691115">
        <w:rPr>
          <w:rFonts w:ascii="Arial" w:hAnsi="Arial" w:cs="Arial"/>
        </w:rPr>
        <w:t>BMD T-score ≤-2.5 at the lumbar spine or proximal femur or a BMD T-score ≤-1.0 plus a previous low trauma fractur</w:t>
      </w:r>
      <w:r w:rsidR="0095121F" w:rsidRPr="00691115">
        <w:rPr>
          <w:rFonts w:ascii="Arial" w:hAnsi="Arial" w:cs="Arial"/>
        </w:rPr>
        <w:t>e (from standing height)</w:t>
      </w:r>
      <w:r w:rsidR="00306AB1" w:rsidRPr="00691115">
        <w:rPr>
          <w:rFonts w:ascii="Arial" w:hAnsi="Arial" w:cs="Arial"/>
        </w:rPr>
        <w:t xml:space="preserve">. </w:t>
      </w:r>
      <w:r w:rsidR="00CF0623" w:rsidRPr="00691115">
        <w:rPr>
          <w:rFonts w:ascii="Arial" w:hAnsi="Arial" w:cs="Arial"/>
        </w:rPr>
        <w:t xml:space="preserve">Subjects were randomised to receive either: i) ibandronate (Roche, Bonviva), 150mg tablet once a month, ii) alendronate (Merck, Fosamax) 70mg tablet once a week or iii) risedronate (Warner Chilcott, Actonel) 35mg tablet once a week. </w:t>
      </w:r>
      <w:r w:rsidR="0005568C" w:rsidRPr="00691115">
        <w:rPr>
          <w:rFonts w:ascii="Arial" w:hAnsi="Arial" w:cs="Arial"/>
        </w:rPr>
        <w:t>At the time of</w:t>
      </w:r>
      <w:r w:rsidR="00306AB1" w:rsidRPr="00691115">
        <w:rPr>
          <w:rFonts w:ascii="Arial" w:hAnsi="Arial" w:cs="Arial"/>
        </w:rPr>
        <w:t xml:space="preserve"> recruitment </w:t>
      </w:r>
      <w:r w:rsidR="0005568C" w:rsidRPr="00691115">
        <w:rPr>
          <w:rFonts w:ascii="Arial" w:hAnsi="Arial" w:cs="Arial"/>
        </w:rPr>
        <w:t>the treatments were prescribed</w:t>
      </w:r>
      <w:r w:rsidR="003D066A" w:rsidRPr="00691115">
        <w:rPr>
          <w:rFonts w:ascii="Arial" w:hAnsi="Arial" w:cs="Arial"/>
        </w:rPr>
        <w:t xml:space="preserve"> </w:t>
      </w:r>
      <w:r w:rsidR="0005568C" w:rsidRPr="00691115">
        <w:rPr>
          <w:rFonts w:ascii="Arial" w:hAnsi="Arial" w:cs="Arial"/>
        </w:rPr>
        <w:t>under a coding system (A, B or C)</w:t>
      </w:r>
      <w:r w:rsidR="003D066A" w:rsidRPr="00691115">
        <w:rPr>
          <w:rFonts w:ascii="Arial" w:hAnsi="Arial" w:cs="Arial"/>
        </w:rPr>
        <w:t xml:space="preserve"> by the </w:t>
      </w:r>
      <w:r w:rsidR="003D066A" w:rsidRPr="00691115">
        <w:rPr>
          <w:rFonts w:ascii="Arial" w:hAnsi="Arial" w:cs="Arial"/>
        </w:rPr>
        <w:lastRenderedPageBreak/>
        <w:t>study nurse.</w:t>
      </w:r>
      <w:r w:rsidR="00306AB1" w:rsidRPr="00691115">
        <w:rPr>
          <w:rFonts w:ascii="Arial" w:hAnsi="Arial" w:cs="Arial"/>
        </w:rPr>
        <w:t xml:space="preserve"> </w:t>
      </w:r>
      <w:r w:rsidR="008B6EFE" w:rsidRPr="00691115">
        <w:rPr>
          <w:rFonts w:ascii="Arial" w:hAnsi="Arial" w:cs="Arial"/>
        </w:rPr>
        <w:t>These participants also received calcium carbonate 2 tablets per day to provide 1200mg of calcium and vitamin D</w:t>
      </w:r>
      <w:r w:rsidR="008B6EFE" w:rsidRPr="00691115">
        <w:rPr>
          <w:rFonts w:ascii="Arial" w:hAnsi="Arial" w:cs="Arial"/>
          <w:vertAlign w:val="subscript"/>
        </w:rPr>
        <w:t>3</w:t>
      </w:r>
      <w:r w:rsidR="008B6EFE" w:rsidRPr="00691115">
        <w:rPr>
          <w:rFonts w:ascii="Arial" w:hAnsi="Arial" w:cs="Arial"/>
        </w:rPr>
        <w:t>: 800 IU two tablets per day, Adcal D</w:t>
      </w:r>
      <w:r w:rsidR="008B6EFE" w:rsidRPr="00691115">
        <w:rPr>
          <w:rFonts w:ascii="Arial" w:hAnsi="Arial" w:cs="Arial"/>
          <w:vertAlign w:val="subscript"/>
        </w:rPr>
        <w:t>3</w:t>
      </w:r>
      <w:r w:rsidR="008B6EFE" w:rsidRPr="00691115">
        <w:rPr>
          <w:rFonts w:ascii="Arial" w:hAnsi="Arial" w:cs="Arial"/>
        </w:rPr>
        <w:t xml:space="preserve">, ProStrakan). </w:t>
      </w:r>
      <w:r w:rsidR="00441D5B" w:rsidRPr="00691115">
        <w:rPr>
          <w:rFonts w:ascii="Arial" w:hAnsi="Arial" w:cs="Arial"/>
        </w:rPr>
        <w:t xml:space="preserve">During the BTM analysis and data collection I remained blinded to the assigned study medication in order to eliminate bias. </w:t>
      </w:r>
      <w:r w:rsidR="003D4635" w:rsidRPr="00691115">
        <w:rPr>
          <w:rFonts w:ascii="Arial" w:hAnsi="Arial" w:cs="Arial"/>
        </w:rPr>
        <w:t>The reference group were 200 healthy premenopausal women aged between 35 to 40 years old, experiencing regular menstrual cycles and not using hormonal contraception or receiving any medications</w:t>
      </w:r>
      <w:r w:rsidR="00AE7D24" w:rsidRPr="00691115">
        <w:rPr>
          <w:rFonts w:ascii="Arial" w:hAnsi="Arial" w:cs="Arial"/>
        </w:rPr>
        <w:t xml:space="preserve"> know to effect bone metabolism.</w:t>
      </w:r>
      <w:r w:rsidR="00CD700F" w:rsidRPr="00691115">
        <w:rPr>
          <w:rFonts w:ascii="Arial" w:hAnsi="Arial" w:cs="Arial"/>
        </w:rPr>
        <w:t xml:space="preserve"> Prior to recruitment, </w:t>
      </w:r>
      <w:r w:rsidR="00CD700F" w:rsidRPr="00691115">
        <w:rPr>
          <w:rFonts w:ascii="Arial" w:hAnsi="Arial" w:cs="Arial"/>
          <w:color w:val="000000" w:themeColor="text1"/>
        </w:rPr>
        <w:t xml:space="preserve">the </w:t>
      </w:r>
      <w:r w:rsidR="00691115" w:rsidRPr="00691115">
        <w:rPr>
          <w:rFonts w:ascii="Arial" w:hAnsi="Arial" w:cs="Arial"/>
          <w:color w:val="131413"/>
        </w:rPr>
        <w:t>Sheffield Research Ethics</w:t>
      </w:r>
    </w:p>
    <w:p w:rsidR="00691115" w:rsidRPr="00691115" w:rsidRDefault="00691115" w:rsidP="00844C20">
      <w:pPr>
        <w:autoSpaceDE w:val="0"/>
        <w:autoSpaceDN w:val="0"/>
        <w:adjustRightInd w:val="0"/>
        <w:spacing w:after="0" w:line="360" w:lineRule="auto"/>
        <w:jc w:val="both"/>
        <w:rPr>
          <w:rFonts w:ascii="Arial" w:hAnsi="Arial" w:cs="Arial"/>
          <w:color w:val="131413"/>
        </w:rPr>
      </w:pPr>
      <w:r w:rsidRPr="00691115">
        <w:rPr>
          <w:rFonts w:ascii="Arial" w:hAnsi="Arial" w:cs="Arial"/>
          <w:color w:val="131413"/>
        </w:rPr>
        <w:t>Committee and the Medicines and Healthcare Products Regulatory</w:t>
      </w:r>
    </w:p>
    <w:p w:rsidR="00E279F1" w:rsidRPr="00691115" w:rsidRDefault="00691115" w:rsidP="00844C20">
      <w:pPr>
        <w:spacing w:line="360" w:lineRule="auto"/>
        <w:jc w:val="both"/>
        <w:rPr>
          <w:rFonts w:ascii="Arial" w:hAnsi="Arial" w:cs="Arial"/>
        </w:rPr>
      </w:pPr>
      <w:r w:rsidRPr="00691115">
        <w:rPr>
          <w:rFonts w:ascii="Arial" w:hAnsi="Arial" w:cs="Arial"/>
          <w:color w:val="131413"/>
        </w:rPr>
        <w:t>Agency (MHRA)</w:t>
      </w:r>
      <w:r w:rsidRPr="00691115">
        <w:rPr>
          <w:rFonts w:ascii="Arial" w:hAnsi="Arial" w:cs="Arial"/>
          <w:color w:val="000000" w:themeColor="text1"/>
        </w:rPr>
        <w:t xml:space="preserve"> </w:t>
      </w:r>
      <w:r w:rsidR="00CD700F" w:rsidRPr="00691115">
        <w:rPr>
          <w:rFonts w:ascii="Arial" w:hAnsi="Arial" w:cs="Arial"/>
          <w:color w:val="000000" w:themeColor="text1"/>
        </w:rPr>
        <w:t>granted ethical approval and informed consent was obtained from each participant.</w:t>
      </w:r>
    </w:p>
    <w:p w:rsidR="00AE7D24" w:rsidRPr="0013532F" w:rsidRDefault="006B50AF" w:rsidP="003B725E">
      <w:pPr>
        <w:spacing w:line="360" w:lineRule="auto"/>
        <w:jc w:val="both"/>
        <w:rPr>
          <w:rFonts w:ascii="Arial" w:hAnsi="Arial" w:cs="Arial"/>
        </w:rPr>
      </w:pPr>
      <w:r w:rsidRPr="0013532F">
        <w:rPr>
          <w:rFonts w:ascii="Arial" w:hAnsi="Arial" w:cs="Arial"/>
        </w:rPr>
        <w:t>The second</w:t>
      </w:r>
      <w:r w:rsidR="00C2174C" w:rsidRPr="0013532F">
        <w:rPr>
          <w:rFonts w:ascii="Arial" w:hAnsi="Arial" w:cs="Arial"/>
        </w:rPr>
        <w:t xml:space="preserve"> was an open-label</w:t>
      </w:r>
      <w:r w:rsidRPr="0013532F">
        <w:rPr>
          <w:rFonts w:ascii="Arial" w:hAnsi="Arial" w:cs="Arial"/>
        </w:rPr>
        <w:t xml:space="preserve"> clinical trial, originally performed to assess monitoring, adherence and cessation of raloxifene treatment</w:t>
      </w:r>
      <w:r w:rsidR="00CD700F">
        <w:rPr>
          <w:rFonts w:ascii="Arial" w:hAnsi="Arial" w:cs="Arial"/>
        </w:rPr>
        <w:t xml:space="preserve"> </w:t>
      </w:r>
      <w:r w:rsidR="00CD700F">
        <w:rPr>
          <w:rFonts w:ascii="Arial" w:hAnsi="Arial" w:cs="Arial"/>
        </w:rPr>
        <w:fldChar w:fldCharType="begin">
          <w:fldData xml:space="preserve">PEVuZE5vdGU+PENpdGU+PEF1dGhvcj5DbG93ZXM8L0F1dGhvcj48WWVhcj4yMDA0PC9ZZWFyPjxS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=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PEVuZE5vdGU+PENpdGU+PEF1dGhvcj5DbG93ZXM8L0F1dGhvcj48WWVhcj4yMDA0PC9ZZWFyPjxS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=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CD700F">
        <w:rPr>
          <w:rFonts w:ascii="Arial" w:hAnsi="Arial" w:cs="Arial"/>
        </w:rPr>
      </w:r>
      <w:r w:rsidR="00CD700F">
        <w:rPr>
          <w:rFonts w:ascii="Arial" w:hAnsi="Arial" w:cs="Arial"/>
        </w:rPr>
        <w:fldChar w:fldCharType="separate"/>
      </w:r>
      <w:r w:rsidR="000D155C">
        <w:rPr>
          <w:rFonts w:ascii="Arial" w:hAnsi="Arial" w:cs="Arial"/>
          <w:noProof/>
        </w:rPr>
        <w:t>(</w:t>
      </w:r>
      <w:hyperlink w:anchor="_ENREF_343" w:tooltip="Clowes, 2004 #365" w:history="1">
        <w:r w:rsidR="003B725E">
          <w:rPr>
            <w:rFonts w:ascii="Arial" w:hAnsi="Arial" w:cs="Arial"/>
            <w:noProof/>
          </w:rPr>
          <w:t>343</w:t>
        </w:r>
      </w:hyperlink>
      <w:r w:rsidR="000D155C">
        <w:rPr>
          <w:rFonts w:ascii="Arial" w:hAnsi="Arial" w:cs="Arial"/>
          <w:noProof/>
        </w:rPr>
        <w:t xml:space="preserve">, </w:t>
      </w:r>
      <w:hyperlink w:anchor="_ENREF_411" w:tooltip="Naylor, 2010 #202" w:history="1">
        <w:r w:rsidR="003B725E">
          <w:rPr>
            <w:rFonts w:ascii="Arial" w:hAnsi="Arial" w:cs="Arial"/>
            <w:noProof/>
          </w:rPr>
          <w:t>411</w:t>
        </w:r>
      </w:hyperlink>
      <w:r w:rsidR="000D155C">
        <w:rPr>
          <w:rFonts w:ascii="Arial" w:hAnsi="Arial" w:cs="Arial"/>
          <w:noProof/>
        </w:rPr>
        <w:t>)</w:t>
      </w:r>
      <w:r w:rsidR="00CD700F">
        <w:rPr>
          <w:rFonts w:ascii="Arial" w:hAnsi="Arial" w:cs="Arial"/>
        </w:rPr>
        <w:fldChar w:fldCharType="end"/>
      </w:r>
      <w:r w:rsidR="00CD700F">
        <w:rPr>
          <w:rFonts w:ascii="Arial" w:hAnsi="Arial" w:cs="Arial"/>
        </w:rPr>
        <w:t xml:space="preserve">. </w:t>
      </w:r>
      <w:r w:rsidR="00E279F1" w:rsidRPr="0013532F">
        <w:rPr>
          <w:rFonts w:ascii="Arial" w:hAnsi="Arial" w:cs="Arial"/>
        </w:rPr>
        <w:t>Postmenopausal women were recruited through the bone densitometry clinic at the Osteoporosis Centre, Northern General Hospital and general practice</w:t>
      </w:r>
      <w:r w:rsidR="00B23D65" w:rsidRPr="0013532F">
        <w:rPr>
          <w:rFonts w:ascii="Arial" w:hAnsi="Arial" w:cs="Arial"/>
        </w:rPr>
        <w:t xml:space="preserve"> surgeries</w:t>
      </w:r>
      <w:r w:rsidR="00E279F1" w:rsidRPr="0013532F">
        <w:rPr>
          <w:rFonts w:ascii="Arial" w:hAnsi="Arial" w:cs="Arial"/>
        </w:rPr>
        <w:t xml:space="preserve">, Sheffield, UK. </w:t>
      </w:r>
      <w:r w:rsidRPr="0013532F">
        <w:rPr>
          <w:rFonts w:ascii="Arial" w:hAnsi="Arial" w:cs="Arial"/>
        </w:rPr>
        <w:t>In order to investigate the effect of tr</w:t>
      </w:r>
      <w:r w:rsidR="001403E3" w:rsidRPr="0013532F">
        <w:rPr>
          <w:rFonts w:ascii="Arial" w:hAnsi="Arial" w:cs="Arial"/>
        </w:rPr>
        <w:t xml:space="preserve">eatment on BTMs I used 44 </w:t>
      </w:r>
      <w:r w:rsidR="008A0A4E" w:rsidRPr="0013532F">
        <w:rPr>
          <w:rFonts w:ascii="Arial" w:hAnsi="Arial" w:cs="Arial"/>
        </w:rPr>
        <w:t xml:space="preserve">postmenopausal women </w:t>
      </w:r>
      <w:r w:rsidR="00B23D65" w:rsidRPr="0013532F">
        <w:rPr>
          <w:rFonts w:ascii="Arial" w:hAnsi="Arial" w:cs="Arial"/>
        </w:rPr>
        <w:t xml:space="preserve">from the study. </w:t>
      </w:r>
      <w:r w:rsidR="00D7566E">
        <w:rPr>
          <w:rFonts w:ascii="Arial" w:hAnsi="Arial" w:cs="Arial"/>
        </w:rPr>
        <w:t>This was a subset from the entire study and were the per protocol population</w:t>
      </w:r>
      <w:r w:rsidR="0002551F">
        <w:rPr>
          <w:rFonts w:ascii="Arial" w:hAnsi="Arial" w:cs="Arial"/>
        </w:rPr>
        <w:t>, each having a complete set of serum samples for the 48 weeks</w:t>
      </w:r>
      <w:r w:rsidR="00D7566E">
        <w:rPr>
          <w:rFonts w:ascii="Arial" w:hAnsi="Arial" w:cs="Arial"/>
        </w:rPr>
        <w:t xml:space="preserve">. </w:t>
      </w:r>
      <w:r w:rsidR="00B23D65" w:rsidRPr="0013532F">
        <w:rPr>
          <w:rFonts w:ascii="Arial" w:hAnsi="Arial" w:cs="Arial"/>
        </w:rPr>
        <w:t>They had</w:t>
      </w:r>
      <w:r w:rsidR="008A0A4E" w:rsidRPr="0013532F">
        <w:rPr>
          <w:rFonts w:ascii="Arial" w:hAnsi="Arial" w:cs="Arial"/>
        </w:rPr>
        <w:t xml:space="preserve"> osteopenia as assessed by a</w:t>
      </w:r>
      <w:r w:rsidR="00E279F1" w:rsidRPr="0013532F">
        <w:rPr>
          <w:rFonts w:ascii="Arial" w:hAnsi="Arial" w:cs="Arial"/>
        </w:rPr>
        <w:t xml:space="preserve"> DXA</w:t>
      </w:r>
      <w:r w:rsidR="008A0A4E" w:rsidRPr="0013532F">
        <w:rPr>
          <w:rFonts w:ascii="Arial" w:hAnsi="Arial" w:cs="Arial"/>
        </w:rPr>
        <w:t xml:space="preserve"> BMD T-score between </w:t>
      </w:r>
      <w:r w:rsidR="001403E3" w:rsidRPr="0013532F">
        <w:rPr>
          <w:rFonts w:ascii="Arial" w:hAnsi="Arial" w:cs="Arial"/>
        </w:rPr>
        <w:t>-1.0 and -2.5</w:t>
      </w:r>
      <w:r w:rsidR="008A0A4E" w:rsidRPr="0013532F">
        <w:rPr>
          <w:rFonts w:ascii="Arial" w:hAnsi="Arial" w:cs="Arial"/>
        </w:rPr>
        <w:t xml:space="preserve"> at the lumbar spine o</w:t>
      </w:r>
      <w:r w:rsidR="001403E3" w:rsidRPr="0013532F">
        <w:rPr>
          <w:rFonts w:ascii="Arial" w:hAnsi="Arial" w:cs="Arial"/>
        </w:rPr>
        <w:t xml:space="preserve">r proximal femur. 21 of these women were randomised to </w:t>
      </w:r>
      <w:r w:rsidR="00C921FE" w:rsidRPr="0013532F">
        <w:rPr>
          <w:rFonts w:ascii="Arial" w:hAnsi="Arial" w:cs="Arial"/>
        </w:rPr>
        <w:t>receive</w:t>
      </w:r>
      <w:r w:rsidR="001403E3" w:rsidRPr="0013532F">
        <w:rPr>
          <w:rFonts w:ascii="Arial" w:hAnsi="Arial" w:cs="Arial"/>
        </w:rPr>
        <w:t xml:space="preserve"> 60mg of raloxifene per day (Evista, Eli Lilly and Co</w:t>
      </w:r>
      <w:r w:rsidR="00853ACE">
        <w:rPr>
          <w:rFonts w:ascii="Arial" w:hAnsi="Arial" w:cs="Arial"/>
        </w:rPr>
        <w:t>mpany</w:t>
      </w:r>
      <w:r w:rsidR="001403E3" w:rsidRPr="0013532F">
        <w:rPr>
          <w:rFonts w:ascii="Arial" w:hAnsi="Arial" w:cs="Arial"/>
        </w:rPr>
        <w:t xml:space="preserve">) </w:t>
      </w:r>
      <w:r w:rsidR="00C12C21" w:rsidRPr="0013532F">
        <w:rPr>
          <w:rFonts w:ascii="Arial" w:hAnsi="Arial" w:cs="Arial"/>
        </w:rPr>
        <w:t>and</w:t>
      </w:r>
      <w:r w:rsidR="00B23D65" w:rsidRPr="0013532F">
        <w:rPr>
          <w:rFonts w:ascii="Arial" w:hAnsi="Arial" w:cs="Arial"/>
        </w:rPr>
        <w:t xml:space="preserve"> </w:t>
      </w:r>
      <w:r w:rsidR="001403E3" w:rsidRPr="0013532F">
        <w:rPr>
          <w:rFonts w:ascii="Arial" w:hAnsi="Arial" w:cs="Arial"/>
        </w:rPr>
        <w:t xml:space="preserve">23 </w:t>
      </w:r>
      <w:r w:rsidR="00E279F1" w:rsidRPr="0013532F">
        <w:rPr>
          <w:rFonts w:ascii="Arial" w:hAnsi="Arial" w:cs="Arial"/>
        </w:rPr>
        <w:t>received no treatment.</w:t>
      </w:r>
      <w:r w:rsidR="001403E3" w:rsidRPr="0013532F">
        <w:rPr>
          <w:rFonts w:ascii="Arial" w:hAnsi="Arial" w:cs="Arial"/>
        </w:rPr>
        <w:t xml:space="preserve"> </w:t>
      </w:r>
      <w:r w:rsidR="00C12C21" w:rsidRPr="0013532F">
        <w:rPr>
          <w:rFonts w:ascii="Arial" w:hAnsi="Arial" w:cs="Arial"/>
        </w:rPr>
        <w:t>All of the participants received calcium carbonate to provide 500mg of calcium per day.</w:t>
      </w:r>
      <w:r w:rsidR="000B5F72">
        <w:rPr>
          <w:rFonts w:ascii="Arial" w:hAnsi="Arial" w:cs="Arial"/>
        </w:rPr>
        <w:t xml:space="preserve"> </w:t>
      </w:r>
      <w:r w:rsidR="00CD700F">
        <w:rPr>
          <w:rFonts w:ascii="Arial" w:hAnsi="Arial" w:cs="Arial"/>
        </w:rPr>
        <w:t xml:space="preserve">Prior to recruitment, </w:t>
      </w:r>
      <w:r w:rsidR="00CD700F" w:rsidRPr="00CD700F">
        <w:rPr>
          <w:rFonts w:ascii="Arial" w:hAnsi="Arial" w:cs="Arial"/>
          <w:color w:val="000000" w:themeColor="text1"/>
        </w:rPr>
        <w:t>the North Sheffield Local Research Committee granted ethical approval and informed consent was obtained from each participant</w:t>
      </w:r>
      <w:r w:rsidR="000B5F72" w:rsidRPr="00CD700F">
        <w:rPr>
          <w:rFonts w:ascii="Arial" w:hAnsi="Arial" w:cs="Arial"/>
          <w:color w:val="000000" w:themeColor="text1"/>
        </w:rPr>
        <w:t>.</w:t>
      </w:r>
    </w:p>
    <w:p w:rsidR="00A457EF" w:rsidRDefault="0013532F" w:rsidP="00844C20">
      <w:pPr>
        <w:pStyle w:val="Heading2"/>
        <w:jc w:val="both"/>
      </w:pPr>
      <w:bookmarkStart w:id="157" w:name="_Toc425418939"/>
      <w:r>
        <w:t>Laboratory methods</w:t>
      </w:r>
      <w:bookmarkEnd w:id="157"/>
    </w:p>
    <w:p w:rsidR="005732A7" w:rsidRPr="005732A7" w:rsidRDefault="00E822DA" w:rsidP="00844C20">
      <w:pPr>
        <w:spacing w:line="360" w:lineRule="auto"/>
        <w:jc w:val="both"/>
        <w:rPr>
          <w:rFonts w:ascii="Arial" w:hAnsi="Arial" w:cs="Arial"/>
        </w:rPr>
      </w:pPr>
      <w:r w:rsidRPr="005732A7">
        <w:rPr>
          <w:rFonts w:ascii="Arial" w:hAnsi="Arial" w:cs="Arial"/>
        </w:rPr>
        <w:t>From the participants receiving bisphosphonate treatment, a f</w:t>
      </w:r>
      <w:r w:rsidR="00A55E1D" w:rsidRPr="005732A7">
        <w:rPr>
          <w:rFonts w:ascii="Arial" w:hAnsi="Arial" w:cs="Arial"/>
        </w:rPr>
        <w:t>asting serum and second void morning urine sample were collected from each of the postmenopausal women at baseline 1 (week -1) and baseline 2 (week 0) and then at weeks 1, 2, 4, 12, 13, 34 and 96. Calcium, vitamin D</w:t>
      </w:r>
      <w:r w:rsidR="00A55E1D" w:rsidRPr="005732A7">
        <w:rPr>
          <w:rFonts w:ascii="Arial" w:hAnsi="Arial" w:cs="Arial"/>
          <w:vertAlign w:val="subscript"/>
        </w:rPr>
        <w:t xml:space="preserve">3 </w:t>
      </w:r>
      <w:r w:rsidR="009443FB">
        <w:rPr>
          <w:rFonts w:ascii="Arial" w:hAnsi="Arial" w:cs="Arial"/>
        </w:rPr>
        <w:t>were administered after baseline 1</w:t>
      </w:r>
      <w:r w:rsidR="009443FB">
        <w:rPr>
          <w:rFonts w:ascii="Arial" w:hAnsi="Arial" w:cs="Arial"/>
          <w:vertAlign w:val="subscript"/>
        </w:rPr>
        <w:t xml:space="preserve"> </w:t>
      </w:r>
      <w:r w:rsidR="00A55E1D" w:rsidRPr="005732A7">
        <w:rPr>
          <w:rFonts w:ascii="Arial" w:hAnsi="Arial" w:cs="Arial"/>
        </w:rPr>
        <w:t>and the bisphosphonates</w:t>
      </w:r>
      <w:r w:rsidR="00A55E1D" w:rsidRPr="005732A7">
        <w:rPr>
          <w:rFonts w:ascii="Arial" w:hAnsi="Arial" w:cs="Arial"/>
          <w:vertAlign w:val="subscript"/>
        </w:rPr>
        <w:t xml:space="preserve"> </w:t>
      </w:r>
      <w:r w:rsidR="009443FB">
        <w:rPr>
          <w:rFonts w:ascii="Arial" w:hAnsi="Arial" w:cs="Arial"/>
        </w:rPr>
        <w:t xml:space="preserve">were administered after </w:t>
      </w:r>
      <w:r w:rsidR="00A55E1D" w:rsidRPr="005732A7">
        <w:rPr>
          <w:rFonts w:ascii="Arial" w:hAnsi="Arial" w:cs="Arial"/>
        </w:rPr>
        <w:t>baseline 2</w:t>
      </w:r>
      <w:r w:rsidR="009443FB">
        <w:rPr>
          <w:rFonts w:ascii="Arial" w:hAnsi="Arial" w:cs="Arial"/>
        </w:rPr>
        <w:t xml:space="preserve"> and through to</w:t>
      </w:r>
      <w:r w:rsidR="00782344">
        <w:rPr>
          <w:rFonts w:ascii="Arial" w:hAnsi="Arial" w:cs="Arial"/>
        </w:rPr>
        <w:t xml:space="preserve"> 96 weeks</w:t>
      </w:r>
      <w:r w:rsidR="00A55E1D" w:rsidRPr="005732A7">
        <w:rPr>
          <w:rFonts w:ascii="Arial" w:hAnsi="Arial" w:cs="Arial"/>
        </w:rPr>
        <w:t>. Samples were also collected from the premenopausal</w:t>
      </w:r>
      <w:r w:rsidR="00782344">
        <w:rPr>
          <w:rFonts w:ascii="Arial" w:hAnsi="Arial" w:cs="Arial"/>
        </w:rPr>
        <w:t xml:space="preserve"> women</w:t>
      </w:r>
      <w:r w:rsidR="00A55E1D" w:rsidRPr="005732A7">
        <w:rPr>
          <w:rFonts w:ascii="Arial" w:hAnsi="Arial" w:cs="Arial"/>
        </w:rPr>
        <w:t xml:space="preserve"> at baseline</w:t>
      </w:r>
      <w:r w:rsidR="009443FB">
        <w:rPr>
          <w:rFonts w:ascii="Arial" w:hAnsi="Arial" w:cs="Arial"/>
        </w:rPr>
        <w:t xml:space="preserve"> and 96 weeks</w:t>
      </w:r>
      <w:r w:rsidR="00A55E1D" w:rsidRPr="005732A7">
        <w:rPr>
          <w:rFonts w:ascii="Arial" w:hAnsi="Arial" w:cs="Arial"/>
        </w:rPr>
        <w:t xml:space="preserve">. </w:t>
      </w:r>
    </w:p>
    <w:p w:rsidR="005732A7" w:rsidRPr="005732A7" w:rsidRDefault="00E822DA" w:rsidP="00844C20">
      <w:pPr>
        <w:spacing w:line="360" w:lineRule="auto"/>
        <w:jc w:val="both"/>
        <w:rPr>
          <w:rFonts w:ascii="Arial" w:hAnsi="Arial" w:cs="Arial"/>
        </w:rPr>
      </w:pPr>
      <w:r w:rsidRPr="005732A7">
        <w:rPr>
          <w:rFonts w:ascii="Arial" w:hAnsi="Arial" w:cs="Arial"/>
        </w:rPr>
        <w:t>From the participants receiving raloxifene treatment, a fasting serum and second void morning urine sample were collected at baseline then at weeks 1, 2, 4, 8, 12,</w:t>
      </w:r>
      <w:r w:rsidR="006B7974">
        <w:rPr>
          <w:rFonts w:ascii="Arial" w:hAnsi="Arial" w:cs="Arial"/>
        </w:rPr>
        <w:t xml:space="preserve"> 13,</w:t>
      </w:r>
      <w:r w:rsidRPr="005732A7">
        <w:rPr>
          <w:rFonts w:ascii="Arial" w:hAnsi="Arial" w:cs="Arial"/>
        </w:rPr>
        <w:t xml:space="preserve"> 24,</w:t>
      </w:r>
      <w:r w:rsidR="006B7974">
        <w:rPr>
          <w:rFonts w:ascii="Arial" w:hAnsi="Arial" w:cs="Arial"/>
        </w:rPr>
        <w:t xml:space="preserve"> 25,</w:t>
      </w:r>
      <w:r w:rsidRPr="005732A7">
        <w:rPr>
          <w:rFonts w:ascii="Arial" w:hAnsi="Arial" w:cs="Arial"/>
        </w:rPr>
        <w:t xml:space="preserve"> 36</w:t>
      </w:r>
      <w:r w:rsidR="006B7974">
        <w:rPr>
          <w:rFonts w:ascii="Arial" w:hAnsi="Arial" w:cs="Arial"/>
        </w:rPr>
        <w:t>, 47</w:t>
      </w:r>
      <w:r w:rsidRPr="005732A7">
        <w:rPr>
          <w:rFonts w:ascii="Arial" w:hAnsi="Arial" w:cs="Arial"/>
        </w:rPr>
        <w:t xml:space="preserve"> and 48</w:t>
      </w:r>
      <w:r w:rsidR="00FB6BCD">
        <w:rPr>
          <w:rFonts w:ascii="Arial" w:hAnsi="Arial" w:cs="Arial"/>
        </w:rPr>
        <w:t>. From the par</w:t>
      </w:r>
      <w:r w:rsidR="00782344">
        <w:rPr>
          <w:rFonts w:ascii="Arial" w:hAnsi="Arial" w:cs="Arial"/>
        </w:rPr>
        <w:t>ti</w:t>
      </w:r>
      <w:r w:rsidR="00C12C21" w:rsidRPr="005732A7">
        <w:rPr>
          <w:rFonts w:ascii="Arial" w:hAnsi="Arial" w:cs="Arial"/>
        </w:rPr>
        <w:t>cipants receiving no treatment a fasting serum and second void morning urine sample were collected at baseli</w:t>
      </w:r>
      <w:r w:rsidR="00942746">
        <w:rPr>
          <w:rFonts w:ascii="Arial" w:hAnsi="Arial" w:cs="Arial"/>
        </w:rPr>
        <w:t>ne then at weeks 12, 24, 25, 36 and 48</w:t>
      </w:r>
      <w:r w:rsidR="005732A7" w:rsidRPr="005732A7">
        <w:rPr>
          <w:rFonts w:ascii="Arial" w:hAnsi="Arial" w:cs="Arial"/>
        </w:rPr>
        <w:t>.</w:t>
      </w:r>
      <w:r w:rsidR="00942746">
        <w:rPr>
          <w:rFonts w:ascii="Arial" w:hAnsi="Arial" w:cs="Arial"/>
        </w:rPr>
        <w:t xml:space="preserve"> </w:t>
      </w:r>
      <w:r w:rsidR="005732A7" w:rsidRPr="005732A7">
        <w:rPr>
          <w:rFonts w:ascii="Arial" w:hAnsi="Arial" w:cs="Arial"/>
        </w:rPr>
        <w:t>Blood and urine were collected, handled and stored accordin</w:t>
      </w:r>
      <w:r w:rsidR="00782344">
        <w:rPr>
          <w:rFonts w:ascii="Arial" w:hAnsi="Arial" w:cs="Arial"/>
        </w:rPr>
        <w:t>g to the methods in chapter two</w:t>
      </w:r>
      <w:r w:rsidR="005732A7" w:rsidRPr="005732A7">
        <w:rPr>
          <w:rFonts w:ascii="Arial" w:hAnsi="Arial" w:cs="Arial"/>
        </w:rPr>
        <w:t xml:space="preserve">. </w:t>
      </w:r>
    </w:p>
    <w:p w:rsidR="003D4635" w:rsidRPr="005732A7" w:rsidRDefault="00A55E1D" w:rsidP="00844C20">
      <w:pPr>
        <w:spacing w:line="360" w:lineRule="auto"/>
        <w:jc w:val="both"/>
        <w:rPr>
          <w:rFonts w:ascii="Arial" w:hAnsi="Arial" w:cs="Arial"/>
        </w:rPr>
      </w:pPr>
      <w:r w:rsidRPr="005732A7">
        <w:rPr>
          <w:rFonts w:ascii="Arial" w:hAnsi="Arial" w:cs="Arial"/>
        </w:rPr>
        <w:lastRenderedPageBreak/>
        <w:t>CTX, PINP, osteocalcin and bone ALP were measured in serum using the IDS-iSYS CLIA (bone ALP used ECLIA) technology automated immunoassay</w:t>
      </w:r>
      <w:r w:rsidR="00E822DA" w:rsidRPr="005732A7">
        <w:rPr>
          <w:rFonts w:ascii="Arial" w:hAnsi="Arial" w:cs="Arial"/>
        </w:rPr>
        <w:t xml:space="preserve">. </w:t>
      </w:r>
      <w:r w:rsidR="005732A7" w:rsidRPr="005732A7">
        <w:rPr>
          <w:rFonts w:ascii="Arial" w:hAnsi="Arial" w:cs="Arial"/>
        </w:rPr>
        <w:t xml:space="preserve">NTX/Cr was measured </w:t>
      </w:r>
      <w:r w:rsidR="005732A7" w:rsidRPr="005732A7">
        <w:rPr>
          <w:rFonts w:ascii="Arial" w:hAnsi="Arial" w:cs="Arial"/>
          <w:lang w:val="en-US"/>
        </w:rPr>
        <w:t xml:space="preserve">using the Ortho Clinical Diagnostics automated immunoassay (High Wycombe, United Kingdom). </w:t>
      </w:r>
      <w:r w:rsidR="00E822DA" w:rsidRPr="005732A7">
        <w:rPr>
          <w:rFonts w:ascii="Arial" w:hAnsi="Arial" w:cs="Arial"/>
        </w:rPr>
        <w:t>The inter-assay CV’s were below 10% for each BTM using each of the quality control material</w:t>
      </w:r>
      <w:r w:rsidR="006B7974">
        <w:rPr>
          <w:rFonts w:ascii="Arial" w:hAnsi="Arial" w:cs="Arial"/>
        </w:rPr>
        <w:t>s</w:t>
      </w:r>
      <w:r w:rsidR="00E822DA" w:rsidRPr="005732A7">
        <w:rPr>
          <w:rFonts w:ascii="Arial" w:hAnsi="Arial" w:cs="Arial"/>
        </w:rPr>
        <w:t xml:space="preserve"> </w:t>
      </w:r>
      <w:r w:rsidRPr="005732A7">
        <w:rPr>
          <w:rFonts w:ascii="Arial" w:hAnsi="Arial" w:cs="Arial"/>
        </w:rPr>
        <w:t>(chapter two).</w:t>
      </w:r>
    </w:p>
    <w:p w:rsidR="009672D0" w:rsidRDefault="009672D0" w:rsidP="00844C20">
      <w:pPr>
        <w:pStyle w:val="Heading3"/>
        <w:jc w:val="both"/>
      </w:pPr>
      <w:bookmarkStart w:id="158" w:name="_Toc425418940"/>
      <w:r>
        <w:t>Statistical analyses</w:t>
      </w:r>
      <w:bookmarkEnd w:id="158"/>
    </w:p>
    <w:p w:rsidR="009E10A4" w:rsidRDefault="00D7566E" w:rsidP="00844C20">
      <w:pPr>
        <w:spacing w:line="360" w:lineRule="auto"/>
        <w:jc w:val="both"/>
        <w:rPr>
          <w:rFonts w:ascii="Arial" w:hAnsi="Arial" w:cs="Arial"/>
          <w:bCs/>
        </w:rPr>
      </w:pPr>
      <w:r>
        <w:rPr>
          <w:rFonts w:ascii="Arial" w:hAnsi="Arial" w:cs="Arial"/>
        </w:rPr>
        <w:t>All of the</w:t>
      </w:r>
      <w:r w:rsidR="00114931">
        <w:rPr>
          <w:rFonts w:ascii="Arial" w:hAnsi="Arial" w:cs="Arial"/>
        </w:rPr>
        <w:t xml:space="preserve"> analyses </w:t>
      </w:r>
      <w:r w:rsidR="009443FB">
        <w:rPr>
          <w:rFonts w:ascii="Arial" w:hAnsi="Arial" w:cs="Arial"/>
        </w:rPr>
        <w:t xml:space="preserve">for </w:t>
      </w:r>
      <w:r>
        <w:rPr>
          <w:rFonts w:ascii="Arial" w:hAnsi="Arial" w:cs="Arial"/>
        </w:rPr>
        <w:t xml:space="preserve">the TRIO study </w:t>
      </w:r>
      <w:r w:rsidR="00114931">
        <w:rPr>
          <w:rFonts w:ascii="Arial" w:hAnsi="Arial" w:cs="Arial"/>
        </w:rPr>
        <w:t>were in the</w:t>
      </w:r>
      <w:r w:rsidR="0018224B" w:rsidRPr="0013532F">
        <w:rPr>
          <w:rFonts w:ascii="Arial" w:hAnsi="Arial" w:cs="Arial"/>
        </w:rPr>
        <w:t xml:space="preserve"> intention to treat</w:t>
      </w:r>
      <w:r w:rsidR="00114931">
        <w:rPr>
          <w:rFonts w:ascii="Arial" w:hAnsi="Arial" w:cs="Arial"/>
        </w:rPr>
        <w:t xml:space="preserve"> population,</w:t>
      </w:r>
      <w:r w:rsidR="0018224B" w:rsidRPr="0013532F">
        <w:rPr>
          <w:rFonts w:ascii="Arial" w:hAnsi="Arial" w:cs="Arial"/>
        </w:rPr>
        <w:t xml:space="preserve"> the participants </w:t>
      </w:r>
      <w:r w:rsidR="00114931">
        <w:rPr>
          <w:rFonts w:ascii="Arial" w:hAnsi="Arial" w:cs="Arial"/>
        </w:rPr>
        <w:t>who were r</w:t>
      </w:r>
      <w:r w:rsidR="001E546A">
        <w:rPr>
          <w:rFonts w:ascii="Arial" w:hAnsi="Arial" w:cs="Arial"/>
        </w:rPr>
        <w:t xml:space="preserve">andomised received at least </w:t>
      </w:r>
      <w:r w:rsidR="00114931">
        <w:rPr>
          <w:rFonts w:ascii="Arial" w:hAnsi="Arial" w:cs="Arial"/>
        </w:rPr>
        <w:t>one treatment</w:t>
      </w:r>
      <w:r w:rsidR="001E546A">
        <w:rPr>
          <w:rFonts w:ascii="Arial" w:hAnsi="Arial" w:cs="Arial"/>
        </w:rPr>
        <w:t xml:space="preserve"> dose</w:t>
      </w:r>
      <w:r w:rsidR="00114931">
        <w:rPr>
          <w:rFonts w:ascii="Arial" w:hAnsi="Arial" w:cs="Arial"/>
        </w:rPr>
        <w:t xml:space="preserve"> and had BTM data at baseline and at least one other time point</w:t>
      </w:r>
      <w:r w:rsidR="0013532F">
        <w:rPr>
          <w:rFonts w:ascii="Arial" w:hAnsi="Arial" w:cs="Arial"/>
        </w:rPr>
        <w:t xml:space="preserve"> </w:t>
      </w:r>
      <w:r w:rsidR="0018224B" w:rsidRPr="0013532F">
        <w:rPr>
          <w:rFonts w:ascii="Arial" w:hAnsi="Arial" w:cs="Arial"/>
        </w:rPr>
        <w:t>were in</w:t>
      </w:r>
      <w:r w:rsidR="00534DD4" w:rsidRPr="0013532F">
        <w:rPr>
          <w:rFonts w:ascii="Arial" w:hAnsi="Arial" w:cs="Arial"/>
        </w:rPr>
        <w:t xml:space="preserve">cluded. </w:t>
      </w:r>
      <w:r>
        <w:rPr>
          <w:rFonts w:ascii="Arial" w:hAnsi="Arial" w:cs="Arial"/>
        </w:rPr>
        <w:t xml:space="preserve">All of the analyses for the </w:t>
      </w:r>
      <w:r w:rsidR="001B09D0">
        <w:rPr>
          <w:rFonts w:ascii="Arial" w:hAnsi="Arial" w:cs="Arial"/>
        </w:rPr>
        <w:t xml:space="preserve">participants receiving raloxifene were from the per protocol population. </w:t>
      </w:r>
      <w:r w:rsidR="00534DD4" w:rsidRPr="0013532F">
        <w:rPr>
          <w:rFonts w:ascii="Arial" w:hAnsi="Arial" w:cs="Arial"/>
        </w:rPr>
        <w:t>The baseline characteri</w:t>
      </w:r>
      <w:r w:rsidR="00BF452B" w:rsidRPr="0013532F">
        <w:rPr>
          <w:rFonts w:ascii="Arial" w:hAnsi="Arial" w:cs="Arial"/>
        </w:rPr>
        <w:t>stics were reported as a mean and standard deviation for</w:t>
      </w:r>
      <w:r w:rsidR="00534DD4" w:rsidRPr="0013532F">
        <w:rPr>
          <w:rFonts w:ascii="Arial" w:hAnsi="Arial" w:cs="Arial"/>
        </w:rPr>
        <w:t xml:space="preserve"> each variable. </w:t>
      </w:r>
      <w:r w:rsidR="00F80DE4" w:rsidRPr="0013532F">
        <w:rPr>
          <w:rFonts w:ascii="Arial" w:hAnsi="Arial" w:cs="Arial"/>
          <w:bCs/>
        </w:rPr>
        <w:t>The data for CTX, NTX</w:t>
      </w:r>
      <w:r w:rsidR="00A94D7A" w:rsidRPr="0013532F">
        <w:rPr>
          <w:rFonts w:ascii="Arial" w:hAnsi="Arial" w:cs="Arial"/>
          <w:bCs/>
        </w:rPr>
        <w:t>/Cr</w:t>
      </w:r>
      <w:r w:rsidR="00F80DE4" w:rsidRPr="0013532F">
        <w:rPr>
          <w:rFonts w:ascii="Arial" w:hAnsi="Arial" w:cs="Arial"/>
          <w:bCs/>
        </w:rPr>
        <w:t xml:space="preserve">, </w:t>
      </w:r>
      <w:r w:rsidR="00A94D7A" w:rsidRPr="0013532F">
        <w:rPr>
          <w:rFonts w:ascii="Arial" w:hAnsi="Arial" w:cs="Arial"/>
          <w:bCs/>
        </w:rPr>
        <w:t xml:space="preserve">PINP, </w:t>
      </w:r>
      <w:r w:rsidR="00F80DE4" w:rsidRPr="0013532F">
        <w:rPr>
          <w:rFonts w:ascii="Arial" w:hAnsi="Arial" w:cs="Arial"/>
          <w:bCs/>
        </w:rPr>
        <w:t>bone ALP and osteocalcin had a positive skewed distribution</w:t>
      </w:r>
      <w:r w:rsidR="00F80DE4" w:rsidRPr="00571992">
        <w:rPr>
          <w:rFonts w:ascii="Arial" w:hAnsi="Arial" w:cs="Arial"/>
          <w:bCs/>
        </w:rPr>
        <w:t xml:space="preserve"> and were therefore log</w:t>
      </w:r>
      <w:r w:rsidR="00F80DE4" w:rsidRPr="00571992">
        <w:rPr>
          <w:rFonts w:ascii="Arial" w:hAnsi="Arial" w:cs="Arial"/>
          <w:bCs/>
          <w:vertAlign w:val="subscript"/>
        </w:rPr>
        <w:t xml:space="preserve">10 </w:t>
      </w:r>
      <w:r w:rsidR="00F80DE4" w:rsidRPr="00571992">
        <w:rPr>
          <w:rFonts w:ascii="Arial" w:hAnsi="Arial" w:cs="Arial"/>
          <w:bCs/>
        </w:rPr>
        <w:t xml:space="preserve">transformed to achieve </w:t>
      </w:r>
      <w:r w:rsidR="00F80DE4">
        <w:rPr>
          <w:rFonts w:ascii="Arial" w:hAnsi="Arial" w:cs="Arial"/>
          <w:bCs/>
        </w:rPr>
        <w:t xml:space="preserve">approximate </w:t>
      </w:r>
      <w:r w:rsidR="00F80DE4" w:rsidRPr="00571992">
        <w:rPr>
          <w:rFonts w:ascii="Arial" w:hAnsi="Arial" w:cs="Arial"/>
          <w:bCs/>
        </w:rPr>
        <w:t>normality</w:t>
      </w:r>
      <w:r w:rsidR="00F80DE4">
        <w:rPr>
          <w:rFonts w:ascii="Arial" w:hAnsi="Arial" w:cs="Arial"/>
          <w:bCs/>
        </w:rPr>
        <w:t xml:space="preserve">. </w:t>
      </w:r>
    </w:p>
    <w:p w:rsidR="00DF5D6B" w:rsidRDefault="00DF5D6B" w:rsidP="00844C20">
      <w:pPr>
        <w:spacing w:line="360" w:lineRule="auto"/>
        <w:jc w:val="both"/>
        <w:rPr>
          <w:rFonts w:ascii="Arial" w:hAnsi="Arial" w:cs="Arial"/>
          <w:bCs/>
        </w:rPr>
      </w:pPr>
      <w:r w:rsidRPr="00571992">
        <w:rPr>
          <w:rFonts w:ascii="Arial" w:hAnsi="Arial" w:cs="Arial"/>
          <w:lang w:val="en-US"/>
        </w:rPr>
        <w:t xml:space="preserve">An independent sample t-test was used to determine the statistical difference between the </w:t>
      </w:r>
      <w:r>
        <w:rPr>
          <w:rFonts w:ascii="Arial" w:hAnsi="Arial" w:cs="Arial"/>
          <w:lang w:val="en-US"/>
        </w:rPr>
        <w:t xml:space="preserve">mean </w:t>
      </w:r>
      <w:r w:rsidRPr="00571992">
        <w:rPr>
          <w:rFonts w:ascii="Arial" w:hAnsi="Arial" w:cs="Arial"/>
          <w:lang w:val="en-US"/>
        </w:rPr>
        <w:t xml:space="preserve">BTM </w:t>
      </w:r>
      <w:r w:rsidR="00E16D4D">
        <w:rPr>
          <w:rFonts w:ascii="Arial" w:hAnsi="Arial" w:cs="Arial"/>
          <w:lang w:val="en-US"/>
        </w:rPr>
        <w:t xml:space="preserve">levels </w:t>
      </w:r>
      <w:r w:rsidRPr="00571992">
        <w:rPr>
          <w:rFonts w:ascii="Arial" w:hAnsi="Arial" w:cs="Arial"/>
          <w:lang w:val="en-US"/>
        </w:rPr>
        <w:t xml:space="preserve">for </w:t>
      </w:r>
      <w:r w:rsidR="00E16D4D">
        <w:rPr>
          <w:rFonts w:ascii="Arial" w:hAnsi="Arial" w:cs="Arial"/>
          <w:lang w:val="en-US"/>
        </w:rPr>
        <w:t xml:space="preserve">i) </w:t>
      </w:r>
      <w:r w:rsidRPr="00571992">
        <w:rPr>
          <w:rFonts w:ascii="Arial" w:hAnsi="Arial" w:cs="Arial"/>
          <w:lang w:val="en-US"/>
        </w:rPr>
        <w:t>postmenopausal</w:t>
      </w:r>
      <w:r>
        <w:rPr>
          <w:rFonts w:ascii="Arial" w:hAnsi="Arial" w:cs="Arial"/>
          <w:lang w:val="en-US"/>
        </w:rPr>
        <w:t xml:space="preserve"> with osteoporosis at baseline and premenopausal women and </w:t>
      </w:r>
      <w:r w:rsidR="00E16D4D">
        <w:rPr>
          <w:rFonts w:ascii="Arial" w:hAnsi="Arial" w:cs="Arial"/>
          <w:lang w:val="en-US"/>
        </w:rPr>
        <w:t xml:space="preserve">ii) </w:t>
      </w:r>
      <w:r>
        <w:rPr>
          <w:rFonts w:ascii="Arial" w:hAnsi="Arial" w:cs="Arial"/>
          <w:lang w:val="en-US"/>
        </w:rPr>
        <w:t xml:space="preserve">postmenopausal women with osteoporosis and </w:t>
      </w:r>
      <w:r w:rsidR="00E16D4D">
        <w:rPr>
          <w:rFonts w:ascii="Arial" w:hAnsi="Arial" w:cs="Arial"/>
          <w:lang w:val="en-US"/>
        </w:rPr>
        <w:t xml:space="preserve">with </w:t>
      </w:r>
      <w:r>
        <w:rPr>
          <w:rFonts w:ascii="Arial" w:hAnsi="Arial" w:cs="Arial"/>
          <w:lang w:val="en-US"/>
        </w:rPr>
        <w:t>osteopenia at baseline.</w:t>
      </w:r>
    </w:p>
    <w:p w:rsidR="009E10A4" w:rsidRDefault="00F80DE4" w:rsidP="00844C20">
      <w:pPr>
        <w:spacing w:line="360" w:lineRule="auto"/>
        <w:jc w:val="both"/>
        <w:rPr>
          <w:rFonts w:ascii="Arial" w:hAnsi="Arial" w:cs="Arial"/>
          <w:lang w:val="en-US"/>
        </w:rPr>
      </w:pPr>
      <w:r w:rsidRPr="00571992">
        <w:rPr>
          <w:rFonts w:ascii="Arial" w:hAnsi="Arial" w:cs="Arial"/>
          <w:lang w:val="en-US"/>
        </w:rPr>
        <w:t>A 95% reference interval was calculated f</w:t>
      </w:r>
      <w:r>
        <w:rPr>
          <w:rFonts w:ascii="Arial" w:hAnsi="Arial" w:cs="Arial"/>
          <w:lang w:val="en-US"/>
        </w:rPr>
        <w:t>or each BTM using the healthy premenopausal control group and expressed as a mean ± 1.96 SD (as in chapter four)</w:t>
      </w:r>
      <w:r w:rsidR="00FB6BCD">
        <w:rPr>
          <w:rFonts w:ascii="Arial" w:hAnsi="Arial" w:cs="Arial"/>
          <w:lang w:val="en-US"/>
        </w:rPr>
        <w:t xml:space="preserve">, using </w:t>
      </w:r>
      <w:r w:rsidR="009E10A4">
        <w:rPr>
          <w:rFonts w:ascii="Arial" w:hAnsi="Arial" w:cs="Arial"/>
          <w:lang w:val="en-US"/>
        </w:rPr>
        <w:t>MedCalc Statistical Software version 14.10.2 (MedCalc Software bvba, Ostend, Belgium; http://www.medcalc.org;2014).</w:t>
      </w:r>
      <w:r w:rsidR="00A94D7A">
        <w:rPr>
          <w:rFonts w:ascii="Arial" w:hAnsi="Arial" w:cs="Arial"/>
          <w:lang w:val="en-US"/>
        </w:rPr>
        <w:t xml:space="preserve"> </w:t>
      </w:r>
      <w:r w:rsidR="00E81AF5">
        <w:rPr>
          <w:rFonts w:ascii="Arial" w:hAnsi="Arial" w:cs="Arial"/>
          <w:lang w:val="en-US"/>
        </w:rPr>
        <w:t xml:space="preserve">The BTM reference intervals will be used to assess and describe the response to the treatments </w:t>
      </w:r>
      <w:r w:rsidR="00896093">
        <w:rPr>
          <w:rFonts w:ascii="Arial" w:hAnsi="Arial" w:cs="Arial"/>
          <w:lang w:val="en-US"/>
        </w:rPr>
        <w:t>qualitatively i.e. high, upper and lower parts, normal and low.</w:t>
      </w:r>
      <w:r w:rsidR="00E81AF5">
        <w:rPr>
          <w:rFonts w:ascii="Arial" w:hAnsi="Arial" w:cs="Arial"/>
          <w:lang w:val="en-US"/>
        </w:rPr>
        <w:t xml:space="preserve"> </w:t>
      </w:r>
    </w:p>
    <w:p w:rsidR="009E10A4" w:rsidRDefault="00F67633" w:rsidP="00844C20">
      <w:pPr>
        <w:spacing w:line="360" w:lineRule="auto"/>
        <w:jc w:val="both"/>
        <w:rPr>
          <w:rFonts w:ascii="Arial" w:hAnsi="Arial" w:cs="Arial"/>
        </w:rPr>
      </w:pPr>
      <w:r w:rsidRPr="00F67633">
        <w:rPr>
          <w:rFonts w:ascii="Arial" w:hAnsi="Arial" w:cs="Arial"/>
        </w:rPr>
        <w:t xml:space="preserve">Box and whisker plots representing </w:t>
      </w:r>
      <w:r>
        <w:rPr>
          <w:rFonts w:ascii="Arial" w:hAnsi="Arial" w:cs="Arial"/>
        </w:rPr>
        <w:t xml:space="preserve">the upper and lower quartiles and 5 – 95 percentiles were calculated for </w:t>
      </w:r>
      <w:r w:rsidR="00FB6BCD">
        <w:rPr>
          <w:rFonts w:ascii="Arial" w:hAnsi="Arial" w:cs="Arial"/>
        </w:rPr>
        <w:t>each BT</w:t>
      </w:r>
      <w:r w:rsidR="009E10A4">
        <w:rPr>
          <w:rFonts w:ascii="Arial" w:hAnsi="Arial" w:cs="Arial"/>
        </w:rPr>
        <w:t>M</w:t>
      </w:r>
      <w:r w:rsidR="00FB6BCD">
        <w:rPr>
          <w:rFonts w:ascii="Arial" w:hAnsi="Arial" w:cs="Arial"/>
        </w:rPr>
        <w:t xml:space="preserve"> using GraphPad Prism 6, version 6.05, 2014 (</w:t>
      </w:r>
      <w:r w:rsidR="00FB6BCD" w:rsidRPr="00FB6BCD">
        <w:rPr>
          <w:rFonts w:ascii="Arial" w:hAnsi="Arial" w:cs="Arial"/>
        </w:rPr>
        <w:t>http://www.graphpad.com/</w:t>
      </w:r>
      <w:r w:rsidR="00FB6BCD">
        <w:rPr>
          <w:rFonts w:ascii="Arial" w:hAnsi="Arial" w:cs="Arial"/>
        </w:rPr>
        <w:t>ref this).</w:t>
      </w:r>
    </w:p>
    <w:p w:rsidR="0018224B" w:rsidRPr="009E10A4" w:rsidRDefault="00F67633" w:rsidP="00844C20">
      <w:pPr>
        <w:spacing w:line="360" w:lineRule="auto"/>
        <w:jc w:val="both"/>
        <w:rPr>
          <w:rFonts w:ascii="Arial" w:hAnsi="Arial" w:cs="Arial"/>
          <w:lang w:val="en-US"/>
        </w:rPr>
      </w:pPr>
      <w:r>
        <w:rPr>
          <w:rFonts w:ascii="Arial" w:hAnsi="Arial" w:cs="Arial"/>
          <w:lang w:val="en-US"/>
        </w:rPr>
        <w:t>The mean percentage change</w:t>
      </w:r>
      <w:r w:rsidR="00A82D98">
        <w:rPr>
          <w:rFonts w:ascii="Arial" w:hAnsi="Arial" w:cs="Arial"/>
          <w:lang w:val="en-US"/>
        </w:rPr>
        <w:t xml:space="preserve"> in BTMs</w:t>
      </w:r>
      <w:r w:rsidR="009E10A4">
        <w:rPr>
          <w:rFonts w:ascii="Arial" w:hAnsi="Arial" w:cs="Arial"/>
          <w:lang w:val="en-US"/>
        </w:rPr>
        <w:t xml:space="preserve"> </w:t>
      </w:r>
      <w:r>
        <w:rPr>
          <w:rFonts w:ascii="Arial" w:hAnsi="Arial" w:cs="Arial"/>
          <w:lang w:val="en-US"/>
        </w:rPr>
        <w:t>from baseline 1 (week -1) was calculated for each of the subsequent time points for ibandronate, alendronate, risedr</w:t>
      </w:r>
      <w:r w:rsidR="009E10A4">
        <w:rPr>
          <w:rFonts w:ascii="Arial" w:hAnsi="Arial" w:cs="Arial"/>
          <w:lang w:val="en-US"/>
        </w:rPr>
        <w:t>onate and</w:t>
      </w:r>
      <w:r w:rsidR="00A82D98">
        <w:rPr>
          <w:rFonts w:ascii="Arial" w:hAnsi="Arial" w:cs="Arial"/>
          <w:lang w:val="en-US"/>
        </w:rPr>
        <w:t xml:space="preserve"> raloxifene treatments</w:t>
      </w:r>
      <w:r w:rsidR="009E10A4">
        <w:rPr>
          <w:rFonts w:ascii="Arial" w:hAnsi="Arial" w:cs="Arial"/>
          <w:lang w:val="en-US"/>
        </w:rPr>
        <w:t xml:space="preserve">. </w:t>
      </w:r>
      <w:r w:rsidR="005E3A5F">
        <w:rPr>
          <w:rFonts w:ascii="Arial" w:hAnsi="Arial" w:cs="Arial"/>
          <w:lang w:val="en-US"/>
        </w:rPr>
        <w:t xml:space="preserve">The </w:t>
      </w:r>
      <w:r w:rsidR="009443FB">
        <w:rPr>
          <w:rFonts w:ascii="Arial" w:hAnsi="Arial" w:cs="Arial"/>
        </w:rPr>
        <w:t>n</w:t>
      </w:r>
      <w:r w:rsidR="005E3A5F" w:rsidRPr="005E3A5F">
        <w:rPr>
          <w:rFonts w:ascii="Arial" w:hAnsi="Arial" w:cs="Arial"/>
        </w:rPr>
        <w:t>on-parametric Wilcoxon signed test</w:t>
      </w:r>
      <w:r w:rsidR="005E3A5F">
        <w:rPr>
          <w:rFonts w:ascii="Arial" w:hAnsi="Arial" w:cs="Arial"/>
        </w:rPr>
        <w:t xml:space="preserve"> was used to assess the s</w:t>
      </w:r>
      <w:r w:rsidR="005E3A5F" w:rsidRPr="005E3A5F">
        <w:rPr>
          <w:rFonts w:ascii="Arial" w:hAnsi="Arial" w:cs="Arial"/>
        </w:rPr>
        <w:t>ignifi</w:t>
      </w:r>
      <w:r w:rsidR="005E3A5F">
        <w:rPr>
          <w:rFonts w:ascii="Arial" w:hAnsi="Arial" w:cs="Arial"/>
        </w:rPr>
        <w:t>cance from baseline.</w:t>
      </w:r>
      <w:r w:rsidR="005E3A5F" w:rsidRPr="005E3A5F">
        <w:rPr>
          <w:rFonts w:ascii="Arial" w:hAnsi="Arial" w:cs="Arial"/>
        </w:rPr>
        <w:t xml:space="preserve"> </w:t>
      </w:r>
      <w:r w:rsidR="001F55D7">
        <w:rPr>
          <w:rFonts w:ascii="Arial" w:hAnsi="Arial" w:cs="Arial"/>
          <w:lang w:val="en-US"/>
        </w:rPr>
        <w:t xml:space="preserve">The BTM levels </w:t>
      </w:r>
      <w:r w:rsidR="00A82D98">
        <w:rPr>
          <w:rFonts w:ascii="Arial" w:hAnsi="Arial" w:cs="Arial"/>
          <w:lang w:val="en-US"/>
        </w:rPr>
        <w:t>w</w:t>
      </w:r>
      <w:r w:rsidR="001F55D7">
        <w:rPr>
          <w:rFonts w:ascii="Arial" w:hAnsi="Arial" w:cs="Arial"/>
          <w:lang w:val="en-US"/>
        </w:rPr>
        <w:t>ere</w:t>
      </w:r>
      <w:r w:rsidR="009E10A4">
        <w:rPr>
          <w:rFonts w:ascii="Arial" w:hAnsi="Arial" w:cs="Arial"/>
          <w:lang w:val="en-US"/>
        </w:rPr>
        <w:t xml:space="preserve"> compared to the premenopausal reference intervals. The responders to the treatments were calculated as the percentage of participants whom had a BTM result less </w:t>
      </w:r>
      <w:r w:rsidR="00D2266C" w:rsidRPr="0013532F">
        <w:rPr>
          <w:rFonts w:ascii="Arial" w:hAnsi="Arial" w:cs="Arial"/>
        </w:rPr>
        <w:t xml:space="preserve">The baseline characteristics for the </w:t>
      </w:r>
      <w:r w:rsidR="00D2266C">
        <w:rPr>
          <w:rFonts w:ascii="Arial" w:hAnsi="Arial" w:cs="Arial"/>
        </w:rPr>
        <w:t xml:space="preserve">i) </w:t>
      </w:r>
      <w:r w:rsidR="00D2266C" w:rsidRPr="0013532F">
        <w:rPr>
          <w:rFonts w:ascii="Arial" w:hAnsi="Arial" w:cs="Arial"/>
        </w:rPr>
        <w:t>postmenopausal women with osteoporosis receivin</w:t>
      </w:r>
      <w:r w:rsidR="00D2266C">
        <w:rPr>
          <w:rFonts w:ascii="Arial" w:hAnsi="Arial" w:cs="Arial"/>
        </w:rPr>
        <w:t>g ibandronate, alendronate and r</w:t>
      </w:r>
      <w:r w:rsidR="00D2266C" w:rsidRPr="0013532F">
        <w:rPr>
          <w:rFonts w:ascii="Arial" w:hAnsi="Arial" w:cs="Arial"/>
        </w:rPr>
        <w:t>isedronate</w:t>
      </w:r>
      <w:r w:rsidR="00D2266C">
        <w:rPr>
          <w:rFonts w:ascii="Arial" w:hAnsi="Arial" w:cs="Arial"/>
        </w:rPr>
        <w:t xml:space="preserve"> ii) postmenopausal women with osteopenia receiving raloxifene and no treatment and iii)</w:t>
      </w:r>
      <w:r w:rsidR="00D2266C" w:rsidRPr="0013532F">
        <w:rPr>
          <w:rFonts w:ascii="Arial" w:hAnsi="Arial" w:cs="Arial"/>
        </w:rPr>
        <w:t xml:space="preserve"> premenopausal compara</w:t>
      </w:r>
      <w:r w:rsidR="001B09D0">
        <w:rPr>
          <w:rFonts w:ascii="Arial" w:hAnsi="Arial" w:cs="Arial"/>
        </w:rPr>
        <w:t>t</w:t>
      </w:r>
      <w:r w:rsidR="00E133C3">
        <w:rPr>
          <w:rFonts w:ascii="Arial" w:hAnsi="Arial" w:cs="Arial"/>
        </w:rPr>
        <w:t>or groups are shown in (Table 21</w:t>
      </w:r>
      <w:r w:rsidR="001B09D0">
        <w:rPr>
          <w:rFonts w:ascii="Arial" w:hAnsi="Arial" w:cs="Arial"/>
        </w:rPr>
        <w:t>)</w:t>
      </w:r>
      <w:r w:rsidR="007E28FE">
        <w:rPr>
          <w:rFonts w:ascii="Arial" w:hAnsi="Arial" w:cs="Arial"/>
        </w:rPr>
        <w:t xml:space="preserve">. </w:t>
      </w:r>
    </w:p>
    <w:p w:rsidR="00D7293E" w:rsidRDefault="00D7293E" w:rsidP="00844C20">
      <w:pPr>
        <w:pStyle w:val="Heading2"/>
        <w:jc w:val="both"/>
      </w:pPr>
      <w:bookmarkStart w:id="159" w:name="_Toc425418941"/>
      <w:r>
        <w:lastRenderedPageBreak/>
        <w:t>Results</w:t>
      </w:r>
      <w:bookmarkEnd w:id="159"/>
    </w:p>
    <w:p w:rsidR="009C6E23" w:rsidRPr="0013532F" w:rsidRDefault="00EF7B04" w:rsidP="00844C20">
      <w:pPr>
        <w:spacing w:line="360" w:lineRule="auto"/>
        <w:jc w:val="both"/>
        <w:rPr>
          <w:rFonts w:ascii="Arial" w:hAnsi="Arial" w:cs="Arial"/>
        </w:rPr>
      </w:pPr>
      <w:r>
        <w:rPr>
          <w:rFonts w:ascii="Arial" w:hAnsi="Arial" w:cs="Arial"/>
        </w:rPr>
        <w:t xml:space="preserve">Postmenopausal women </w:t>
      </w:r>
      <w:r w:rsidR="00DF5D6B">
        <w:rPr>
          <w:rFonts w:ascii="Arial" w:hAnsi="Arial" w:cs="Arial"/>
        </w:rPr>
        <w:t xml:space="preserve">with osteoporosis </w:t>
      </w:r>
      <w:r>
        <w:rPr>
          <w:rFonts w:ascii="Arial" w:hAnsi="Arial" w:cs="Arial"/>
        </w:rPr>
        <w:t>have significantly higher mean levels of BTMs at baseline compared to healthy premenopausal women, p&lt;0.001.</w:t>
      </w:r>
      <w:r w:rsidR="00DF5D6B">
        <w:rPr>
          <w:rFonts w:ascii="Arial" w:hAnsi="Arial" w:cs="Arial"/>
        </w:rPr>
        <w:t xml:space="preserve"> Postme</w:t>
      </w:r>
      <w:r w:rsidR="00491342">
        <w:rPr>
          <w:rFonts w:ascii="Arial" w:hAnsi="Arial" w:cs="Arial"/>
        </w:rPr>
        <w:t>nopausal women with osteopenia</w:t>
      </w:r>
      <w:r w:rsidR="00DF5D6B">
        <w:rPr>
          <w:rFonts w:ascii="Arial" w:hAnsi="Arial" w:cs="Arial"/>
        </w:rPr>
        <w:t xml:space="preserve"> have significantly higher levels of CTX, </w:t>
      </w:r>
      <w:r w:rsidR="00491342">
        <w:rPr>
          <w:rFonts w:ascii="Arial" w:hAnsi="Arial" w:cs="Arial"/>
        </w:rPr>
        <w:t xml:space="preserve">NTX/Cr, </w:t>
      </w:r>
      <w:r w:rsidR="00DF5D6B">
        <w:rPr>
          <w:rFonts w:ascii="Arial" w:hAnsi="Arial" w:cs="Arial"/>
        </w:rPr>
        <w:t>bone ALP and osteocalcin, p&lt;0.001.</w:t>
      </w:r>
    </w:p>
    <w:p w:rsidR="00E86F8F" w:rsidRPr="00E833B6" w:rsidRDefault="00E86F8F" w:rsidP="00844C20">
      <w:pPr>
        <w:pStyle w:val="Caption"/>
        <w:keepNext/>
        <w:jc w:val="both"/>
      </w:pPr>
      <w:bookmarkStart w:id="160" w:name="_Toc424043695"/>
      <w:r w:rsidRPr="00E833B6">
        <w:rPr>
          <w:rFonts w:ascii="Arial" w:hAnsi="Arial" w:cs="Arial"/>
          <w:b w:val="0"/>
          <w:color w:val="auto"/>
        </w:rPr>
        <w:t xml:space="preserve">Table </w:t>
      </w:r>
      <w:r w:rsidRPr="00E833B6">
        <w:rPr>
          <w:rFonts w:ascii="Arial" w:hAnsi="Arial" w:cs="Arial"/>
          <w:b w:val="0"/>
          <w:color w:val="auto"/>
        </w:rPr>
        <w:fldChar w:fldCharType="begin"/>
      </w:r>
      <w:r w:rsidRPr="00E833B6">
        <w:rPr>
          <w:rFonts w:ascii="Arial" w:hAnsi="Arial" w:cs="Arial"/>
          <w:b w:val="0"/>
          <w:color w:val="auto"/>
        </w:rPr>
        <w:instrText xml:space="preserve"> SEQ Table \* ARABIC </w:instrText>
      </w:r>
      <w:r w:rsidRPr="00E833B6">
        <w:rPr>
          <w:rFonts w:ascii="Arial" w:hAnsi="Arial" w:cs="Arial"/>
          <w:b w:val="0"/>
          <w:color w:val="auto"/>
        </w:rPr>
        <w:fldChar w:fldCharType="separate"/>
      </w:r>
      <w:r w:rsidR="00DD116A">
        <w:rPr>
          <w:rFonts w:ascii="Arial" w:hAnsi="Arial" w:cs="Arial"/>
          <w:b w:val="0"/>
          <w:noProof/>
          <w:color w:val="auto"/>
        </w:rPr>
        <w:t>21</w:t>
      </w:r>
      <w:r w:rsidRPr="00E833B6">
        <w:rPr>
          <w:rFonts w:ascii="Arial" w:hAnsi="Arial" w:cs="Arial"/>
          <w:b w:val="0"/>
          <w:color w:val="auto"/>
        </w:rPr>
        <w:fldChar w:fldCharType="end"/>
      </w:r>
      <w:r w:rsidR="00C02DB7">
        <w:rPr>
          <w:rFonts w:ascii="Arial" w:hAnsi="Arial" w:cs="Arial"/>
          <w:b w:val="0"/>
          <w:color w:val="auto"/>
        </w:rPr>
        <w:t>: The b</w:t>
      </w:r>
      <w:r w:rsidRPr="00E833B6">
        <w:rPr>
          <w:rFonts w:ascii="Arial" w:hAnsi="Arial" w:cs="Arial"/>
          <w:b w:val="0"/>
          <w:color w:val="auto"/>
        </w:rPr>
        <w:t>asel</w:t>
      </w:r>
      <w:r w:rsidR="00C02DB7">
        <w:rPr>
          <w:rFonts w:ascii="Arial" w:hAnsi="Arial" w:cs="Arial"/>
          <w:b w:val="0"/>
          <w:color w:val="auto"/>
        </w:rPr>
        <w:t xml:space="preserve">ine characteristics of the </w:t>
      </w:r>
      <w:r w:rsidR="001D67C8" w:rsidRPr="00E833B6">
        <w:rPr>
          <w:rFonts w:ascii="Arial" w:hAnsi="Arial" w:cs="Arial"/>
          <w:b w:val="0"/>
          <w:color w:val="auto"/>
        </w:rPr>
        <w:t xml:space="preserve">postmenopausal women </w:t>
      </w:r>
      <w:r w:rsidR="00C67A58">
        <w:rPr>
          <w:rFonts w:ascii="Arial" w:hAnsi="Arial" w:cs="Arial"/>
          <w:b w:val="0"/>
          <w:color w:val="auto"/>
        </w:rPr>
        <w:t>with osteoporosis receiving ibandronate, alendronate and risedronate</w:t>
      </w:r>
      <w:r w:rsidR="00DB109D">
        <w:rPr>
          <w:rFonts w:ascii="Arial" w:hAnsi="Arial" w:cs="Arial"/>
          <w:b w:val="0"/>
          <w:color w:val="auto"/>
        </w:rPr>
        <w:t xml:space="preserve"> </w:t>
      </w:r>
      <w:r w:rsidR="001D67C8" w:rsidRPr="00E833B6">
        <w:rPr>
          <w:rFonts w:ascii="Arial" w:hAnsi="Arial" w:cs="Arial"/>
          <w:b w:val="0"/>
          <w:color w:val="auto"/>
        </w:rPr>
        <w:t xml:space="preserve">and </w:t>
      </w:r>
      <w:r w:rsidR="00DB109D">
        <w:rPr>
          <w:rFonts w:ascii="Arial" w:hAnsi="Arial" w:cs="Arial"/>
          <w:b w:val="0"/>
          <w:color w:val="auto"/>
        </w:rPr>
        <w:t>with osteopenia receiving raloxifene or no treatment and</w:t>
      </w:r>
      <w:r w:rsidR="00C02DB7">
        <w:rPr>
          <w:rFonts w:ascii="Arial" w:hAnsi="Arial" w:cs="Arial"/>
          <w:b w:val="0"/>
          <w:color w:val="auto"/>
        </w:rPr>
        <w:t xml:space="preserve"> </w:t>
      </w:r>
      <w:r w:rsidR="001D67C8" w:rsidRPr="00E833B6">
        <w:rPr>
          <w:rFonts w:ascii="Arial" w:hAnsi="Arial" w:cs="Arial"/>
          <w:b w:val="0"/>
          <w:color w:val="auto"/>
        </w:rPr>
        <w:t>healthy premenopausal women. Data shown are means and (standard deviations)</w:t>
      </w:r>
      <w:bookmarkEnd w:id="160"/>
    </w:p>
    <w:tbl>
      <w:tblPr>
        <w:tblW w:w="9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1346"/>
        <w:gridCol w:w="1341"/>
        <w:gridCol w:w="1340"/>
        <w:gridCol w:w="1340"/>
        <w:gridCol w:w="1340"/>
        <w:gridCol w:w="1340"/>
      </w:tblGrid>
      <w:tr w:rsidR="00A7019B" w:rsidRPr="00E86F8F" w:rsidTr="00685609">
        <w:trPr>
          <w:trHeight w:val="783"/>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Variable</w:t>
            </w:r>
          </w:p>
        </w:tc>
        <w:tc>
          <w:tcPr>
            <w:tcW w:w="134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Ibandronate</w:t>
            </w:r>
            <w:r>
              <w:rPr>
                <w:rFonts w:ascii="Arial" w:hAnsi="Arial" w:cs="Arial"/>
                <w:sz w:val="16"/>
                <w:szCs w:val="16"/>
              </w:rPr>
              <w:t xml:space="preserve">           (N = 57)</w:t>
            </w:r>
          </w:p>
        </w:tc>
        <w:tc>
          <w:tcPr>
            <w:tcW w:w="1341"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Alendronate</w:t>
            </w:r>
            <w:r>
              <w:rPr>
                <w:rFonts w:ascii="Arial" w:hAnsi="Arial" w:cs="Arial"/>
                <w:sz w:val="16"/>
                <w:szCs w:val="16"/>
              </w:rPr>
              <w:t xml:space="preserve">          (N = 57)</w:t>
            </w:r>
          </w:p>
        </w:tc>
        <w:tc>
          <w:tcPr>
            <w:tcW w:w="1340"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Risedronate</w:t>
            </w:r>
            <w:r>
              <w:rPr>
                <w:rFonts w:ascii="Arial" w:hAnsi="Arial" w:cs="Arial"/>
                <w:sz w:val="16"/>
                <w:szCs w:val="16"/>
              </w:rPr>
              <w:t xml:space="preserve">          (N = 58)</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Raloxifene      (N = 21)</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No treatments (n = 23)</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Premenopausal (N = 226)</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Pr>
                <w:rFonts w:ascii="Arial" w:hAnsi="Arial" w:cs="Arial"/>
                <w:sz w:val="16"/>
                <w:szCs w:val="16"/>
              </w:rPr>
              <w:t>A</w:t>
            </w:r>
            <w:r w:rsidRPr="00E86F8F">
              <w:rPr>
                <w:rFonts w:ascii="Arial" w:hAnsi="Arial" w:cs="Arial"/>
                <w:sz w:val="16"/>
                <w:szCs w:val="16"/>
              </w:rPr>
              <w:t>ge, years</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66.9 (7.2)</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67.8 (7.8)</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66.8 (6.7)</w:t>
            </w:r>
          </w:p>
        </w:tc>
        <w:tc>
          <w:tcPr>
            <w:tcW w:w="1340" w:type="dxa"/>
            <w:vAlign w:val="center"/>
          </w:tcPr>
          <w:p w:rsidR="00A7019B" w:rsidRDefault="002624C6" w:rsidP="00900F2C">
            <w:pPr>
              <w:rPr>
                <w:rFonts w:ascii="Arial" w:hAnsi="Arial" w:cs="Arial"/>
                <w:sz w:val="16"/>
                <w:szCs w:val="16"/>
              </w:rPr>
            </w:pPr>
            <w:r>
              <w:rPr>
                <w:rFonts w:ascii="Arial" w:hAnsi="Arial" w:cs="Arial"/>
                <w:sz w:val="16"/>
                <w:szCs w:val="16"/>
              </w:rPr>
              <w:t>64.0</w:t>
            </w:r>
            <w:r w:rsidR="0002551F">
              <w:rPr>
                <w:rFonts w:ascii="Arial" w:hAnsi="Arial" w:cs="Arial"/>
                <w:sz w:val="16"/>
                <w:szCs w:val="16"/>
              </w:rPr>
              <w:t xml:space="preserve"> (6.3)</w:t>
            </w:r>
          </w:p>
        </w:tc>
        <w:tc>
          <w:tcPr>
            <w:tcW w:w="1340" w:type="dxa"/>
            <w:vAlign w:val="center"/>
          </w:tcPr>
          <w:p w:rsidR="00A7019B" w:rsidRDefault="00C67A58" w:rsidP="00900F2C">
            <w:pPr>
              <w:rPr>
                <w:rFonts w:ascii="Arial" w:hAnsi="Arial" w:cs="Arial"/>
                <w:sz w:val="16"/>
                <w:szCs w:val="16"/>
              </w:rPr>
            </w:pPr>
            <w:r>
              <w:rPr>
                <w:rFonts w:ascii="Arial" w:hAnsi="Arial" w:cs="Arial"/>
                <w:sz w:val="16"/>
                <w:szCs w:val="16"/>
              </w:rPr>
              <w:t>63.8</w:t>
            </w:r>
            <w:r w:rsidR="0002551F">
              <w:rPr>
                <w:rFonts w:ascii="Arial" w:hAnsi="Arial" w:cs="Arial"/>
                <w:sz w:val="16"/>
                <w:szCs w:val="16"/>
              </w:rPr>
              <w:t xml:space="preserve"> (6.3)</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37.9 (1.7)</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Height, cm</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159.8 (6.9)</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160.1 (5.3)</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160.7 (6.0)</w:t>
            </w:r>
          </w:p>
        </w:tc>
        <w:tc>
          <w:tcPr>
            <w:tcW w:w="1340" w:type="dxa"/>
            <w:vAlign w:val="center"/>
          </w:tcPr>
          <w:p w:rsidR="00A7019B" w:rsidRDefault="00C336A4" w:rsidP="00900F2C">
            <w:pPr>
              <w:rPr>
                <w:rFonts w:ascii="Arial" w:hAnsi="Arial" w:cs="Arial"/>
                <w:sz w:val="16"/>
                <w:szCs w:val="16"/>
              </w:rPr>
            </w:pPr>
            <w:r>
              <w:rPr>
                <w:rFonts w:ascii="Arial" w:hAnsi="Arial" w:cs="Arial"/>
                <w:sz w:val="16"/>
                <w:szCs w:val="16"/>
              </w:rPr>
              <w:t>158 (6.0</w:t>
            </w:r>
            <w:r w:rsidR="003800B6">
              <w:rPr>
                <w:rFonts w:ascii="Arial" w:hAnsi="Arial" w:cs="Arial"/>
                <w:sz w:val="16"/>
                <w:szCs w:val="16"/>
              </w:rPr>
              <w:t>)</w:t>
            </w:r>
          </w:p>
        </w:tc>
        <w:tc>
          <w:tcPr>
            <w:tcW w:w="1340" w:type="dxa"/>
            <w:vAlign w:val="center"/>
          </w:tcPr>
          <w:p w:rsidR="00A7019B" w:rsidRDefault="00C336A4" w:rsidP="00900F2C">
            <w:pPr>
              <w:rPr>
                <w:rFonts w:ascii="Arial" w:hAnsi="Arial" w:cs="Arial"/>
                <w:sz w:val="16"/>
                <w:szCs w:val="16"/>
              </w:rPr>
            </w:pPr>
            <w:r>
              <w:rPr>
                <w:rFonts w:ascii="Arial" w:hAnsi="Arial" w:cs="Arial"/>
                <w:sz w:val="16"/>
                <w:szCs w:val="16"/>
              </w:rPr>
              <w:t>161.7 (4.6)</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165.2 (6.4)</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Weight, kg</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66.2 (10.8)</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64.4 (10.2)</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69.9 (9.4)</w:t>
            </w:r>
          </w:p>
        </w:tc>
        <w:tc>
          <w:tcPr>
            <w:tcW w:w="1340" w:type="dxa"/>
            <w:vAlign w:val="center"/>
          </w:tcPr>
          <w:p w:rsidR="00A7019B" w:rsidRDefault="00C336A4" w:rsidP="00900F2C">
            <w:pPr>
              <w:rPr>
                <w:rFonts w:ascii="Arial" w:hAnsi="Arial" w:cs="Arial"/>
                <w:sz w:val="16"/>
                <w:szCs w:val="16"/>
              </w:rPr>
            </w:pPr>
            <w:r>
              <w:rPr>
                <w:rFonts w:ascii="Arial" w:hAnsi="Arial" w:cs="Arial"/>
                <w:sz w:val="16"/>
                <w:szCs w:val="16"/>
              </w:rPr>
              <w:t>65.0 (9.8</w:t>
            </w:r>
            <w:r w:rsidR="003800B6">
              <w:rPr>
                <w:rFonts w:ascii="Arial" w:hAnsi="Arial" w:cs="Arial"/>
                <w:sz w:val="16"/>
                <w:szCs w:val="16"/>
              </w:rPr>
              <w:t>)</w:t>
            </w:r>
          </w:p>
        </w:tc>
        <w:tc>
          <w:tcPr>
            <w:tcW w:w="1340" w:type="dxa"/>
            <w:vAlign w:val="center"/>
          </w:tcPr>
          <w:p w:rsidR="00A7019B" w:rsidRDefault="00C336A4" w:rsidP="00900F2C">
            <w:pPr>
              <w:rPr>
                <w:rFonts w:ascii="Arial" w:hAnsi="Arial" w:cs="Arial"/>
                <w:sz w:val="16"/>
                <w:szCs w:val="16"/>
              </w:rPr>
            </w:pPr>
            <w:r>
              <w:rPr>
                <w:rFonts w:ascii="Arial" w:hAnsi="Arial" w:cs="Arial"/>
                <w:sz w:val="16"/>
                <w:szCs w:val="16"/>
              </w:rPr>
              <w:t>70.2 (10.9)</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67.4 (10.7)</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BMI, kg/m</w:t>
            </w:r>
            <w:r w:rsidRPr="00E86F8F">
              <w:rPr>
                <w:rFonts w:ascii="Arial" w:hAnsi="Arial" w:cs="Arial"/>
                <w:sz w:val="16"/>
                <w:szCs w:val="16"/>
                <w:vertAlign w:val="superscript"/>
              </w:rPr>
              <w:t>2</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26.4 (4.0)</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25.9 (3.7)</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26.8 (3.8)</w:t>
            </w:r>
          </w:p>
        </w:tc>
        <w:tc>
          <w:tcPr>
            <w:tcW w:w="1340" w:type="dxa"/>
            <w:vAlign w:val="center"/>
          </w:tcPr>
          <w:p w:rsidR="00A7019B" w:rsidRDefault="00C67A58" w:rsidP="00900F2C">
            <w:pPr>
              <w:rPr>
                <w:rFonts w:ascii="Arial" w:hAnsi="Arial" w:cs="Arial"/>
                <w:sz w:val="16"/>
                <w:szCs w:val="16"/>
              </w:rPr>
            </w:pPr>
            <w:r>
              <w:rPr>
                <w:rFonts w:ascii="Arial" w:hAnsi="Arial" w:cs="Arial"/>
                <w:sz w:val="16"/>
                <w:szCs w:val="16"/>
              </w:rPr>
              <w:t>26.3</w:t>
            </w:r>
            <w:r w:rsidR="0002551F">
              <w:rPr>
                <w:rFonts w:ascii="Arial" w:hAnsi="Arial" w:cs="Arial"/>
                <w:sz w:val="16"/>
                <w:szCs w:val="16"/>
              </w:rPr>
              <w:t xml:space="preserve"> (3.9)</w:t>
            </w:r>
          </w:p>
        </w:tc>
        <w:tc>
          <w:tcPr>
            <w:tcW w:w="1340" w:type="dxa"/>
            <w:vAlign w:val="center"/>
          </w:tcPr>
          <w:p w:rsidR="00A7019B" w:rsidRDefault="00C67A58" w:rsidP="00900F2C">
            <w:pPr>
              <w:rPr>
                <w:rFonts w:ascii="Arial" w:hAnsi="Arial" w:cs="Arial"/>
                <w:sz w:val="16"/>
                <w:szCs w:val="16"/>
              </w:rPr>
            </w:pPr>
            <w:r>
              <w:rPr>
                <w:rFonts w:ascii="Arial" w:hAnsi="Arial" w:cs="Arial"/>
                <w:sz w:val="16"/>
                <w:szCs w:val="16"/>
              </w:rPr>
              <w:t>26.8</w:t>
            </w:r>
            <w:r w:rsidR="0002551F">
              <w:rPr>
                <w:rFonts w:ascii="Arial" w:hAnsi="Arial" w:cs="Arial"/>
                <w:sz w:val="16"/>
                <w:szCs w:val="16"/>
              </w:rPr>
              <w:t xml:space="preserve"> (3.2)</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25.1 (3.8)</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Lumbar spine BMD T-score</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-2.21 (1.06)</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-2.30 (0.96)</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-2.18 (0.82)</w:t>
            </w:r>
          </w:p>
        </w:tc>
        <w:tc>
          <w:tcPr>
            <w:tcW w:w="1340" w:type="dxa"/>
            <w:vAlign w:val="center"/>
          </w:tcPr>
          <w:p w:rsidR="00A7019B" w:rsidRDefault="00C20FF4" w:rsidP="00900F2C">
            <w:pPr>
              <w:rPr>
                <w:rFonts w:ascii="Arial" w:hAnsi="Arial" w:cs="Arial"/>
                <w:sz w:val="16"/>
                <w:szCs w:val="16"/>
              </w:rPr>
            </w:pPr>
            <w:r>
              <w:rPr>
                <w:rFonts w:ascii="Arial" w:hAnsi="Arial" w:cs="Arial"/>
                <w:sz w:val="16"/>
                <w:szCs w:val="16"/>
              </w:rPr>
              <w:t>-1.585 (0.66)</w:t>
            </w:r>
          </w:p>
        </w:tc>
        <w:tc>
          <w:tcPr>
            <w:tcW w:w="1340" w:type="dxa"/>
            <w:vAlign w:val="center"/>
          </w:tcPr>
          <w:p w:rsidR="00A7019B" w:rsidRDefault="00C67A58" w:rsidP="00900F2C">
            <w:pPr>
              <w:rPr>
                <w:rFonts w:ascii="Arial" w:hAnsi="Arial" w:cs="Arial"/>
                <w:sz w:val="16"/>
                <w:szCs w:val="16"/>
              </w:rPr>
            </w:pPr>
            <w:r>
              <w:rPr>
                <w:rFonts w:ascii="Arial" w:hAnsi="Arial" w:cs="Arial"/>
                <w:sz w:val="16"/>
                <w:szCs w:val="16"/>
              </w:rPr>
              <w:t>0.842</w:t>
            </w:r>
            <w:r w:rsidR="0002551F">
              <w:rPr>
                <w:rFonts w:ascii="Arial" w:hAnsi="Arial" w:cs="Arial"/>
                <w:sz w:val="16"/>
                <w:szCs w:val="16"/>
              </w:rPr>
              <w:t xml:space="preserve"> (1.32)</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0.25 (1.10)</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Total hip BMD T-score</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-1.29 (0.79)</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-1.59 (0.75)</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-1.15 (0.82)</w:t>
            </w:r>
          </w:p>
        </w:tc>
        <w:tc>
          <w:tcPr>
            <w:tcW w:w="1340" w:type="dxa"/>
            <w:vAlign w:val="center"/>
          </w:tcPr>
          <w:p w:rsidR="00A7019B" w:rsidRDefault="00C20FF4" w:rsidP="00900F2C">
            <w:pPr>
              <w:rPr>
                <w:rFonts w:ascii="Arial" w:hAnsi="Arial" w:cs="Arial"/>
                <w:sz w:val="16"/>
                <w:szCs w:val="16"/>
              </w:rPr>
            </w:pPr>
            <w:r>
              <w:rPr>
                <w:rFonts w:ascii="Arial" w:hAnsi="Arial" w:cs="Arial"/>
                <w:sz w:val="16"/>
                <w:szCs w:val="16"/>
              </w:rPr>
              <w:t>- 1.08 (0.74)</w:t>
            </w:r>
          </w:p>
        </w:tc>
        <w:tc>
          <w:tcPr>
            <w:tcW w:w="1340" w:type="dxa"/>
            <w:vAlign w:val="center"/>
          </w:tcPr>
          <w:p w:rsidR="00A7019B" w:rsidRDefault="00C67A58" w:rsidP="00900F2C">
            <w:pPr>
              <w:rPr>
                <w:rFonts w:ascii="Arial" w:hAnsi="Arial" w:cs="Arial"/>
                <w:sz w:val="16"/>
                <w:szCs w:val="16"/>
              </w:rPr>
            </w:pPr>
            <w:r>
              <w:rPr>
                <w:rFonts w:ascii="Arial" w:hAnsi="Arial" w:cs="Arial"/>
                <w:sz w:val="16"/>
                <w:szCs w:val="16"/>
              </w:rPr>
              <w:t>0.800</w:t>
            </w:r>
            <w:r w:rsidR="0002551F">
              <w:rPr>
                <w:rFonts w:ascii="Arial" w:hAnsi="Arial" w:cs="Arial"/>
                <w:sz w:val="16"/>
                <w:szCs w:val="16"/>
              </w:rPr>
              <w:t xml:space="preserve"> (1.01)</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0.26 (0.90)</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Serum CTX, ng/mL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0.704 (0.334)</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0.661 (0.308)</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0.612 (0.223)</w:t>
            </w:r>
          </w:p>
        </w:tc>
        <w:tc>
          <w:tcPr>
            <w:tcW w:w="1340" w:type="dxa"/>
            <w:vAlign w:val="center"/>
          </w:tcPr>
          <w:p w:rsidR="00A7019B" w:rsidRDefault="007E5314" w:rsidP="00900F2C">
            <w:pPr>
              <w:rPr>
                <w:rFonts w:ascii="Arial" w:hAnsi="Arial" w:cs="Arial"/>
                <w:sz w:val="16"/>
                <w:szCs w:val="16"/>
              </w:rPr>
            </w:pPr>
            <w:r>
              <w:rPr>
                <w:rFonts w:ascii="Arial" w:hAnsi="Arial" w:cs="Arial"/>
                <w:sz w:val="16"/>
                <w:szCs w:val="16"/>
              </w:rPr>
              <w:t>0.617 (0.255)</w:t>
            </w:r>
          </w:p>
        </w:tc>
        <w:tc>
          <w:tcPr>
            <w:tcW w:w="1340" w:type="dxa"/>
            <w:vAlign w:val="center"/>
          </w:tcPr>
          <w:p w:rsidR="00A7019B" w:rsidRDefault="00857CA4" w:rsidP="00900F2C">
            <w:pPr>
              <w:rPr>
                <w:rFonts w:ascii="Arial" w:hAnsi="Arial" w:cs="Arial"/>
                <w:sz w:val="16"/>
                <w:szCs w:val="16"/>
              </w:rPr>
            </w:pPr>
            <w:r>
              <w:rPr>
                <w:rFonts w:ascii="Arial" w:hAnsi="Arial" w:cs="Arial"/>
                <w:sz w:val="16"/>
                <w:szCs w:val="16"/>
              </w:rPr>
              <w:t>0.548 (0.262)</w:t>
            </w:r>
          </w:p>
        </w:tc>
        <w:tc>
          <w:tcPr>
            <w:tcW w:w="1340" w:type="dxa"/>
            <w:vAlign w:val="center"/>
          </w:tcPr>
          <w:p w:rsidR="00A7019B" w:rsidRPr="00E86F8F" w:rsidRDefault="00C336A4" w:rsidP="00900F2C">
            <w:pPr>
              <w:rPr>
                <w:rFonts w:ascii="Arial" w:hAnsi="Arial" w:cs="Arial"/>
                <w:sz w:val="16"/>
                <w:szCs w:val="16"/>
              </w:rPr>
            </w:pPr>
            <w:r>
              <w:rPr>
                <w:rFonts w:ascii="Arial" w:hAnsi="Arial" w:cs="Arial"/>
                <w:sz w:val="16"/>
                <w:szCs w:val="16"/>
              </w:rPr>
              <w:t>0.366 (0.184)</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Urine NTX nmol BCE/mmol Cr</w:t>
            </w:r>
          </w:p>
        </w:tc>
        <w:tc>
          <w:tcPr>
            <w:tcW w:w="1346" w:type="dxa"/>
            <w:vAlign w:val="center"/>
          </w:tcPr>
          <w:p w:rsidR="00A7019B" w:rsidRPr="00E86F8F" w:rsidRDefault="00857CA4" w:rsidP="00900F2C">
            <w:pPr>
              <w:rPr>
                <w:rFonts w:ascii="Arial" w:hAnsi="Arial" w:cs="Arial"/>
                <w:sz w:val="16"/>
                <w:szCs w:val="16"/>
              </w:rPr>
            </w:pPr>
            <w:r>
              <w:rPr>
                <w:rFonts w:ascii="Arial" w:hAnsi="Arial" w:cs="Arial"/>
                <w:sz w:val="16"/>
                <w:szCs w:val="16"/>
              </w:rPr>
              <w:t>55.4 (37.0)</w:t>
            </w:r>
          </w:p>
        </w:tc>
        <w:tc>
          <w:tcPr>
            <w:tcW w:w="1341" w:type="dxa"/>
            <w:vAlign w:val="center"/>
          </w:tcPr>
          <w:p w:rsidR="00A7019B" w:rsidRPr="00E86F8F" w:rsidRDefault="00857CA4" w:rsidP="00900F2C">
            <w:pPr>
              <w:rPr>
                <w:rFonts w:ascii="Arial" w:hAnsi="Arial" w:cs="Arial"/>
                <w:sz w:val="16"/>
                <w:szCs w:val="16"/>
              </w:rPr>
            </w:pPr>
            <w:r>
              <w:rPr>
                <w:rFonts w:ascii="Arial" w:hAnsi="Arial" w:cs="Arial"/>
                <w:sz w:val="16"/>
                <w:szCs w:val="16"/>
              </w:rPr>
              <w:t>43.0 (21.2)</w:t>
            </w:r>
          </w:p>
        </w:tc>
        <w:tc>
          <w:tcPr>
            <w:tcW w:w="1340" w:type="dxa"/>
            <w:vAlign w:val="center"/>
          </w:tcPr>
          <w:p w:rsidR="00A7019B" w:rsidRPr="00E86F8F" w:rsidRDefault="00857CA4" w:rsidP="00900F2C">
            <w:pPr>
              <w:rPr>
                <w:rFonts w:ascii="Arial" w:hAnsi="Arial" w:cs="Arial"/>
                <w:sz w:val="16"/>
                <w:szCs w:val="16"/>
              </w:rPr>
            </w:pPr>
            <w:r>
              <w:rPr>
                <w:rFonts w:ascii="Arial" w:hAnsi="Arial" w:cs="Arial"/>
                <w:sz w:val="16"/>
                <w:szCs w:val="16"/>
              </w:rPr>
              <w:t>39.2</w:t>
            </w:r>
            <w:r w:rsidR="006B4C44">
              <w:rPr>
                <w:rFonts w:ascii="Arial" w:hAnsi="Arial" w:cs="Arial"/>
                <w:sz w:val="16"/>
                <w:szCs w:val="16"/>
              </w:rPr>
              <w:t xml:space="preserve"> (17.3)</w:t>
            </w:r>
          </w:p>
        </w:tc>
        <w:tc>
          <w:tcPr>
            <w:tcW w:w="1340" w:type="dxa"/>
            <w:vAlign w:val="center"/>
          </w:tcPr>
          <w:p w:rsidR="00A7019B" w:rsidRDefault="00E217E9" w:rsidP="00900F2C">
            <w:pPr>
              <w:rPr>
                <w:rFonts w:ascii="Arial" w:hAnsi="Arial" w:cs="Arial"/>
                <w:sz w:val="16"/>
                <w:szCs w:val="16"/>
              </w:rPr>
            </w:pPr>
            <w:r>
              <w:rPr>
                <w:rFonts w:ascii="Arial" w:hAnsi="Arial" w:cs="Arial"/>
                <w:sz w:val="16"/>
                <w:szCs w:val="16"/>
              </w:rPr>
              <w:t>58.1 (22.2)</w:t>
            </w:r>
          </w:p>
        </w:tc>
        <w:tc>
          <w:tcPr>
            <w:tcW w:w="1340" w:type="dxa"/>
            <w:vAlign w:val="center"/>
          </w:tcPr>
          <w:p w:rsidR="00A7019B" w:rsidRDefault="00E217E9" w:rsidP="00900F2C">
            <w:pPr>
              <w:rPr>
                <w:rFonts w:ascii="Arial" w:hAnsi="Arial" w:cs="Arial"/>
                <w:sz w:val="16"/>
                <w:szCs w:val="16"/>
              </w:rPr>
            </w:pPr>
            <w:r>
              <w:rPr>
                <w:rFonts w:ascii="Arial" w:hAnsi="Arial" w:cs="Arial"/>
                <w:sz w:val="16"/>
                <w:szCs w:val="16"/>
              </w:rPr>
              <w:t>58.2 (30.3)</w:t>
            </w:r>
          </w:p>
        </w:tc>
        <w:tc>
          <w:tcPr>
            <w:tcW w:w="1340" w:type="dxa"/>
            <w:vAlign w:val="center"/>
          </w:tcPr>
          <w:p w:rsidR="00A7019B" w:rsidRPr="00E86F8F" w:rsidRDefault="003E1BF7" w:rsidP="00900F2C">
            <w:pPr>
              <w:rPr>
                <w:rFonts w:ascii="Arial" w:hAnsi="Arial" w:cs="Arial"/>
                <w:sz w:val="16"/>
                <w:szCs w:val="16"/>
              </w:rPr>
            </w:pPr>
            <w:r>
              <w:rPr>
                <w:rFonts w:ascii="Arial" w:hAnsi="Arial" w:cs="Arial"/>
                <w:sz w:val="16"/>
                <w:szCs w:val="16"/>
              </w:rPr>
              <w:t>39.5 (17.2)</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Serum PINP, ng/mL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51.9 (17.1)</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45.8 (16.3)</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 xml:space="preserve">44.5 (12.5) </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42.7</w:t>
            </w:r>
            <w:r w:rsidR="007E5314">
              <w:rPr>
                <w:rFonts w:ascii="Arial" w:hAnsi="Arial" w:cs="Arial"/>
                <w:sz w:val="16"/>
                <w:szCs w:val="16"/>
              </w:rPr>
              <w:t xml:space="preserve"> (15.0</w:t>
            </w:r>
            <w:r w:rsidR="00DB109D">
              <w:rPr>
                <w:rFonts w:ascii="Arial" w:hAnsi="Arial" w:cs="Arial"/>
                <w:sz w:val="16"/>
                <w:szCs w:val="16"/>
              </w:rPr>
              <w:t>)</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49.6 (20.2)</w:t>
            </w:r>
          </w:p>
        </w:tc>
        <w:tc>
          <w:tcPr>
            <w:tcW w:w="1340" w:type="dxa"/>
            <w:vAlign w:val="center"/>
          </w:tcPr>
          <w:p w:rsidR="00A7019B" w:rsidRPr="00E86F8F" w:rsidRDefault="003E1BF7" w:rsidP="00900F2C">
            <w:pPr>
              <w:rPr>
                <w:rFonts w:ascii="Arial" w:hAnsi="Arial" w:cs="Arial"/>
                <w:sz w:val="16"/>
                <w:szCs w:val="16"/>
              </w:rPr>
            </w:pPr>
            <w:r>
              <w:rPr>
                <w:rFonts w:ascii="Arial" w:hAnsi="Arial" w:cs="Arial"/>
                <w:sz w:val="16"/>
                <w:szCs w:val="16"/>
              </w:rPr>
              <w:t>30.0 (10.7)</w:t>
            </w:r>
          </w:p>
        </w:tc>
      </w:tr>
      <w:tr w:rsidR="00A7019B" w:rsidRPr="00E86F8F" w:rsidTr="00685609">
        <w:trPr>
          <w:trHeight w:val="299"/>
        </w:trPr>
        <w:tc>
          <w:tcPr>
            <w:tcW w:w="1476" w:type="dxa"/>
            <w:vAlign w:val="center"/>
          </w:tcPr>
          <w:p w:rsidR="00A7019B" w:rsidRPr="00F3359B" w:rsidRDefault="00A7019B" w:rsidP="00900F2C">
            <w:pPr>
              <w:rPr>
                <w:rFonts w:ascii="Arial" w:hAnsi="Arial" w:cs="Arial"/>
                <w:sz w:val="16"/>
                <w:szCs w:val="16"/>
                <w:lang w:val="de-DE"/>
              </w:rPr>
            </w:pPr>
            <w:r w:rsidRPr="00F3359B">
              <w:rPr>
                <w:rFonts w:ascii="Arial" w:hAnsi="Arial" w:cs="Arial"/>
                <w:sz w:val="16"/>
                <w:szCs w:val="16"/>
                <w:lang w:val="de-DE"/>
              </w:rPr>
              <w:t>Serum bone ALP, ng/mL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20.4 (8.7)</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19.1 (8.0)</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20.0 (8.1)</w:t>
            </w:r>
          </w:p>
        </w:tc>
        <w:tc>
          <w:tcPr>
            <w:tcW w:w="1340" w:type="dxa"/>
            <w:vAlign w:val="center"/>
          </w:tcPr>
          <w:p w:rsidR="00A7019B" w:rsidRDefault="007E5314" w:rsidP="00900F2C">
            <w:pPr>
              <w:rPr>
                <w:rFonts w:ascii="Arial" w:hAnsi="Arial" w:cs="Arial"/>
                <w:sz w:val="16"/>
                <w:szCs w:val="16"/>
              </w:rPr>
            </w:pPr>
            <w:r>
              <w:rPr>
                <w:rFonts w:ascii="Arial" w:hAnsi="Arial" w:cs="Arial"/>
                <w:sz w:val="16"/>
                <w:szCs w:val="16"/>
              </w:rPr>
              <w:t>13.3 (3.8</w:t>
            </w:r>
            <w:r w:rsidR="00DB109D">
              <w:rPr>
                <w:rFonts w:ascii="Arial" w:hAnsi="Arial" w:cs="Arial"/>
                <w:sz w:val="16"/>
                <w:szCs w:val="16"/>
              </w:rPr>
              <w:t>)</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16.5 (4.5)</w:t>
            </w:r>
          </w:p>
        </w:tc>
        <w:tc>
          <w:tcPr>
            <w:tcW w:w="1340" w:type="dxa"/>
            <w:vAlign w:val="center"/>
          </w:tcPr>
          <w:p w:rsidR="00A7019B" w:rsidRPr="00E86F8F" w:rsidRDefault="003E1BF7" w:rsidP="00900F2C">
            <w:pPr>
              <w:rPr>
                <w:rFonts w:ascii="Arial" w:hAnsi="Arial" w:cs="Arial"/>
                <w:sz w:val="16"/>
                <w:szCs w:val="16"/>
              </w:rPr>
            </w:pPr>
            <w:r>
              <w:rPr>
                <w:rFonts w:ascii="Arial" w:hAnsi="Arial" w:cs="Arial"/>
                <w:sz w:val="16"/>
                <w:szCs w:val="16"/>
              </w:rPr>
              <w:t>8.8 (3.8)</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sidRPr="00E86F8F">
              <w:rPr>
                <w:rFonts w:ascii="Arial" w:hAnsi="Arial" w:cs="Arial"/>
                <w:sz w:val="16"/>
                <w:szCs w:val="16"/>
              </w:rPr>
              <w:t>Serum Osteocalcin ng/mL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26.3 (9.6)</w:t>
            </w:r>
          </w:p>
        </w:tc>
        <w:tc>
          <w:tcPr>
            <w:tcW w:w="1341" w:type="dxa"/>
            <w:vAlign w:val="center"/>
          </w:tcPr>
          <w:p w:rsidR="00A7019B" w:rsidRPr="00E86F8F" w:rsidRDefault="00A7019B" w:rsidP="00900F2C">
            <w:pPr>
              <w:rPr>
                <w:rFonts w:ascii="Arial" w:hAnsi="Arial" w:cs="Arial"/>
                <w:sz w:val="16"/>
                <w:szCs w:val="16"/>
              </w:rPr>
            </w:pPr>
            <w:r>
              <w:rPr>
                <w:rFonts w:ascii="Arial" w:hAnsi="Arial" w:cs="Arial"/>
                <w:sz w:val="16"/>
                <w:szCs w:val="16"/>
              </w:rPr>
              <w:t>25.1 (10.1)</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23.4 (9.0)</w:t>
            </w:r>
          </w:p>
        </w:tc>
        <w:tc>
          <w:tcPr>
            <w:tcW w:w="1340" w:type="dxa"/>
            <w:vAlign w:val="center"/>
          </w:tcPr>
          <w:p w:rsidR="00A7019B" w:rsidRDefault="007E5314" w:rsidP="00900F2C">
            <w:pPr>
              <w:rPr>
                <w:rFonts w:ascii="Arial" w:hAnsi="Arial" w:cs="Arial"/>
                <w:sz w:val="16"/>
                <w:szCs w:val="16"/>
              </w:rPr>
            </w:pPr>
            <w:r>
              <w:rPr>
                <w:rFonts w:ascii="Arial" w:hAnsi="Arial" w:cs="Arial"/>
                <w:sz w:val="16"/>
                <w:szCs w:val="16"/>
              </w:rPr>
              <w:t>17.1</w:t>
            </w:r>
            <w:r w:rsidR="00DB109D">
              <w:rPr>
                <w:rFonts w:ascii="Arial" w:hAnsi="Arial" w:cs="Arial"/>
                <w:sz w:val="16"/>
                <w:szCs w:val="16"/>
              </w:rPr>
              <w:t xml:space="preserve"> (</w:t>
            </w:r>
            <w:r>
              <w:rPr>
                <w:rFonts w:ascii="Arial" w:hAnsi="Arial" w:cs="Arial"/>
                <w:sz w:val="16"/>
                <w:szCs w:val="16"/>
              </w:rPr>
              <w:t>4.6)</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17.3 (6.6)</w:t>
            </w:r>
          </w:p>
        </w:tc>
        <w:tc>
          <w:tcPr>
            <w:tcW w:w="1340" w:type="dxa"/>
            <w:vAlign w:val="center"/>
          </w:tcPr>
          <w:p w:rsidR="00A7019B" w:rsidRPr="00E86F8F" w:rsidRDefault="003E1BF7" w:rsidP="00900F2C">
            <w:pPr>
              <w:rPr>
                <w:rFonts w:ascii="Arial" w:hAnsi="Arial" w:cs="Arial"/>
                <w:sz w:val="16"/>
                <w:szCs w:val="16"/>
              </w:rPr>
            </w:pPr>
            <w:r>
              <w:rPr>
                <w:rFonts w:ascii="Arial" w:hAnsi="Arial" w:cs="Arial"/>
                <w:sz w:val="16"/>
                <w:szCs w:val="16"/>
              </w:rPr>
              <w:t>19.4 (6.3)</w:t>
            </w:r>
          </w:p>
        </w:tc>
      </w:tr>
      <w:tr w:rsidR="00A7019B" w:rsidRPr="00E86F8F" w:rsidDel="00D35DCF" w:rsidTr="00685609">
        <w:trPr>
          <w:trHeight w:val="299"/>
        </w:trPr>
        <w:tc>
          <w:tcPr>
            <w:tcW w:w="1476" w:type="dxa"/>
            <w:vAlign w:val="center"/>
          </w:tcPr>
          <w:p w:rsidR="00A7019B" w:rsidRPr="00E86F8F" w:rsidRDefault="0002551F" w:rsidP="00900F2C">
            <w:pPr>
              <w:rPr>
                <w:rFonts w:ascii="Arial" w:hAnsi="Arial" w:cs="Arial"/>
                <w:sz w:val="16"/>
                <w:szCs w:val="16"/>
              </w:rPr>
            </w:pPr>
            <w:r>
              <w:rPr>
                <w:rFonts w:ascii="Arial" w:hAnsi="Arial" w:cs="Arial"/>
                <w:sz w:val="16"/>
                <w:szCs w:val="16"/>
              </w:rPr>
              <w:t>25 (OH) D ng/mL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24.0 (10.3)</w:t>
            </w:r>
          </w:p>
        </w:tc>
        <w:tc>
          <w:tcPr>
            <w:tcW w:w="1341" w:type="dxa"/>
            <w:vAlign w:val="center"/>
          </w:tcPr>
          <w:p w:rsidR="00A7019B" w:rsidRPr="00E86F8F" w:rsidDel="00D35DCF" w:rsidRDefault="00A7019B" w:rsidP="00900F2C">
            <w:pPr>
              <w:rPr>
                <w:rFonts w:ascii="Arial" w:hAnsi="Arial" w:cs="Arial"/>
                <w:sz w:val="16"/>
                <w:szCs w:val="16"/>
              </w:rPr>
            </w:pPr>
            <w:r>
              <w:rPr>
                <w:rFonts w:ascii="Arial" w:hAnsi="Arial" w:cs="Arial"/>
                <w:sz w:val="16"/>
                <w:szCs w:val="16"/>
              </w:rPr>
              <w:t>22.9 (10.1)</w:t>
            </w:r>
          </w:p>
        </w:tc>
        <w:tc>
          <w:tcPr>
            <w:tcW w:w="1340" w:type="dxa"/>
            <w:vAlign w:val="center"/>
          </w:tcPr>
          <w:p w:rsidR="00A7019B" w:rsidRPr="00E86F8F" w:rsidDel="00D35DCF" w:rsidRDefault="00A7019B" w:rsidP="00900F2C">
            <w:pPr>
              <w:rPr>
                <w:rFonts w:ascii="Arial" w:hAnsi="Arial" w:cs="Arial"/>
                <w:sz w:val="16"/>
                <w:szCs w:val="16"/>
              </w:rPr>
            </w:pPr>
            <w:r>
              <w:rPr>
                <w:rFonts w:ascii="Arial" w:hAnsi="Arial" w:cs="Arial"/>
                <w:sz w:val="16"/>
                <w:szCs w:val="16"/>
              </w:rPr>
              <w:t>25.1 (9.9)</w:t>
            </w:r>
          </w:p>
        </w:tc>
        <w:tc>
          <w:tcPr>
            <w:tcW w:w="1340" w:type="dxa"/>
            <w:vAlign w:val="center"/>
          </w:tcPr>
          <w:p w:rsidR="00A7019B" w:rsidRDefault="00D25DF4" w:rsidP="00900F2C">
            <w:pPr>
              <w:rPr>
                <w:rFonts w:ascii="Arial" w:hAnsi="Arial" w:cs="Arial"/>
                <w:sz w:val="16"/>
                <w:szCs w:val="16"/>
              </w:rPr>
            </w:pPr>
            <w:r>
              <w:rPr>
                <w:rFonts w:ascii="Arial" w:hAnsi="Arial" w:cs="Arial"/>
                <w:sz w:val="16"/>
                <w:szCs w:val="16"/>
              </w:rPr>
              <w:t>20.1 (11.1)</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22.3 (11.5)</w:t>
            </w:r>
          </w:p>
        </w:tc>
        <w:tc>
          <w:tcPr>
            <w:tcW w:w="1340" w:type="dxa"/>
            <w:vAlign w:val="center"/>
          </w:tcPr>
          <w:p w:rsidR="00A7019B" w:rsidRPr="00E86F8F" w:rsidDel="00D35DCF" w:rsidRDefault="003E1BF7" w:rsidP="00900F2C">
            <w:pPr>
              <w:rPr>
                <w:rFonts w:ascii="Arial" w:hAnsi="Arial" w:cs="Arial"/>
                <w:sz w:val="16"/>
                <w:szCs w:val="16"/>
              </w:rPr>
            </w:pPr>
            <w:r>
              <w:rPr>
                <w:rFonts w:ascii="Arial" w:hAnsi="Arial" w:cs="Arial"/>
                <w:sz w:val="16"/>
                <w:szCs w:val="16"/>
              </w:rPr>
              <w:t>19.4 (8.6)</w:t>
            </w:r>
          </w:p>
        </w:tc>
      </w:tr>
      <w:tr w:rsidR="00A7019B" w:rsidRPr="00E86F8F" w:rsidTr="00685609">
        <w:trPr>
          <w:trHeight w:val="299"/>
        </w:trPr>
        <w:tc>
          <w:tcPr>
            <w:tcW w:w="1476" w:type="dxa"/>
            <w:vAlign w:val="center"/>
          </w:tcPr>
          <w:p w:rsidR="00A7019B" w:rsidRPr="00E86F8F" w:rsidRDefault="00A7019B" w:rsidP="00900F2C">
            <w:pPr>
              <w:rPr>
                <w:rFonts w:ascii="Arial" w:hAnsi="Arial" w:cs="Arial"/>
                <w:sz w:val="16"/>
                <w:szCs w:val="16"/>
              </w:rPr>
            </w:pPr>
            <w:r>
              <w:rPr>
                <w:rFonts w:ascii="Arial" w:hAnsi="Arial" w:cs="Arial"/>
                <w:sz w:val="16"/>
                <w:szCs w:val="16"/>
              </w:rPr>
              <w:t>PTH pg/ml</w:t>
            </w:r>
          </w:p>
        </w:tc>
        <w:tc>
          <w:tcPr>
            <w:tcW w:w="1346" w:type="dxa"/>
            <w:vAlign w:val="center"/>
          </w:tcPr>
          <w:p w:rsidR="00A7019B" w:rsidRPr="00E86F8F" w:rsidRDefault="00A7019B" w:rsidP="00900F2C">
            <w:pPr>
              <w:rPr>
                <w:rFonts w:ascii="Arial" w:hAnsi="Arial" w:cs="Arial"/>
                <w:sz w:val="16"/>
                <w:szCs w:val="16"/>
              </w:rPr>
            </w:pPr>
            <w:r>
              <w:rPr>
                <w:rFonts w:ascii="Arial" w:hAnsi="Arial" w:cs="Arial"/>
                <w:sz w:val="16"/>
                <w:szCs w:val="16"/>
              </w:rPr>
              <w:t>37.2 (20.0)</w:t>
            </w:r>
          </w:p>
        </w:tc>
        <w:tc>
          <w:tcPr>
            <w:tcW w:w="1341" w:type="dxa"/>
            <w:vAlign w:val="center"/>
          </w:tcPr>
          <w:p w:rsidR="00A7019B" w:rsidRPr="00E86F8F" w:rsidRDefault="00601653" w:rsidP="00900F2C">
            <w:pPr>
              <w:rPr>
                <w:rFonts w:ascii="Arial" w:hAnsi="Arial" w:cs="Arial"/>
                <w:sz w:val="16"/>
                <w:szCs w:val="16"/>
              </w:rPr>
            </w:pPr>
            <w:r>
              <w:rPr>
                <w:rFonts w:ascii="Arial" w:hAnsi="Arial" w:cs="Arial"/>
                <w:sz w:val="16"/>
                <w:szCs w:val="16"/>
              </w:rPr>
              <w:t>36.3 (</w:t>
            </w:r>
            <w:r w:rsidR="00A7019B">
              <w:rPr>
                <w:rFonts w:ascii="Arial" w:hAnsi="Arial" w:cs="Arial"/>
                <w:sz w:val="16"/>
                <w:szCs w:val="16"/>
              </w:rPr>
              <w:t>9.7)</w:t>
            </w:r>
          </w:p>
        </w:tc>
        <w:tc>
          <w:tcPr>
            <w:tcW w:w="1340" w:type="dxa"/>
            <w:vAlign w:val="center"/>
          </w:tcPr>
          <w:p w:rsidR="00A7019B" w:rsidRPr="00E86F8F" w:rsidRDefault="00A7019B" w:rsidP="00900F2C">
            <w:pPr>
              <w:rPr>
                <w:rFonts w:ascii="Arial" w:hAnsi="Arial" w:cs="Arial"/>
                <w:sz w:val="16"/>
                <w:szCs w:val="16"/>
              </w:rPr>
            </w:pPr>
            <w:r>
              <w:rPr>
                <w:rFonts w:ascii="Arial" w:hAnsi="Arial" w:cs="Arial"/>
                <w:sz w:val="16"/>
                <w:szCs w:val="16"/>
              </w:rPr>
              <w:t>36.3 (19.3)</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35.4</w:t>
            </w:r>
            <w:r w:rsidR="00D25DF4">
              <w:rPr>
                <w:rFonts w:ascii="Arial" w:hAnsi="Arial" w:cs="Arial"/>
                <w:sz w:val="16"/>
                <w:szCs w:val="16"/>
              </w:rPr>
              <w:t xml:space="preserve"> (20.2)</w:t>
            </w:r>
          </w:p>
        </w:tc>
        <w:tc>
          <w:tcPr>
            <w:tcW w:w="1340" w:type="dxa"/>
            <w:vAlign w:val="center"/>
          </w:tcPr>
          <w:p w:rsidR="00A7019B" w:rsidRDefault="00601653" w:rsidP="00900F2C">
            <w:pPr>
              <w:rPr>
                <w:rFonts w:ascii="Arial" w:hAnsi="Arial" w:cs="Arial"/>
                <w:sz w:val="16"/>
                <w:szCs w:val="16"/>
              </w:rPr>
            </w:pPr>
            <w:r>
              <w:rPr>
                <w:rFonts w:ascii="Arial" w:hAnsi="Arial" w:cs="Arial"/>
                <w:sz w:val="16"/>
                <w:szCs w:val="16"/>
              </w:rPr>
              <w:t>30.5 (20.4)</w:t>
            </w:r>
          </w:p>
        </w:tc>
        <w:tc>
          <w:tcPr>
            <w:tcW w:w="1340" w:type="dxa"/>
            <w:vAlign w:val="center"/>
          </w:tcPr>
          <w:p w:rsidR="00A7019B" w:rsidRPr="00E86F8F" w:rsidRDefault="003E1BF7" w:rsidP="00900F2C">
            <w:pPr>
              <w:rPr>
                <w:rFonts w:ascii="Arial" w:hAnsi="Arial" w:cs="Arial"/>
                <w:sz w:val="16"/>
                <w:szCs w:val="16"/>
              </w:rPr>
            </w:pPr>
            <w:r>
              <w:rPr>
                <w:rFonts w:ascii="Arial" w:hAnsi="Arial" w:cs="Arial"/>
                <w:sz w:val="16"/>
                <w:szCs w:val="16"/>
              </w:rPr>
              <w:t>33.3 (13.6)</w:t>
            </w:r>
          </w:p>
        </w:tc>
      </w:tr>
    </w:tbl>
    <w:p w:rsidR="00DB109D" w:rsidRDefault="00DB109D" w:rsidP="00900F2C">
      <w:pPr>
        <w:pStyle w:val="Heading3"/>
      </w:pPr>
    </w:p>
    <w:p w:rsidR="00CA5ADA" w:rsidRDefault="0001531E" w:rsidP="00844C20">
      <w:pPr>
        <w:pStyle w:val="Heading3"/>
        <w:jc w:val="both"/>
      </w:pPr>
      <w:bookmarkStart w:id="161" w:name="_Toc425418942"/>
      <w:r>
        <w:t>The response of bone turnover markers to antiresorptive treatments</w:t>
      </w:r>
      <w:bookmarkEnd w:id="161"/>
    </w:p>
    <w:p w:rsidR="001F55D7" w:rsidRPr="00DD3C8A" w:rsidRDefault="001F55D7" w:rsidP="00844C20">
      <w:pPr>
        <w:spacing w:line="360" w:lineRule="auto"/>
        <w:jc w:val="both"/>
        <w:rPr>
          <w:rFonts w:ascii="Arial" w:hAnsi="Arial" w:cs="Arial"/>
        </w:rPr>
      </w:pPr>
      <w:r w:rsidRPr="00DD3C8A">
        <w:rPr>
          <w:rFonts w:ascii="Arial" w:hAnsi="Arial" w:cs="Arial"/>
        </w:rPr>
        <w:t xml:space="preserve">There were significant decreases from baseline in the mean levels of CTX and NTX/Cr at all of the subsequent time points in the postmenopausal receiving bisphosphonates and raloxifene, p&lt;0.001. There were significant decreases from baseline in the mean levels of PINP, </w:t>
      </w:r>
      <w:r w:rsidR="007363E4" w:rsidRPr="00DD3C8A">
        <w:rPr>
          <w:rFonts w:ascii="Arial" w:hAnsi="Arial" w:cs="Arial"/>
        </w:rPr>
        <w:t>bone ALP and osteocalcin at week</w:t>
      </w:r>
      <w:r w:rsidR="002E7C95" w:rsidRPr="00DD3C8A">
        <w:rPr>
          <w:rFonts w:ascii="Arial" w:hAnsi="Arial" w:cs="Arial"/>
        </w:rPr>
        <w:t>s</w:t>
      </w:r>
      <w:r w:rsidR="007363E4" w:rsidRPr="00DD3C8A">
        <w:rPr>
          <w:rFonts w:ascii="Arial" w:hAnsi="Arial" w:cs="Arial"/>
        </w:rPr>
        <w:t xml:space="preserve"> 12</w:t>
      </w:r>
      <w:r w:rsidR="002E7C95" w:rsidRPr="00DD3C8A">
        <w:rPr>
          <w:rFonts w:ascii="Arial" w:hAnsi="Arial" w:cs="Arial"/>
        </w:rPr>
        <w:t>, 13, 48 and 96</w:t>
      </w:r>
      <w:r w:rsidR="007363E4" w:rsidRPr="00DD3C8A">
        <w:rPr>
          <w:rFonts w:ascii="Arial" w:hAnsi="Arial" w:cs="Arial"/>
        </w:rPr>
        <w:t xml:space="preserve"> </w:t>
      </w:r>
      <w:r w:rsidRPr="00DD3C8A">
        <w:rPr>
          <w:rFonts w:ascii="Arial" w:hAnsi="Arial" w:cs="Arial"/>
        </w:rPr>
        <w:t xml:space="preserve">in the postmenopausal </w:t>
      </w:r>
      <w:r w:rsidR="002E7C95" w:rsidRPr="00DD3C8A">
        <w:rPr>
          <w:rFonts w:ascii="Arial" w:hAnsi="Arial" w:cs="Arial"/>
        </w:rPr>
        <w:t xml:space="preserve">women </w:t>
      </w:r>
      <w:r w:rsidRPr="00DD3C8A">
        <w:rPr>
          <w:rFonts w:ascii="Arial" w:hAnsi="Arial" w:cs="Arial"/>
        </w:rPr>
        <w:t>receivin</w:t>
      </w:r>
      <w:r w:rsidR="007363E4" w:rsidRPr="00DD3C8A">
        <w:rPr>
          <w:rFonts w:ascii="Arial" w:hAnsi="Arial" w:cs="Arial"/>
        </w:rPr>
        <w:t>g bisphosphonates</w:t>
      </w:r>
      <w:r w:rsidRPr="00DD3C8A">
        <w:rPr>
          <w:rFonts w:ascii="Arial" w:hAnsi="Arial" w:cs="Arial"/>
        </w:rPr>
        <w:t xml:space="preserve">, p&lt;0.001. </w:t>
      </w:r>
      <w:r w:rsidR="003800B6" w:rsidRPr="00DD3C8A">
        <w:rPr>
          <w:rFonts w:ascii="Arial" w:hAnsi="Arial" w:cs="Arial"/>
        </w:rPr>
        <w:t>There were significant decreases from baseline in the mean levels of PINP and osteocalcin at week 4 and all subsequent time points in the postmenopausal women receiving raloxi</w:t>
      </w:r>
      <w:r w:rsidR="00691115">
        <w:rPr>
          <w:rFonts w:ascii="Arial" w:hAnsi="Arial" w:cs="Arial"/>
        </w:rPr>
        <w:t>fene, p&lt;0.001 but not bone ALP.</w:t>
      </w:r>
      <w:r w:rsidR="00F14DC1" w:rsidRPr="00DD3C8A">
        <w:rPr>
          <w:rFonts w:ascii="Arial" w:hAnsi="Arial" w:cs="Arial"/>
        </w:rPr>
        <w:t xml:space="preserve"> </w:t>
      </w:r>
    </w:p>
    <w:p w:rsidR="00F14DC1" w:rsidRPr="00DD3C8A" w:rsidRDefault="00F14DC1" w:rsidP="00844C20">
      <w:pPr>
        <w:spacing w:line="360" w:lineRule="auto"/>
        <w:jc w:val="both"/>
        <w:rPr>
          <w:rFonts w:ascii="Arial" w:hAnsi="Arial" w:cs="Arial"/>
        </w:rPr>
      </w:pPr>
      <w:r w:rsidRPr="00DD3C8A">
        <w:rPr>
          <w:rFonts w:ascii="Arial" w:hAnsi="Arial" w:cs="Arial"/>
        </w:rPr>
        <w:lastRenderedPageBreak/>
        <w:t xml:space="preserve">Changes in CTX and NTX/Cr over the 96 treatment period with ibandronate, alendronate and risedronate are shown </w:t>
      </w:r>
      <w:r w:rsidR="00B704C3" w:rsidRPr="00DD3C8A">
        <w:rPr>
          <w:rFonts w:ascii="Arial" w:hAnsi="Arial" w:cs="Arial"/>
        </w:rPr>
        <w:t xml:space="preserve">as box and whisker plots </w:t>
      </w:r>
      <w:r w:rsidR="00A777D7">
        <w:rPr>
          <w:rFonts w:ascii="Arial" w:hAnsi="Arial" w:cs="Arial"/>
        </w:rPr>
        <w:t>in figures 43 and 44</w:t>
      </w:r>
      <w:r w:rsidRPr="00DD3C8A">
        <w:rPr>
          <w:rFonts w:ascii="Arial" w:hAnsi="Arial" w:cs="Arial"/>
        </w:rPr>
        <w:t xml:space="preserve">. </w:t>
      </w:r>
      <w:r w:rsidR="00D072E4" w:rsidRPr="00DD3C8A">
        <w:rPr>
          <w:rFonts w:ascii="Arial" w:hAnsi="Arial" w:cs="Arial"/>
        </w:rPr>
        <w:t xml:space="preserve">In the women receiving ibandronate, there was an initial decrease after 1 week of a large magnitude </w:t>
      </w:r>
      <w:r w:rsidR="00DD3D2F" w:rsidRPr="00DD3C8A">
        <w:rPr>
          <w:rFonts w:ascii="Arial" w:hAnsi="Arial" w:cs="Arial"/>
        </w:rPr>
        <w:t xml:space="preserve">and was similar </w:t>
      </w:r>
      <w:r w:rsidR="00D072E4" w:rsidRPr="00DD3C8A">
        <w:rPr>
          <w:rFonts w:ascii="Arial" w:hAnsi="Arial" w:cs="Arial"/>
        </w:rPr>
        <w:t>in</w:t>
      </w:r>
      <w:r w:rsidR="004E2696" w:rsidRPr="00DD3C8A">
        <w:rPr>
          <w:rFonts w:ascii="Arial" w:hAnsi="Arial" w:cs="Arial"/>
        </w:rPr>
        <w:t xml:space="preserve"> CTX and NTX/Cr </w:t>
      </w:r>
      <w:r w:rsidR="00D072E4" w:rsidRPr="00DD3C8A">
        <w:rPr>
          <w:rFonts w:ascii="Arial" w:hAnsi="Arial" w:cs="Arial"/>
        </w:rPr>
        <w:t>levels by 80% and 73% respectively.</w:t>
      </w:r>
      <w:r w:rsidR="000B468D" w:rsidRPr="00DD3C8A">
        <w:rPr>
          <w:rFonts w:ascii="Arial" w:hAnsi="Arial" w:cs="Arial"/>
        </w:rPr>
        <w:t xml:space="preserve"> After 1 week the</w:t>
      </w:r>
      <w:r w:rsidR="00D072E4" w:rsidRPr="00DD3C8A">
        <w:rPr>
          <w:rFonts w:ascii="Arial" w:hAnsi="Arial" w:cs="Arial"/>
        </w:rPr>
        <w:t xml:space="preserve"> decrease was of a lesser magnitude with </w:t>
      </w:r>
      <w:r w:rsidR="000B468D" w:rsidRPr="00DD3C8A">
        <w:rPr>
          <w:rFonts w:ascii="Arial" w:hAnsi="Arial" w:cs="Arial"/>
        </w:rPr>
        <w:t>alendronate and risedronate treatments in both of these BTMs. After 96 weeks of treatment the decrease in the levels of CTX and NTX/Cr was of greater</w:t>
      </w:r>
      <w:r w:rsidR="00B704C3" w:rsidRPr="00DD3C8A">
        <w:rPr>
          <w:rFonts w:ascii="Arial" w:hAnsi="Arial" w:cs="Arial"/>
        </w:rPr>
        <w:t xml:space="preserve"> magnitude in women receiving</w:t>
      </w:r>
      <w:r w:rsidR="000B468D" w:rsidRPr="00DD3C8A">
        <w:rPr>
          <w:rFonts w:ascii="Arial" w:hAnsi="Arial" w:cs="Arial"/>
        </w:rPr>
        <w:t xml:space="preserve"> alendronate and ibandronate </w:t>
      </w:r>
      <w:r w:rsidR="00B704C3" w:rsidRPr="00DD3C8A">
        <w:rPr>
          <w:rFonts w:ascii="Arial" w:hAnsi="Arial" w:cs="Arial"/>
        </w:rPr>
        <w:t xml:space="preserve">(between 69 to 86%) </w:t>
      </w:r>
      <w:r w:rsidR="000B468D" w:rsidRPr="00DD3C8A">
        <w:rPr>
          <w:rFonts w:ascii="Arial" w:hAnsi="Arial" w:cs="Arial"/>
        </w:rPr>
        <w:t>than</w:t>
      </w:r>
      <w:r w:rsidR="00B704C3" w:rsidRPr="00DD3C8A">
        <w:rPr>
          <w:rFonts w:ascii="Arial" w:hAnsi="Arial" w:cs="Arial"/>
        </w:rPr>
        <w:t xml:space="preserve"> those receiving rised</w:t>
      </w:r>
      <w:r w:rsidR="00E133C3">
        <w:rPr>
          <w:rFonts w:ascii="Arial" w:hAnsi="Arial" w:cs="Arial"/>
        </w:rPr>
        <w:t>ronate (by 45 to 68%), (Table 23</w:t>
      </w:r>
      <w:r w:rsidR="00B704C3" w:rsidRPr="00DD3C8A">
        <w:rPr>
          <w:rFonts w:ascii="Arial" w:hAnsi="Arial" w:cs="Arial"/>
        </w:rPr>
        <w:t>).</w:t>
      </w:r>
      <w:r w:rsidR="00D072E4" w:rsidRPr="00DD3C8A">
        <w:rPr>
          <w:rFonts w:ascii="Arial" w:hAnsi="Arial" w:cs="Arial"/>
        </w:rPr>
        <w:t xml:space="preserve">  </w:t>
      </w:r>
    </w:p>
    <w:p w:rsidR="00B704C3" w:rsidRDefault="00B704C3" w:rsidP="00844C20">
      <w:pPr>
        <w:spacing w:line="360" w:lineRule="auto"/>
        <w:jc w:val="both"/>
        <w:rPr>
          <w:rFonts w:ascii="Arial" w:hAnsi="Arial" w:cs="Arial"/>
        </w:rPr>
      </w:pPr>
      <w:r w:rsidRPr="00DD3C8A">
        <w:rPr>
          <w:rFonts w:ascii="Arial" w:hAnsi="Arial" w:cs="Arial"/>
        </w:rPr>
        <w:t xml:space="preserve">There was a greater earlier decrease </w:t>
      </w:r>
      <w:r w:rsidR="0078331D">
        <w:rPr>
          <w:rFonts w:ascii="Arial" w:hAnsi="Arial" w:cs="Arial"/>
        </w:rPr>
        <w:t xml:space="preserve">from baseline </w:t>
      </w:r>
      <w:r w:rsidRPr="00DD3C8A">
        <w:rPr>
          <w:rFonts w:ascii="Arial" w:hAnsi="Arial" w:cs="Arial"/>
        </w:rPr>
        <w:t>in these bon</w:t>
      </w:r>
      <w:r w:rsidR="001E546A">
        <w:rPr>
          <w:rFonts w:ascii="Arial" w:hAnsi="Arial" w:cs="Arial"/>
        </w:rPr>
        <w:t>e resorption markers compared to the bone formation markers. There was a significant decrease in PINP, bone ALP and osteocalcin later at week</w:t>
      </w:r>
      <w:r w:rsidR="003F1FE5">
        <w:rPr>
          <w:rFonts w:ascii="Arial" w:hAnsi="Arial" w:cs="Arial"/>
        </w:rPr>
        <w:t>s</w:t>
      </w:r>
      <w:r w:rsidR="001E546A">
        <w:rPr>
          <w:rFonts w:ascii="Arial" w:hAnsi="Arial" w:cs="Arial"/>
        </w:rPr>
        <w:t xml:space="preserve"> 12</w:t>
      </w:r>
      <w:r w:rsidR="003F1FE5">
        <w:rPr>
          <w:rFonts w:ascii="Arial" w:hAnsi="Arial" w:cs="Arial"/>
        </w:rPr>
        <w:t xml:space="preserve"> and 13</w:t>
      </w:r>
      <w:r w:rsidR="001E546A">
        <w:rPr>
          <w:rFonts w:ascii="Arial" w:hAnsi="Arial" w:cs="Arial"/>
        </w:rPr>
        <w:t>,</w:t>
      </w:r>
      <w:r w:rsidRPr="00DD3C8A">
        <w:rPr>
          <w:rFonts w:ascii="Arial" w:hAnsi="Arial" w:cs="Arial"/>
        </w:rPr>
        <w:t xml:space="preserve"> </w:t>
      </w:r>
      <w:r w:rsidR="001E546A">
        <w:rPr>
          <w:rFonts w:ascii="Arial" w:hAnsi="Arial" w:cs="Arial"/>
        </w:rPr>
        <w:t xml:space="preserve">in women receiving ibandronate, alendronate and risedronate, p&lt;0.001, </w:t>
      </w:r>
      <w:r w:rsidR="00A777D7">
        <w:rPr>
          <w:rFonts w:ascii="Arial" w:hAnsi="Arial" w:cs="Arial"/>
        </w:rPr>
        <w:t>(Figures 45, 46 and 47</w:t>
      </w:r>
      <w:r w:rsidRPr="00DD3C8A">
        <w:rPr>
          <w:rFonts w:ascii="Arial" w:hAnsi="Arial" w:cs="Arial"/>
        </w:rPr>
        <w:t>).</w:t>
      </w:r>
      <w:r w:rsidR="003F1FE5">
        <w:rPr>
          <w:rFonts w:ascii="Arial" w:hAnsi="Arial" w:cs="Arial"/>
        </w:rPr>
        <w:t xml:space="preserve"> The largest decrease was in PINP levels and this was comparable between the women receiving ibandronate and alendronate, by 65% and 60%, respectively and a lesser decrease with risedronate, by 52%.</w:t>
      </w:r>
      <w:r w:rsidR="008E2C8A">
        <w:rPr>
          <w:rFonts w:ascii="Arial" w:hAnsi="Arial" w:cs="Arial"/>
        </w:rPr>
        <w:t xml:space="preserve"> The decrease in bone ALP and osteocalcin at weeks 12 and 13 were comparable between the three bisphosphonates. A similar magnitude of change was observed after 96 weeks of bisphosphonate treatment. The decrease in PINP levels was of greatest magnitude in the women receiving ibandronate and alendronate (by 74% and 71%) and of a lesser magnitude with risedronate.</w:t>
      </w:r>
      <w:r w:rsidR="0078331D">
        <w:rPr>
          <w:rFonts w:ascii="Arial" w:hAnsi="Arial" w:cs="Arial"/>
        </w:rPr>
        <w:t xml:space="preserve"> The decrease in bone ALP and osteocalcin was </w:t>
      </w:r>
      <w:r w:rsidR="007B40D7">
        <w:rPr>
          <w:rFonts w:ascii="Arial" w:hAnsi="Arial" w:cs="Arial"/>
        </w:rPr>
        <w:t>of a lesser magnitude, (Table 23</w:t>
      </w:r>
      <w:r w:rsidR="0078331D">
        <w:rPr>
          <w:rFonts w:ascii="Arial" w:hAnsi="Arial" w:cs="Arial"/>
        </w:rPr>
        <w:t xml:space="preserve">). </w:t>
      </w:r>
    </w:p>
    <w:p w:rsidR="0078331D" w:rsidRPr="00DD3C8A" w:rsidRDefault="0078331D" w:rsidP="00844C20">
      <w:pPr>
        <w:spacing w:line="360" w:lineRule="auto"/>
        <w:jc w:val="both"/>
        <w:rPr>
          <w:rFonts w:ascii="Arial" w:hAnsi="Arial" w:cs="Arial"/>
        </w:rPr>
      </w:pPr>
      <w:r>
        <w:rPr>
          <w:rFonts w:ascii="Arial" w:hAnsi="Arial" w:cs="Arial"/>
        </w:rPr>
        <w:t xml:space="preserve">In the postmenopausal women receiving raloxifene treatment the magnitude of change </w:t>
      </w:r>
      <w:r w:rsidR="00341988">
        <w:rPr>
          <w:rFonts w:ascii="Arial" w:hAnsi="Arial" w:cs="Arial"/>
        </w:rPr>
        <w:t>observe</w:t>
      </w:r>
      <w:r w:rsidR="00A777D7">
        <w:rPr>
          <w:rFonts w:ascii="Arial" w:hAnsi="Arial" w:cs="Arial"/>
        </w:rPr>
        <w:t>d in all of the BTMs, (Figure 48</w:t>
      </w:r>
      <w:r w:rsidR="00341988">
        <w:rPr>
          <w:rFonts w:ascii="Arial" w:hAnsi="Arial" w:cs="Arial"/>
        </w:rPr>
        <w:t xml:space="preserve">) </w:t>
      </w:r>
      <w:r>
        <w:rPr>
          <w:rFonts w:ascii="Arial" w:hAnsi="Arial" w:cs="Arial"/>
        </w:rPr>
        <w:t>was</w:t>
      </w:r>
      <w:r w:rsidR="00341988">
        <w:rPr>
          <w:rFonts w:ascii="Arial" w:hAnsi="Arial" w:cs="Arial"/>
        </w:rPr>
        <w:t xml:space="preserve"> less than all of the bisphosphonates. After 48 weeks of raloxifene treatment levels of CTX, PINP and osteocalcin significantly decreased by 48%, 34% </w:t>
      </w:r>
      <w:r w:rsidR="002264A0">
        <w:rPr>
          <w:rFonts w:ascii="Arial" w:hAnsi="Arial" w:cs="Arial"/>
        </w:rPr>
        <w:t>and 33%, respectively, (Table 23</w:t>
      </w:r>
      <w:r w:rsidR="00341988">
        <w:rPr>
          <w:rFonts w:ascii="Arial" w:hAnsi="Arial" w:cs="Arial"/>
        </w:rPr>
        <w:t xml:space="preserve">). </w:t>
      </w:r>
      <w:r>
        <w:rPr>
          <w:rFonts w:ascii="Arial" w:hAnsi="Arial" w:cs="Arial"/>
        </w:rPr>
        <w:t xml:space="preserve"> </w:t>
      </w:r>
    </w:p>
    <w:p w:rsidR="00010CB7" w:rsidRDefault="00010CB7" w:rsidP="00844C20">
      <w:pPr>
        <w:pStyle w:val="Heading3"/>
        <w:jc w:val="both"/>
      </w:pPr>
      <w:bookmarkStart w:id="162" w:name="_Toc425418943"/>
      <w:r>
        <w:t>Healthy premenopausal reference intervals</w:t>
      </w:r>
      <w:bookmarkEnd w:id="162"/>
    </w:p>
    <w:p w:rsidR="00010CB7" w:rsidRPr="00691115" w:rsidRDefault="00010CB7" w:rsidP="00844C20">
      <w:pPr>
        <w:spacing w:line="360" w:lineRule="auto"/>
        <w:jc w:val="both"/>
        <w:rPr>
          <w:rFonts w:ascii="Arial" w:hAnsi="Arial" w:cs="Arial"/>
        </w:rPr>
      </w:pPr>
      <w:r w:rsidRPr="00691115">
        <w:rPr>
          <w:rFonts w:ascii="Arial" w:hAnsi="Arial" w:cs="Arial"/>
        </w:rPr>
        <w:t>In table 8 chapter three, vitamin D deficiency was related to an increase in BTMs. This finding was used to identify and exclude prem</w:t>
      </w:r>
      <w:r w:rsidR="00A17A1C" w:rsidRPr="00691115">
        <w:rPr>
          <w:rFonts w:ascii="Arial" w:hAnsi="Arial" w:cs="Arial"/>
        </w:rPr>
        <w:t>enopausal women with a 25 (OH) D</w:t>
      </w:r>
      <w:r w:rsidRPr="00691115">
        <w:rPr>
          <w:rFonts w:ascii="Arial" w:hAnsi="Arial" w:cs="Arial"/>
        </w:rPr>
        <w:t xml:space="preserve"> of less than 25nmol/l in order to establish a healthy premenopausal BTM reference range. Out of the 200 premenopausal women 87 </w:t>
      </w:r>
      <w:r w:rsidR="00A17A1C" w:rsidRPr="00691115">
        <w:rPr>
          <w:rFonts w:ascii="Arial" w:hAnsi="Arial" w:cs="Arial"/>
        </w:rPr>
        <w:t>had a 25 (OH) D of</w:t>
      </w:r>
      <w:r w:rsidR="0002551F">
        <w:rPr>
          <w:rFonts w:ascii="Arial" w:hAnsi="Arial" w:cs="Arial"/>
        </w:rPr>
        <w:t xml:space="preserve"> greater than 25ng/ml </w:t>
      </w:r>
      <w:r w:rsidR="00A17A1C" w:rsidRPr="00691115">
        <w:rPr>
          <w:rFonts w:ascii="Arial" w:hAnsi="Arial" w:cs="Arial"/>
        </w:rPr>
        <w:t xml:space="preserve">and </w:t>
      </w:r>
      <w:r w:rsidRPr="00691115">
        <w:rPr>
          <w:rFonts w:ascii="Arial" w:hAnsi="Arial" w:cs="Arial"/>
        </w:rPr>
        <w:t xml:space="preserve">were </w:t>
      </w:r>
      <w:r w:rsidR="00A17A1C" w:rsidRPr="00691115">
        <w:rPr>
          <w:rFonts w:ascii="Arial" w:hAnsi="Arial" w:cs="Arial"/>
        </w:rPr>
        <w:t xml:space="preserve">therefore </w:t>
      </w:r>
      <w:r w:rsidRPr="00691115">
        <w:rPr>
          <w:rFonts w:ascii="Arial" w:hAnsi="Arial" w:cs="Arial"/>
        </w:rPr>
        <w:t>include</w:t>
      </w:r>
      <w:r w:rsidR="007B40D7">
        <w:rPr>
          <w:rFonts w:ascii="Arial" w:hAnsi="Arial" w:cs="Arial"/>
        </w:rPr>
        <w:t>d in this calculation, (Table 22</w:t>
      </w:r>
      <w:r w:rsidRPr="00691115">
        <w:rPr>
          <w:rFonts w:ascii="Arial" w:hAnsi="Arial" w:cs="Arial"/>
        </w:rPr>
        <w:t>). These reference intervals were used to identify the percentage of women who responded to the different antiresorptive treatments throughout the study periods.</w:t>
      </w:r>
    </w:p>
    <w:p w:rsidR="00010CB7" w:rsidRDefault="00010CB7" w:rsidP="00844C20">
      <w:pPr>
        <w:pStyle w:val="Caption"/>
        <w:keepNext/>
        <w:jc w:val="both"/>
      </w:pPr>
      <w:bookmarkStart w:id="163" w:name="_Toc424043696"/>
      <w:r w:rsidRPr="00D7293E">
        <w:rPr>
          <w:rFonts w:ascii="Arial" w:hAnsi="Arial" w:cs="Arial"/>
          <w:b w:val="0"/>
          <w:color w:val="auto"/>
        </w:rPr>
        <w:t xml:space="preserve">Table </w:t>
      </w:r>
      <w:r w:rsidRPr="00D7293E">
        <w:rPr>
          <w:rFonts w:ascii="Arial" w:hAnsi="Arial" w:cs="Arial"/>
          <w:b w:val="0"/>
          <w:color w:val="auto"/>
        </w:rPr>
        <w:fldChar w:fldCharType="begin"/>
      </w:r>
      <w:r w:rsidRPr="00D7293E">
        <w:rPr>
          <w:rFonts w:ascii="Arial" w:hAnsi="Arial" w:cs="Arial"/>
          <w:b w:val="0"/>
          <w:color w:val="auto"/>
        </w:rPr>
        <w:instrText xml:space="preserve"> SEQ Table \* ARABIC </w:instrText>
      </w:r>
      <w:r w:rsidRPr="00D7293E">
        <w:rPr>
          <w:rFonts w:ascii="Arial" w:hAnsi="Arial" w:cs="Arial"/>
          <w:b w:val="0"/>
          <w:color w:val="auto"/>
        </w:rPr>
        <w:fldChar w:fldCharType="separate"/>
      </w:r>
      <w:r w:rsidR="00DD116A">
        <w:rPr>
          <w:rFonts w:ascii="Arial" w:hAnsi="Arial" w:cs="Arial"/>
          <w:b w:val="0"/>
          <w:noProof/>
          <w:color w:val="auto"/>
        </w:rPr>
        <w:t>22</w:t>
      </w:r>
      <w:r w:rsidRPr="00D7293E">
        <w:rPr>
          <w:rFonts w:ascii="Arial" w:hAnsi="Arial" w:cs="Arial"/>
          <w:b w:val="0"/>
          <w:color w:val="auto"/>
        </w:rPr>
        <w:fldChar w:fldCharType="end"/>
      </w:r>
      <w:r w:rsidRPr="00D7293E">
        <w:rPr>
          <w:rFonts w:ascii="Arial" w:hAnsi="Arial" w:cs="Arial"/>
          <w:b w:val="0"/>
          <w:color w:val="auto"/>
        </w:rPr>
        <w:t>: Geometric mean</w:t>
      </w:r>
      <w:r w:rsidR="0000595F">
        <w:rPr>
          <w:rFonts w:ascii="Arial" w:hAnsi="Arial" w:cs="Arial"/>
          <w:b w:val="0"/>
          <w:color w:val="auto"/>
        </w:rPr>
        <w:t xml:space="preserve"> </w:t>
      </w:r>
      <w:r>
        <w:rPr>
          <w:rFonts w:ascii="Arial" w:hAnsi="Arial" w:cs="Arial"/>
          <w:b w:val="0"/>
          <w:color w:val="auto"/>
        </w:rPr>
        <w:t xml:space="preserve">95% </w:t>
      </w:r>
      <w:r w:rsidR="0000595F">
        <w:rPr>
          <w:rFonts w:ascii="Arial" w:hAnsi="Arial" w:cs="Arial"/>
          <w:b w:val="0"/>
          <w:color w:val="auto"/>
        </w:rPr>
        <w:t>reference</w:t>
      </w:r>
      <w:r>
        <w:rPr>
          <w:rFonts w:ascii="Arial" w:hAnsi="Arial" w:cs="Arial"/>
          <w:b w:val="0"/>
          <w:color w:val="auto"/>
        </w:rPr>
        <w:t xml:space="preserve"> intervals </w:t>
      </w:r>
      <w:r w:rsidRPr="00D7293E">
        <w:rPr>
          <w:rFonts w:ascii="Arial" w:hAnsi="Arial" w:cs="Arial"/>
          <w:b w:val="0"/>
          <w:color w:val="auto"/>
        </w:rPr>
        <w:t xml:space="preserve">for </w:t>
      </w:r>
      <w:r w:rsidRPr="00453BE3">
        <w:rPr>
          <w:rFonts w:ascii="Arial" w:hAnsi="Arial" w:cs="Arial"/>
          <w:b w:val="0"/>
          <w:color w:val="auto"/>
        </w:rPr>
        <w:t>BTMs for healthy premenopa</w:t>
      </w:r>
      <w:r>
        <w:rPr>
          <w:rFonts w:ascii="Arial" w:hAnsi="Arial" w:cs="Arial"/>
          <w:b w:val="0"/>
          <w:color w:val="auto"/>
        </w:rPr>
        <w:t>usal women (n = 87).</w:t>
      </w:r>
      <w:bookmarkEnd w:id="163"/>
      <w:r>
        <w:rPr>
          <w:rFonts w:ascii="Arial" w:hAnsi="Arial" w:cs="Arial"/>
          <w:b w:val="0"/>
          <w:color w:val="auto"/>
        </w:rPr>
        <w:t xml:space="preserve"> </w:t>
      </w:r>
    </w:p>
    <w:tbl>
      <w:tblPr>
        <w:tblStyle w:val="TableGrid3"/>
        <w:tblW w:w="0" w:type="auto"/>
        <w:jc w:val="center"/>
        <w:tblLook w:val="04A0" w:firstRow="1" w:lastRow="0" w:firstColumn="1" w:lastColumn="0" w:noHBand="0" w:noVBand="1"/>
      </w:tblPr>
      <w:tblGrid>
        <w:gridCol w:w="1960"/>
        <w:gridCol w:w="2021"/>
        <w:gridCol w:w="2021"/>
      </w:tblGrid>
      <w:tr w:rsidR="00010CB7" w:rsidRPr="00F95D84" w:rsidTr="0002551F">
        <w:trPr>
          <w:trHeight w:val="12"/>
          <w:jc w:val="center"/>
        </w:trPr>
        <w:tc>
          <w:tcPr>
            <w:tcW w:w="1960" w:type="dxa"/>
          </w:tcPr>
          <w:p w:rsidR="00010CB7" w:rsidRPr="00F95D84" w:rsidRDefault="00010CB7" w:rsidP="00900F2C">
            <w:pPr>
              <w:rPr>
                <w:rFonts w:ascii="Arial" w:eastAsia="Calibri" w:hAnsi="Arial" w:cs="Arial"/>
                <w:sz w:val="16"/>
                <w:szCs w:val="16"/>
              </w:rPr>
            </w:pPr>
            <w:r>
              <w:rPr>
                <w:rFonts w:ascii="Arial" w:eastAsia="Calibri" w:hAnsi="Arial" w:cs="Arial"/>
                <w:sz w:val="16"/>
                <w:szCs w:val="16"/>
              </w:rPr>
              <w:t>Bone turnover marker</w:t>
            </w:r>
          </w:p>
        </w:tc>
        <w:tc>
          <w:tcPr>
            <w:tcW w:w="2021" w:type="dxa"/>
          </w:tcPr>
          <w:p w:rsidR="00010CB7" w:rsidRPr="00F95D84" w:rsidRDefault="00010CB7" w:rsidP="00900F2C">
            <w:pPr>
              <w:rPr>
                <w:rFonts w:ascii="Arial" w:eastAsia="Calibri" w:hAnsi="Arial" w:cs="Arial"/>
                <w:sz w:val="16"/>
                <w:szCs w:val="16"/>
              </w:rPr>
            </w:pPr>
            <w:r>
              <w:rPr>
                <w:rFonts w:ascii="Arial" w:eastAsia="Calibri" w:hAnsi="Arial" w:cs="Arial"/>
                <w:sz w:val="16"/>
                <w:szCs w:val="16"/>
              </w:rPr>
              <w:t xml:space="preserve">Geometric mean </w:t>
            </w:r>
          </w:p>
        </w:tc>
        <w:tc>
          <w:tcPr>
            <w:tcW w:w="2021" w:type="dxa"/>
          </w:tcPr>
          <w:p w:rsidR="00010CB7" w:rsidRDefault="00010CB7" w:rsidP="00900F2C">
            <w:pPr>
              <w:rPr>
                <w:rFonts w:ascii="Arial" w:eastAsia="Calibri" w:hAnsi="Arial" w:cs="Arial"/>
                <w:sz w:val="16"/>
                <w:szCs w:val="16"/>
              </w:rPr>
            </w:pPr>
            <w:r>
              <w:rPr>
                <w:rFonts w:ascii="Arial" w:eastAsia="Calibri" w:hAnsi="Arial" w:cs="Arial"/>
                <w:sz w:val="16"/>
                <w:szCs w:val="16"/>
              </w:rPr>
              <w:t>95% reference interval</w:t>
            </w:r>
          </w:p>
          <w:p w:rsidR="00010CB7" w:rsidRPr="00F95D84" w:rsidRDefault="00010CB7" w:rsidP="00900F2C">
            <w:pPr>
              <w:rPr>
                <w:rFonts w:ascii="Arial" w:eastAsia="Calibri" w:hAnsi="Arial" w:cs="Arial"/>
                <w:sz w:val="16"/>
                <w:szCs w:val="16"/>
              </w:rPr>
            </w:pPr>
          </w:p>
        </w:tc>
      </w:tr>
      <w:tr w:rsidR="00010CB7" w:rsidRPr="00F95D84" w:rsidTr="0002551F">
        <w:trPr>
          <w:trHeight w:val="365"/>
          <w:jc w:val="center"/>
        </w:trPr>
        <w:tc>
          <w:tcPr>
            <w:tcW w:w="1960"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0.32</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0.13 – 0.81</w:t>
            </w:r>
          </w:p>
        </w:tc>
      </w:tr>
      <w:tr w:rsidR="00010CB7" w:rsidRPr="00F95D84" w:rsidTr="0002551F">
        <w:trPr>
          <w:trHeight w:val="364"/>
          <w:jc w:val="center"/>
        </w:trPr>
        <w:tc>
          <w:tcPr>
            <w:tcW w:w="1960"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Urine NTX, nmol BCE/mmol Cr</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36.1</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16 – 78</w:t>
            </w:r>
          </w:p>
        </w:tc>
      </w:tr>
      <w:tr w:rsidR="00010CB7" w:rsidRPr="00F95D84" w:rsidTr="0002551F">
        <w:trPr>
          <w:trHeight w:val="365"/>
          <w:jc w:val="center"/>
        </w:trPr>
        <w:tc>
          <w:tcPr>
            <w:tcW w:w="1960"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lastRenderedPageBreak/>
              <w:t xml:space="preserve">Serum </w:t>
            </w:r>
            <w:r w:rsidRPr="00F95D84">
              <w:rPr>
                <w:rFonts w:ascii="Arial" w:eastAsia="Calibri" w:hAnsi="Arial" w:cs="Arial"/>
                <w:sz w:val="16"/>
                <w:szCs w:val="16"/>
              </w:rPr>
              <w:t>PINP</w:t>
            </w:r>
            <w:r>
              <w:rPr>
                <w:rFonts w:ascii="Arial" w:eastAsia="Calibri" w:hAnsi="Arial" w:cs="Arial"/>
                <w:sz w:val="16"/>
                <w:szCs w:val="16"/>
              </w:rPr>
              <w:t>, ng/ml</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28.3</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15 – 54</w:t>
            </w:r>
          </w:p>
        </w:tc>
      </w:tr>
      <w:tr w:rsidR="00010CB7" w:rsidRPr="00F95D84" w:rsidTr="0002551F">
        <w:trPr>
          <w:trHeight w:val="365"/>
          <w:jc w:val="center"/>
        </w:trPr>
        <w:tc>
          <w:tcPr>
            <w:tcW w:w="1960" w:type="dxa"/>
            <w:vAlign w:val="center"/>
          </w:tcPr>
          <w:p w:rsidR="00010CB7" w:rsidRPr="00F3359B" w:rsidRDefault="00010CB7"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9.5</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5 – 18</w:t>
            </w:r>
          </w:p>
        </w:tc>
      </w:tr>
      <w:tr w:rsidR="00010CB7" w:rsidRPr="00F95D84" w:rsidTr="0002551F">
        <w:trPr>
          <w:trHeight w:val="365"/>
          <w:jc w:val="center"/>
        </w:trPr>
        <w:tc>
          <w:tcPr>
            <w:tcW w:w="1960"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Serum osteocalcin, ng/ml</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18.1</w:t>
            </w:r>
          </w:p>
        </w:tc>
        <w:tc>
          <w:tcPr>
            <w:tcW w:w="2021" w:type="dxa"/>
            <w:vAlign w:val="center"/>
          </w:tcPr>
          <w:p w:rsidR="00010CB7" w:rsidRPr="00F95D84" w:rsidRDefault="00010CB7" w:rsidP="00900F2C">
            <w:pPr>
              <w:rPr>
                <w:rFonts w:ascii="Arial" w:eastAsia="Calibri" w:hAnsi="Arial" w:cs="Arial"/>
                <w:sz w:val="16"/>
                <w:szCs w:val="16"/>
              </w:rPr>
            </w:pPr>
            <w:r>
              <w:rPr>
                <w:rFonts w:ascii="Arial" w:eastAsia="Calibri" w:hAnsi="Arial" w:cs="Arial"/>
                <w:sz w:val="16"/>
                <w:szCs w:val="16"/>
              </w:rPr>
              <w:t>10 – 34</w:t>
            </w:r>
          </w:p>
        </w:tc>
      </w:tr>
    </w:tbl>
    <w:p w:rsidR="00010CB7" w:rsidRDefault="00010CB7" w:rsidP="00900F2C">
      <w:pPr>
        <w:spacing w:line="360" w:lineRule="auto"/>
        <w:rPr>
          <w:rFonts w:ascii="Arial" w:eastAsiaTheme="majorEastAsia" w:hAnsi="Arial" w:cstheme="majorBidi"/>
          <w:b/>
          <w:bCs/>
        </w:rPr>
      </w:pPr>
    </w:p>
    <w:p w:rsidR="0001531E" w:rsidRPr="0001531E" w:rsidRDefault="0001531E" w:rsidP="00844C20">
      <w:pPr>
        <w:pStyle w:val="Heading3"/>
        <w:jc w:val="both"/>
      </w:pPr>
      <w:bookmarkStart w:id="164" w:name="_Toc425418944"/>
      <w:r>
        <w:t>The response of bone turnover markers to antiresorptive treatments relative to healthy premenopausal women</w:t>
      </w:r>
      <w:bookmarkEnd w:id="164"/>
    </w:p>
    <w:p w:rsidR="00815E85" w:rsidRPr="00DD3C8A" w:rsidRDefault="00E57CC5" w:rsidP="00844C20">
      <w:pPr>
        <w:spacing w:line="360" w:lineRule="auto"/>
        <w:jc w:val="both"/>
        <w:rPr>
          <w:rFonts w:ascii="Arial" w:hAnsi="Arial" w:cs="Arial"/>
        </w:rPr>
      </w:pPr>
      <w:r w:rsidRPr="00DD3C8A">
        <w:rPr>
          <w:rFonts w:ascii="Arial" w:hAnsi="Arial" w:cs="Arial"/>
        </w:rPr>
        <w:t>For each individual antiresorptive treatment levels of CTX, NTX/Cr, PINP, bone ALP and osteocalcin are shown as box and whisker plots graphed relative to the upper and lower limits and the geometric mean of the healthy premenopausal reference in</w:t>
      </w:r>
      <w:r w:rsidR="00691115">
        <w:rPr>
          <w:rFonts w:ascii="Arial" w:hAnsi="Arial" w:cs="Arial"/>
        </w:rPr>
        <w:t xml:space="preserve">tervals </w:t>
      </w:r>
      <w:r w:rsidR="00A777D7">
        <w:rPr>
          <w:rFonts w:ascii="Arial" w:hAnsi="Arial" w:cs="Arial"/>
        </w:rPr>
        <w:t>for each BTM, (Figures 43, 44, 45, 46, 47 and 48</w:t>
      </w:r>
      <w:r w:rsidRPr="00DD3C8A">
        <w:rPr>
          <w:rFonts w:ascii="Arial" w:hAnsi="Arial" w:cs="Arial"/>
        </w:rPr>
        <w:t>)</w:t>
      </w:r>
      <w:r w:rsidR="00660619" w:rsidRPr="00DD3C8A">
        <w:rPr>
          <w:rFonts w:ascii="Arial" w:hAnsi="Arial" w:cs="Arial"/>
        </w:rPr>
        <w:t>. At baseline 1 less than 10%</w:t>
      </w:r>
      <w:r w:rsidR="005917A2" w:rsidRPr="00DD3C8A">
        <w:rPr>
          <w:rFonts w:ascii="Arial" w:hAnsi="Arial" w:cs="Arial"/>
        </w:rPr>
        <w:t xml:space="preserve"> of the study population receiving </w:t>
      </w:r>
      <w:r w:rsidR="001831AB">
        <w:rPr>
          <w:rFonts w:ascii="Arial" w:hAnsi="Arial" w:cs="Arial"/>
        </w:rPr>
        <w:t>bisphosphonates had</w:t>
      </w:r>
      <w:r w:rsidR="00516555">
        <w:rPr>
          <w:rFonts w:ascii="Arial" w:hAnsi="Arial" w:cs="Arial"/>
        </w:rPr>
        <w:t xml:space="preserve"> CTX, PINP and</w:t>
      </w:r>
      <w:r w:rsidR="003E3B47">
        <w:rPr>
          <w:rFonts w:ascii="Arial" w:hAnsi="Arial" w:cs="Arial"/>
        </w:rPr>
        <w:t xml:space="preserve"> bone ALP</w:t>
      </w:r>
      <w:r w:rsidR="005917A2" w:rsidRPr="00DD3C8A">
        <w:rPr>
          <w:rFonts w:ascii="Arial" w:hAnsi="Arial" w:cs="Arial"/>
        </w:rPr>
        <w:t xml:space="preserve"> concentration</w:t>
      </w:r>
      <w:r w:rsidR="00660619" w:rsidRPr="00DD3C8A">
        <w:rPr>
          <w:rFonts w:ascii="Arial" w:hAnsi="Arial" w:cs="Arial"/>
        </w:rPr>
        <w:t xml:space="preserve">s in the lower part </w:t>
      </w:r>
      <w:r w:rsidR="005917A2" w:rsidRPr="00DD3C8A">
        <w:rPr>
          <w:rFonts w:ascii="Arial" w:hAnsi="Arial" w:cs="Arial"/>
        </w:rPr>
        <w:t>of the healthy premenopausal reference intervals.</w:t>
      </w:r>
      <w:r w:rsidR="003E3B47">
        <w:rPr>
          <w:rFonts w:ascii="Arial" w:hAnsi="Arial" w:cs="Arial"/>
        </w:rPr>
        <w:t xml:space="preserve"> This was higher for NTX/Cr (34%) and osteocalcin (21%). </w:t>
      </w:r>
      <w:r w:rsidR="002A632A" w:rsidRPr="00DD3C8A">
        <w:rPr>
          <w:rFonts w:ascii="Arial" w:hAnsi="Arial" w:cs="Arial"/>
        </w:rPr>
        <w:t>After 1 week of treatment with ibandronate, alendronate and risedronate</w:t>
      </w:r>
      <w:r w:rsidR="003040F0" w:rsidRPr="00DD3C8A">
        <w:rPr>
          <w:rFonts w:ascii="Arial" w:hAnsi="Arial" w:cs="Arial"/>
        </w:rPr>
        <w:t>,</w:t>
      </w:r>
      <w:r w:rsidR="005B6F77" w:rsidRPr="00DD3C8A">
        <w:rPr>
          <w:rFonts w:ascii="Arial" w:hAnsi="Arial" w:cs="Arial"/>
        </w:rPr>
        <w:t xml:space="preserve"> 90</w:t>
      </w:r>
      <w:r w:rsidR="003040F0" w:rsidRPr="00DD3C8A">
        <w:rPr>
          <w:rFonts w:ascii="Arial" w:hAnsi="Arial" w:cs="Arial"/>
        </w:rPr>
        <w:t>%, 57</w:t>
      </w:r>
      <w:r w:rsidR="005B6F77" w:rsidRPr="00DD3C8A">
        <w:rPr>
          <w:rFonts w:ascii="Arial" w:hAnsi="Arial" w:cs="Arial"/>
        </w:rPr>
        <w:t>% and 43%</w:t>
      </w:r>
      <w:r w:rsidR="003040F0" w:rsidRPr="00DD3C8A">
        <w:rPr>
          <w:rFonts w:ascii="Arial" w:hAnsi="Arial" w:cs="Arial"/>
        </w:rPr>
        <w:t>, respectively of the study population had a CTX level in the lower part of or below the healthy premenopausal reference intervals. At week 96 this increased to 92%, 100% and 87%, respectively.</w:t>
      </w:r>
      <w:r w:rsidR="009D7E54" w:rsidRPr="00DD3C8A">
        <w:rPr>
          <w:rFonts w:ascii="Arial" w:hAnsi="Arial" w:cs="Arial"/>
        </w:rPr>
        <w:t xml:space="preserve"> After 1 week of treatment with ibandronate, alendronate and risedronate, </w:t>
      </w:r>
      <w:r w:rsidR="00FD1475" w:rsidRPr="00DD3C8A">
        <w:rPr>
          <w:rFonts w:ascii="Arial" w:hAnsi="Arial" w:cs="Arial"/>
        </w:rPr>
        <w:t>94%</w:t>
      </w:r>
      <w:r w:rsidR="009D7E54" w:rsidRPr="00DD3C8A">
        <w:rPr>
          <w:rFonts w:ascii="Arial" w:hAnsi="Arial" w:cs="Arial"/>
        </w:rPr>
        <w:t>,</w:t>
      </w:r>
      <w:r w:rsidR="00FD1475" w:rsidRPr="00DD3C8A">
        <w:rPr>
          <w:rFonts w:ascii="Arial" w:hAnsi="Arial" w:cs="Arial"/>
        </w:rPr>
        <w:t xml:space="preserve"> 75%</w:t>
      </w:r>
      <w:r w:rsidR="009D7E54" w:rsidRPr="00DD3C8A">
        <w:rPr>
          <w:rFonts w:ascii="Arial" w:hAnsi="Arial" w:cs="Arial"/>
        </w:rPr>
        <w:t xml:space="preserve"> and </w:t>
      </w:r>
      <w:r w:rsidR="00FD1475" w:rsidRPr="00DD3C8A">
        <w:rPr>
          <w:rFonts w:ascii="Arial" w:hAnsi="Arial" w:cs="Arial"/>
        </w:rPr>
        <w:t>74%</w:t>
      </w:r>
      <w:r w:rsidR="009D7E54" w:rsidRPr="00DD3C8A">
        <w:rPr>
          <w:rFonts w:ascii="Arial" w:hAnsi="Arial" w:cs="Arial"/>
        </w:rPr>
        <w:t xml:space="preserve">, respectively of the study population had a NTX/Cr level in the lower part of or below the healthy premenopausal reference intervals. At week 96 </w:t>
      </w:r>
      <w:r w:rsidR="00FD1475" w:rsidRPr="00DD3C8A">
        <w:rPr>
          <w:rFonts w:ascii="Arial" w:hAnsi="Arial" w:cs="Arial"/>
        </w:rPr>
        <w:t>this increased to 96%, 100% and 94</w:t>
      </w:r>
      <w:r w:rsidR="009D7E54" w:rsidRPr="00DD3C8A">
        <w:rPr>
          <w:rFonts w:ascii="Arial" w:hAnsi="Arial" w:cs="Arial"/>
        </w:rPr>
        <w:t>%, respectively.</w:t>
      </w:r>
      <w:r w:rsidR="00660619" w:rsidRPr="00DD3C8A">
        <w:rPr>
          <w:rFonts w:ascii="Arial" w:hAnsi="Arial" w:cs="Arial"/>
        </w:rPr>
        <w:t xml:space="preserve"> </w:t>
      </w:r>
    </w:p>
    <w:p w:rsidR="00516555" w:rsidRDefault="00660619" w:rsidP="00844C20">
      <w:pPr>
        <w:spacing w:line="360" w:lineRule="auto"/>
        <w:jc w:val="both"/>
        <w:rPr>
          <w:rFonts w:ascii="Arial" w:hAnsi="Arial" w:cs="Arial"/>
        </w:rPr>
      </w:pPr>
      <w:r w:rsidRPr="00DD3C8A">
        <w:rPr>
          <w:rFonts w:ascii="Arial" w:hAnsi="Arial" w:cs="Arial"/>
        </w:rPr>
        <w:t>There were no significant decreases in levels of PINP, bone ALP and osteocalcin</w:t>
      </w:r>
      <w:r w:rsidR="009E5F8E" w:rsidRPr="00DD3C8A">
        <w:rPr>
          <w:rFonts w:ascii="Arial" w:hAnsi="Arial" w:cs="Arial"/>
        </w:rPr>
        <w:t xml:space="preserve"> from baseline</w:t>
      </w:r>
      <w:r w:rsidR="003E3B47">
        <w:rPr>
          <w:rFonts w:ascii="Arial" w:hAnsi="Arial" w:cs="Arial"/>
        </w:rPr>
        <w:t xml:space="preserve"> until</w:t>
      </w:r>
      <w:r w:rsidRPr="00DD3C8A">
        <w:rPr>
          <w:rFonts w:ascii="Arial" w:hAnsi="Arial" w:cs="Arial"/>
        </w:rPr>
        <w:t xml:space="preserve"> 12 week</w:t>
      </w:r>
      <w:r w:rsidR="00815E85" w:rsidRPr="00DD3C8A">
        <w:rPr>
          <w:rFonts w:ascii="Arial" w:hAnsi="Arial" w:cs="Arial"/>
        </w:rPr>
        <w:t>s</w:t>
      </w:r>
      <w:r w:rsidRPr="00DD3C8A">
        <w:rPr>
          <w:rFonts w:ascii="Arial" w:hAnsi="Arial" w:cs="Arial"/>
        </w:rPr>
        <w:t xml:space="preserve"> of treatment with any of the bisphosphonates. After 12 weeks of treatment with ibandronate, alendronate and risedronate,</w:t>
      </w:r>
      <w:r w:rsidR="009E5F8E" w:rsidRPr="00DD3C8A">
        <w:rPr>
          <w:rFonts w:ascii="Arial" w:hAnsi="Arial" w:cs="Arial"/>
        </w:rPr>
        <w:t xml:space="preserve"> 97%, </w:t>
      </w:r>
      <w:r w:rsidR="00815E85" w:rsidRPr="00DD3C8A">
        <w:rPr>
          <w:rFonts w:ascii="Arial" w:hAnsi="Arial" w:cs="Arial"/>
        </w:rPr>
        <w:t>82%</w:t>
      </w:r>
      <w:r w:rsidR="009E5F8E" w:rsidRPr="00DD3C8A">
        <w:rPr>
          <w:rFonts w:ascii="Arial" w:hAnsi="Arial" w:cs="Arial"/>
        </w:rPr>
        <w:t xml:space="preserve"> and </w:t>
      </w:r>
      <w:r w:rsidR="00815E85" w:rsidRPr="00DD3C8A">
        <w:rPr>
          <w:rFonts w:ascii="Arial" w:hAnsi="Arial" w:cs="Arial"/>
        </w:rPr>
        <w:t>73%</w:t>
      </w:r>
      <w:r w:rsidRPr="00DD3C8A">
        <w:rPr>
          <w:rFonts w:ascii="Arial" w:hAnsi="Arial" w:cs="Arial"/>
        </w:rPr>
        <w:t>, respectively of the study population had a PINP level in the lower part of or below the healthy premenopausal reference intervals</w:t>
      </w:r>
      <w:r w:rsidR="00815E85" w:rsidRPr="00DD3C8A">
        <w:rPr>
          <w:rFonts w:ascii="Arial" w:hAnsi="Arial" w:cs="Arial"/>
        </w:rPr>
        <w:t xml:space="preserve">. At week 96 this increased to 100%, 100% and 83%, respectively. </w:t>
      </w:r>
      <w:r w:rsidR="00516555" w:rsidRPr="00DD3C8A">
        <w:rPr>
          <w:rFonts w:ascii="Arial" w:hAnsi="Arial" w:cs="Arial"/>
        </w:rPr>
        <w:t>After 12 weeks of treatment with ibandrona</w:t>
      </w:r>
      <w:r w:rsidR="00516555">
        <w:rPr>
          <w:rFonts w:ascii="Arial" w:hAnsi="Arial" w:cs="Arial"/>
        </w:rPr>
        <w:t>te, alendronate and risedronate 17%</w:t>
      </w:r>
      <w:r w:rsidR="00516555" w:rsidRPr="00DD3C8A">
        <w:rPr>
          <w:rFonts w:ascii="Arial" w:hAnsi="Arial" w:cs="Arial"/>
        </w:rPr>
        <w:t xml:space="preserve">, </w:t>
      </w:r>
      <w:r w:rsidR="00516555">
        <w:rPr>
          <w:rFonts w:ascii="Arial" w:hAnsi="Arial" w:cs="Arial"/>
        </w:rPr>
        <w:t>20%</w:t>
      </w:r>
      <w:r w:rsidR="00516555" w:rsidRPr="00DD3C8A">
        <w:rPr>
          <w:rFonts w:ascii="Arial" w:hAnsi="Arial" w:cs="Arial"/>
        </w:rPr>
        <w:t xml:space="preserve"> and </w:t>
      </w:r>
      <w:r w:rsidR="00516555">
        <w:rPr>
          <w:rFonts w:ascii="Arial" w:hAnsi="Arial" w:cs="Arial"/>
        </w:rPr>
        <w:t>12</w:t>
      </w:r>
      <w:r w:rsidR="00516555" w:rsidRPr="00DD3C8A">
        <w:rPr>
          <w:rFonts w:ascii="Arial" w:hAnsi="Arial" w:cs="Arial"/>
        </w:rPr>
        <w:t>%, respectively of</w:t>
      </w:r>
      <w:r w:rsidR="00516555">
        <w:rPr>
          <w:rFonts w:ascii="Arial" w:hAnsi="Arial" w:cs="Arial"/>
        </w:rPr>
        <w:t xml:space="preserve"> the study population had a bone ALP</w:t>
      </w:r>
      <w:r w:rsidR="00516555" w:rsidRPr="00DD3C8A">
        <w:rPr>
          <w:rFonts w:ascii="Arial" w:hAnsi="Arial" w:cs="Arial"/>
        </w:rPr>
        <w:t xml:space="preserve"> level in the lower part of or below the healthy premenopausal reference intervals. </w:t>
      </w:r>
      <w:r w:rsidR="00516555">
        <w:rPr>
          <w:rFonts w:ascii="Arial" w:hAnsi="Arial" w:cs="Arial"/>
        </w:rPr>
        <w:t>At week 96 this increased to 26% and 52</w:t>
      </w:r>
      <w:r w:rsidR="00516555" w:rsidRPr="00DD3C8A">
        <w:rPr>
          <w:rFonts w:ascii="Arial" w:hAnsi="Arial" w:cs="Arial"/>
        </w:rPr>
        <w:t xml:space="preserve">% </w:t>
      </w:r>
      <w:r w:rsidR="00516555">
        <w:rPr>
          <w:rFonts w:ascii="Arial" w:hAnsi="Arial" w:cs="Arial"/>
        </w:rPr>
        <w:t xml:space="preserve">with ibandronate and alendronate respectively </w:t>
      </w:r>
      <w:r w:rsidR="00516555" w:rsidRPr="00DD3C8A">
        <w:rPr>
          <w:rFonts w:ascii="Arial" w:hAnsi="Arial" w:cs="Arial"/>
        </w:rPr>
        <w:t>and</w:t>
      </w:r>
      <w:r w:rsidR="00516555">
        <w:rPr>
          <w:rFonts w:ascii="Arial" w:hAnsi="Arial" w:cs="Arial"/>
        </w:rPr>
        <w:t xml:space="preserve"> decreased to 4% with risedronate.</w:t>
      </w:r>
      <w:r w:rsidR="003E3B47">
        <w:rPr>
          <w:rFonts w:ascii="Arial" w:hAnsi="Arial" w:cs="Arial"/>
        </w:rPr>
        <w:t xml:space="preserve"> </w:t>
      </w:r>
      <w:r w:rsidR="003E3B47" w:rsidRPr="00DD3C8A">
        <w:rPr>
          <w:rFonts w:ascii="Arial" w:hAnsi="Arial" w:cs="Arial"/>
        </w:rPr>
        <w:t>After 12 weeks of treatment with ibandronate, alendronate and risedronate,</w:t>
      </w:r>
      <w:r w:rsidR="003F0B1F">
        <w:rPr>
          <w:rFonts w:ascii="Arial" w:hAnsi="Arial" w:cs="Arial"/>
        </w:rPr>
        <w:t xml:space="preserve"> 60%</w:t>
      </w:r>
      <w:r w:rsidR="003E3B47" w:rsidRPr="00DD3C8A">
        <w:rPr>
          <w:rFonts w:ascii="Arial" w:hAnsi="Arial" w:cs="Arial"/>
        </w:rPr>
        <w:t xml:space="preserve">, </w:t>
      </w:r>
      <w:r w:rsidR="003F0B1F">
        <w:rPr>
          <w:rFonts w:ascii="Arial" w:hAnsi="Arial" w:cs="Arial"/>
        </w:rPr>
        <w:t>58%</w:t>
      </w:r>
      <w:r w:rsidR="003E3B47" w:rsidRPr="00DD3C8A">
        <w:rPr>
          <w:rFonts w:ascii="Arial" w:hAnsi="Arial" w:cs="Arial"/>
        </w:rPr>
        <w:t xml:space="preserve"> and </w:t>
      </w:r>
      <w:r w:rsidR="003F0B1F">
        <w:rPr>
          <w:rFonts w:ascii="Arial" w:hAnsi="Arial" w:cs="Arial"/>
        </w:rPr>
        <w:t>80</w:t>
      </w:r>
      <w:r w:rsidR="003E3B47" w:rsidRPr="00DD3C8A">
        <w:rPr>
          <w:rFonts w:ascii="Arial" w:hAnsi="Arial" w:cs="Arial"/>
        </w:rPr>
        <w:t>%, respectively of</w:t>
      </w:r>
      <w:r w:rsidR="003F0B1F">
        <w:rPr>
          <w:rFonts w:ascii="Arial" w:hAnsi="Arial" w:cs="Arial"/>
        </w:rPr>
        <w:t xml:space="preserve"> the study population had an osteocalcin</w:t>
      </w:r>
      <w:r w:rsidR="003E3B47" w:rsidRPr="00DD3C8A">
        <w:rPr>
          <w:rFonts w:ascii="Arial" w:hAnsi="Arial" w:cs="Arial"/>
        </w:rPr>
        <w:t xml:space="preserve"> level in the lower part of or below the healthy premenopausal reference intervals. A</w:t>
      </w:r>
      <w:r w:rsidR="003F0B1F">
        <w:rPr>
          <w:rFonts w:ascii="Arial" w:hAnsi="Arial" w:cs="Arial"/>
        </w:rPr>
        <w:t>t week 96 this increased to 85%, 94% and 92</w:t>
      </w:r>
      <w:r w:rsidR="003E3B47" w:rsidRPr="00DD3C8A">
        <w:rPr>
          <w:rFonts w:ascii="Arial" w:hAnsi="Arial" w:cs="Arial"/>
        </w:rPr>
        <w:t>%, respectively.</w:t>
      </w:r>
    </w:p>
    <w:p w:rsidR="001F55D7" w:rsidRPr="00C759A3" w:rsidRDefault="000363C4" w:rsidP="00844C20">
      <w:pPr>
        <w:spacing w:line="360" w:lineRule="auto"/>
        <w:jc w:val="both"/>
        <w:rPr>
          <w:rFonts w:ascii="Arial" w:hAnsi="Arial" w:cs="Arial"/>
        </w:rPr>
      </w:pPr>
      <w:r w:rsidRPr="00DD3C8A">
        <w:rPr>
          <w:rFonts w:ascii="Arial" w:hAnsi="Arial" w:cs="Arial"/>
        </w:rPr>
        <w:t xml:space="preserve">At baseline 1 less than 10% of the study population receiving </w:t>
      </w:r>
      <w:r>
        <w:rPr>
          <w:rFonts w:ascii="Arial" w:hAnsi="Arial" w:cs="Arial"/>
        </w:rPr>
        <w:t>raloxifene had CTX, NTX/Cr, PINP and bone ALP</w:t>
      </w:r>
      <w:r w:rsidRPr="00DD3C8A">
        <w:rPr>
          <w:rFonts w:ascii="Arial" w:hAnsi="Arial" w:cs="Arial"/>
        </w:rPr>
        <w:t xml:space="preserve"> concentrations in the lower part of the healthy premenopausal reference intervals.</w:t>
      </w:r>
      <w:r>
        <w:rPr>
          <w:rFonts w:ascii="Arial" w:hAnsi="Arial" w:cs="Arial"/>
        </w:rPr>
        <w:t xml:space="preserve"> This was higher </w:t>
      </w:r>
      <w:r w:rsidR="008912F4">
        <w:rPr>
          <w:rFonts w:ascii="Arial" w:hAnsi="Arial" w:cs="Arial"/>
        </w:rPr>
        <w:t>for osteocalcin (50%</w:t>
      </w:r>
      <w:r>
        <w:rPr>
          <w:rFonts w:ascii="Arial" w:hAnsi="Arial" w:cs="Arial"/>
        </w:rPr>
        <w:t>).</w:t>
      </w:r>
      <w:r w:rsidR="008912F4">
        <w:rPr>
          <w:rFonts w:ascii="Arial" w:hAnsi="Arial" w:cs="Arial"/>
        </w:rPr>
        <w:t xml:space="preserve"> At the end of the treatment period</w:t>
      </w:r>
      <w:r w:rsidR="00E14908">
        <w:rPr>
          <w:rFonts w:ascii="Arial" w:hAnsi="Arial" w:cs="Arial"/>
        </w:rPr>
        <w:t>,</w:t>
      </w:r>
      <w:r w:rsidR="008912F4">
        <w:rPr>
          <w:rFonts w:ascii="Arial" w:hAnsi="Arial" w:cs="Arial"/>
        </w:rPr>
        <w:t xml:space="preserve"> at week 48 </w:t>
      </w:r>
      <w:r w:rsidR="00E14908">
        <w:rPr>
          <w:rFonts w:ascii="Arial" w:hAnsi="Arial" w:cs="Arial"/>
        </w:rPr>
        <w:t xml:space="preserve">the portion of the study population that had levels of </w:t>
      </w:r>
      <w:r w:rsidR="00E14908">
        <w:rPr>
          <w:rFonts w:ascii="Arial" w:hAnsi="Arial" w:cs="Arial"/>
        </w:rPr>
        <w:lastRenderedPageBreak/>
        <w:t xml:space="preserve">CTX, NTX/Cr, PINP, </w:t>
      </w:r>
      <w:r w:rsidR="008912F4">
        <w:rPr>
          <w:rFonts w:ascii="Arial" w:hAnsi="Arial" w:cs="Arial"/>
        </w:rPr>
        <w:t xml:space="preserve"> </w:t>
      </w:r>
      <w:r w:rsidR="00E14908">
        <w:rPr>
          <w:rFonts w:ascii="Arial" w:hAnsi="Arial" w:cs="Arial"/>
        </w:rPr>
        <w:t xml:space="preserve">bone alp and osteocalcin in the lower part or below the healthy premenopausal reference intervals were 40%, </w:t>
      </w:r>
      <w:r w:rsidR="00B754DA">
        <w:rPr>
          <w:rFonts w:ascii="Arial" w:hAnsi="Arial" w:cs="Arial"/>
        </w:rPr>
        <w:t>20</w:t>
      </w:r>
      <w:r w:rsidR="00E14908">
        <w:rPr>
          <w:rFonts w:ascii="Arial" w:hAnsi="Arial" w:cs="Arial"/>
        </w:rPr>
        <w:t>%, 40%, 15% and 85%, respectively.</w:t>
      </w:r>
    </w:p>
    <w:p w:rsidR="00AC20A4" w:rsidRDefault="00AA4FD6" w:rsidP="004B4BCC">
      <w:pPr>
        <w:keepNext/>
        <w:jc w:val="center"/>
      </w:pPr>
      <w:r>
        <w:rPr>
          <w:noProof/>
          <w:lang w:eastAsia="zh-CN"/>
        </w:rPr>
        <w:drawing>
          <wp:inline distT="0" distB="0" distL="0" distR="0" wp14:anchorId="56A72834" wp14:editId="65BE483A">
            <wp:extent cx="5452281" cy="4347884"/>
            <wp:effectExtent l="0" t="0" r="0" b="0"/>
            <wp:docPr id="18654" name="Picture 1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78170" cy="4448273"/>
                    </a:xfrm>
                    <a:prstGeom prst="rect">
                      <a:avLst/>
                    </a:prstGeom>
                    <a:noFill/>
                  </pic:spPr>
                </pic:pic>
              </a:graphicData>
            </a:graphic>
          </wp:inline>
        </w:drawing>
      </w:r>
    </w:p>
    <w:p w:rsidR="00925A00" w:rsidRPr="00844C20" w:rsidRDefault="00AC20A4" w:rsidP="00844C20">
      <w:pPr>
        <w:pStyle w:val="Caption"/>
        <w:jc w:val="both"/>
        <w:rPr>
          <w:rFonts w:ascii="Arial" w:hAnsi="Arial" w:cs="Arial"/>
          <w:b w:val="0"/>
          <w:color w:val="auto"/>
        </w:rPr>
      </w:pPr>
      <w:bookmarkStart w:id="165" w:name="_Toc425419526"/>
      <w:r w:rsidRPr="00844C20">
        <w:rPr>
          <w:rFonts w:ascii="Arial" w:hAnsi="Arial" w:cs="Arial"/>
          <w:b w:val="0"/>
          <w:color w:val="auto"/>
        </w:rPr>
        <w:t xml:space="preserve">Figure </w:t>
      </w:r>
      <w:r w:rsidR="00FF7058" w:rsidRPr="00844C20">
        <w:rPr>
          <w:rFonts w:ascii="Arial" w:hAnsi="Arial" w:cs="Arial"/>
          <w:b w:val="0"/>
          <w:color w:val="auto"/>
        </w:rPr>
        <w:fldChar w:fldCharType="begin"/>
      </w:r>
      <w:r w:rsidR="00FF7058" w:rsidRPr="00844C20">
        <w:rPr>
          <w:rFonts w:ascii="Arial" w:hAnsi="Arial" w:cs="Arial"/>
          <w:b w:val="0"/>
          <w:color w:val="auto"/>
        </w:rPr>
        <w:instrText xml:space="preserve"> SEQ Figure \* ARABIC </w:instrText>
      </w:r>
      <w:r w:rsidR="00FF7058" w:rsidRPr="00844C20">
        <w:rPr>
          <w:rFonts w:ascii="Arial" w:hAnsi="Arial" w:cs="Arial"/>
          <w:b w:val="0"/>
          <w:color w:val="auto"/>
        </w:rPr>
        <w:fldChar w:fldCharType="separate"/>
      </w:r>
      <w:r w:rsidR="0040369A">
        <w:rPr>
          <w:rFonts w:ascii="Arial" w:hAnsi="Arial" w:cs="Arial"/>
          <w:b w:val="0"/>
          <w:noProof/>
          <w:color w:val="auto"/>
        </w:rPr>
        <w:t>37</w:t>
      </w:r>
      <w:r w:rsidR="00FF7058" w:rsidRPr="00844C20">
        <w:rPr>
          <w:rFonts w:ascii="Arial" w:hAnsi="Arial" w:cs="Arial"/>
          <w:b w:val="0"/>
          <w:noProof/>
          <w:color w:val="auto"/>
        </w:rPr>
        <w:fldChar w:fldCharType="end"/>
      </w:r>
      <w:r w:rsidR="00FF7058" w:rsidRPr="00844C20">
        <w:rPr>
          <w:rFonts w:ascii="Arial" w:hAnsi="Arial" w:cs="Arial"/>
          <w:b w:val="0"/>
          <w:noProof/>
          <w:color w:val="auto"/>
        </w:rPr>
        <w:t>:</w:t>
      </w:r>
      <w:r w:rsidR="0090009D" w:rsidRPr="00844C20">
        <w:rPr>
          <w:rFonts w:ascii="Arial" w:hAnsi="Arial" w:cs="Arial"/>
          <w:b w:val="0"/>
          <w:color w:val="auto"/>
        </w:rPr>
        <w:t xml:space="preserve"> Box and whisker plots</w:t>
      </w:r>
      <w:r w:rsidR="00FF7058" w:rsidRPr="00844C20">
        <w:rPr>
          <w:rFonts w:ascii="Arial" w:hAnsi="Arial" w:cs="Arial"/>
          <w:b w:val="0"/>
          <w:color w:val="auto"/>
        </w:rPr>
        <w:t xml:space="preserve"> </w:t>
      </w:r>
      <w:r w:rsidR="0090009D" w:rsidRPr="00844C20">
        <w:rPr>
          <w:rFonts w:ascii="Arial" w:hAnsi="Arial" w:cs="Arial"/>
          <w:b w:val="0"/>
          <w:color w:val="auto"/>
        </w:rPr>
        <w:t xml:space="preserve">showing </w:t>
      </w:r>
      <w:r w:rsidR="00FF7058" w:rsidRPr="00844C20">
        <w:rPr>
          <w:rFonts w:ascii="Arial" w:hAnsi="Arial" w:cs="Arial"/>
          <w:b w:val="0"/>
          <w:color w:val="auto"/>
        </w:rPr>
        <w:t>the effects of ibandronate, alendronate and risedronate on CTX in</w:t>
      </w:r>
      <w:r w:rsidR="00FB101F" w:rsidRPr="00844C20">
        <w:rPr>
          <w:rFonts w:ascii="Arial" w:hAnsi="Arial" w:cs="Arial"/>
          <w:b w:val="0"/>
          <w:color w:val="auto"/>
        </w:rPr>
        <w:t xml:space="preserve"> postmenopausal women with osteo</w:t>
      </w:r>
      <w:r w:rsidR="00FF7058" w:rsidRPr="00844C20">
        <w:rPr>
          <w:rFonts w:ascii="Arial" w:hAnsi="Arial" w:cs="Arial"/>
          <w:b w:val="0"/>
          <w:color w:val="auto"/>
        </w:rPr>
        <w:t xml:space="preserve">porosis </w:t>
      </w:r>
      <w:r w:rsidR="00FB101F" w:rsidRPr="00844C20">
        <w:rPr>
          <w:rFonts w:ascii="Arial" w:hAnsi="Arial" w:cs="Arial"/>
          <w:b w:val="0"/>
          <w:color w:val="auto"/>
        </w:rPr>
        <w:t>over the 96 weeks study period.</w:t>
      </w:r>
      <w:r w:rsidR="00CB57EE" w:rsidRPr="00844C20">
        <w:rPr>
          <w:rFonts w:ascii="Arial" w:hAnsi="Arial" w:cs="Arial"/>
          <w:b w:val="0"/>
          <w:color w:val="auto"/>
        </w:rPr>
        <w:t xml:space="preserve"> The dotted lines represent the geometric mean, upper and lower part of the healthy premenopausal reference interval for CTX.</w:t>
      </w:r>
      <w:bookmarkEnd w:id="165"/>
      <w:r w:rsidR="00CB57EE" w:rsidRPr="00844C20">
        <w:rPr>
          <w:rFonts w:ascii="Arial" w:hAnsi="Arial" w:cs="Arial"/>
          <w:b w:val="0"/>
          <w:color w:val="auto"/>
        </w:rPr>
        <w:t xml:space="preserve"> </w:t>
      </w:r>
    </w:p>
    <w:p w:rsidR="00925A00" w:rsidRDefault="00925A00" w:rsidP="00900F2C">
      <w:pPr>
        <w:keepNext/>
      </w:pPr>
      <w:r>
        <w:rPr>
          <w:noProof/>
          <w:lang w:eastAsia="zh-CN"/>
        </w:rPr>
        <w:lastRenderedPageBreak/>
        <w:drawing>
          <wp:inline distT="0" distB="0" distL="0" distR="0" wp14:anchorId="4FE5C424" wp14:editId="3CA28892">
            <wp:extent cx="5138382" cy="3838697"/>
            <wp:effectExtent l="0" t="0" r="5715" b="0"/>
            <wp:docPr id="18683" name="Picture 1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99495" cy="3884352"/>
                    </a:xfrm>
                    <a:prstGeom prst="rect">
                      <a:avLst/>
                    </a:prstGeom>
                    <a:noFill/>
                  </pic:spPr>
                </pic:pic>
              </a:graphicData>
            </a:graphic>
          </wp:inline>
        </w:drawing>
      </w:r>
    </w:p>
    <w:p w:rsidR="00925A00" w:rsidRPr="00925A00" w:rsidRDefault="00925A00" w:rsidP="00844C20">
      <w:pPr>
        <w:pStyle w:val="Caption"/>
        <w:jc w:val="both"/>
        <w:rPr>
          <w:rFonts w:ascii="Arial" w:hAnsi="Arial" w:cs="Arial"/>
          <w:b w:val="0"/>
          <w:color w:val="auto"/>
        </w:rPr>
      </w:pPr>
      <w:bookmarkStart w:id="166" w:name="_Toc425419527"/>
      <w:r w:rsidRPr="00925A00">
        <w:rPr>
          <w:rFonts w:ascii="Arial" w:hAnsi="Arial" w:cs="Arial"/>
          <w:b w:val="0"/>
          <w:color w:val="auto"/>
        </w:rPr>
        <w:t xml:space="preserve">Figure </w:t>
      </w:r>
      <w:r w:rsidRPr="00925A00">
        <w:rPr>
          <w:rFonts w:ascii="Arial" w:hAnsi="Arial" w:cs="Arial"/>
          <w:b w:val="0"/>
          <w:color w:val="auto"/>
        </w:rPr>
        <w:fldChar w:fldCharType="begin"/>
      </w:r>
      <w:r w:rsidRPr="00925A00">
        <w:rPr>
          <w:rFonts w:ascii="Arial" w:hAnsi="Arial" w:cs="Arial"/>
          <w:b w:val="0"/>
          <w:color w:val="auto"/>
        </w:rPr>
        <w:instrText xml:space="preserve"> SEQ Figure \* ARABIC </w:instrText>
      </w:r>
      <w:r w:rsidRPr="00925A00">
        <w:rPr>
          <w:rFonts w:ascii="Arial" w:hAnsi="Arial" w:cs="Arial"/>
          <w:b w:val="0"/>
          <w:color w:val="auto"/>
        </w:rPr>
        <w:fldChar w:fldCharType="separate"/>
      </w:r>
      <w:r w:rsidR="0040369A">
        <w:rPr>
          <w:rFonts w:ascii="Arial" w:hAnsi="Arial" w:cs="Arial"/>
          <w:b w:val="0"/>
          <w:noProof/>
          <w:color w:val="auto"/>
        </w:rPr>
        <w:t>38</w:t>
      </w:r>
      <w:r w:rsidRPr="00925A00">
        <w:rPr>
          <w:rFonts w:ascii="Arial" w:hAnsi="Arial" w:cs="Arial"/>
          <w:b w:val="0"/>
          <w:color w:val="auto"/>
        </w:rPr>
        <w:fldChar w:fldCharType="end"/>
      </w:r>
      <w:r w:rsidRPr="00925A00">
        <w:rPr>
          <w:rFonts w:ascii="Arial" w:hAnsi="Arial" w:cs="Arial"/>
          <w:b w:val="0"/>
          <w:color w:val="auto"/>
        </w:rPr>
        <w:t>: Box and whisker plots showing the effects of ibandronate, al</w:t>
      </w:r>
      <w:r>
        <w:rPr>
          <w:rFonts w:ascii="Arial" w:hAnsi="Arial" w:cs="Arial"/>
          <w:b w:val="0"/>
          <w:color w:val="auto"/>
        </w:rPr>
        <w:t>endronate and risedronate on NTX/Cr</w:t>
      </w:r>
      <w:r w:rsidRPr="00925A00">
        <w:rPr>
          <w:rFonts w:ascii="Arial" w:hAnsi="Arial" w:cs="Arial"/>
          <w:b w:val="0"/>
          <w:color w:val="auto"/>
        </w:rPr>
        <w:t xml:space="preserve"> in postmenopausal women with osteoporosis over the 96 weeks study period.</w:t>
      </w:r>
      <w:r w:rsidR="00CB57EE">
        <w:rPr>
          <w:rFonts w:ascii="Arial" w:hAnsi="Arial" w:cs="Arial"/>
          <w:b w:val="0"/>
          <w:color w:val="auto"/>
        </w:rPr>
        <w:t xml:space="preserve"> The dotted lines represent the geometric mean, upper and lower part of the healthy premenopausal reference interval for NTX/Cr.</w:t>
      </w:r>
      <w:bookmarkEnd w:id="166"/>
      <w:r w:rsidR="00CB57EE">
        <w:rPr>
          <w:rFonts w:ascii="Arial" w:hAnsi="Arial" w:cs="Arial"/>
          <w:b w:val="0"/>
          <w:color w:val="auto"/>
        </w:rPr>
        <w:t xml:space="preserve"> </w:t>
      </w:r>
    </w:p>
    <w:p w:rsidR="00FB101F" w:rsidRDefault="00AA4FD6" w:rsidP="00900F2C">
      <w:pPr>
        <w:pStyle w:val="Caption"/>
        <w:keepNext/>
      </w:pPr>
      <w:r>
        <w:rPr>
          <w:noProof/>
          <w:lang w:eastAsia="zh-CN"/>
        </w:rPr>
        <w:drawing>
          <wp:inline distT="0" distB="0" distL="0" distR="0" wp14:anchorId="425E2DAB" wp14:editId="320AD0CA">
            <wp:extent cx="5673518" cy="3987209"/>
            <wp:effectExtent l="0" t="0" r="3810" b="0"/>
            <wp:docPr id="18665" name="Picture 1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0548" cy="4013233"/>
                    </a:xfrm>
                    <a:prstGeom prst="rect">
                      <a:avLst/>
                    </a:prstGeom>
                    <a:noFill/>
                  </pic:spPr>
                </pic:pic>
              </a:graphicData>
            </a:graphic>
          </wp:inline>
        </w:drawing>
      </w:r>
    </w:p>
    <w:p w:rsidR="00FB101F" w:rsidRDefault="00FB101F" w:rsidP="00844C20">
      <w:pPr>
        <w:pStyle w:val="Caption"/>
        <w:jc w:val="both"/>
        <w:rPr>
          <w:rFonts w:ascii="Arial" w:hAnsi="Arial" w:cs="Arial"/>
          <w:b w:val="0"/>
          <w:color w:val="auto"/>
        </w:rPr>
      </w:pPr>
      <w:bookmarkStart w:id="167" w:name="_Toc425419528"/>
      <w:r w:rsidRPr="00FB101F">
        <w:rPr>
          <w:rFonts w:ascii="Arial" w:hAnsi="Arial" w:cs="Arial"/>
          <w:b w:val="0"/>
          <w:color w:val="auto"/>
        </w:rPr>
        <w:t xml:space="preserve">Figure </w:t>
      </w:r>
      <w:r w:rsidRPr="00FB101F">
        <w:rPr>
          <w:rFonts w:ascii="Arial" w:hAnsi="Arial" w:cs="Arial"/>
          <w:b w:val="0"/>
          <w:color w:val="auto"/>
        </w:rPr>
        <w:fldChar w:fldCharType="begin"/>
      </w:r>
      <w:r w:rsidRPr="00FB101F">
        <w:rPr>
          <w:rFonts w:ascii="Arial" w:hAnsi="Arial" w:cs="Arial"/>
          <w:b w:val="0"/>
          <w:color w:val="auto"/>
        </w:rPr>
        <w:instrText xml:space="preserve"> SEQ Figure \* ARABIC </w:instrText>
      </w:r>
      <w:r w:rsidRPr="00FB101F">
        <w:rPr>
          <w:rFonts w:ascii="Arial" w:hAnsi="Arial" w:cs="Arial"/>
          <w:b w:val="0"/>
          <w:color w:val="auto"/>
        </w:rPr>
        <w:fldChar w:fldCharType="separate"/>
      </w:r>
      <w:r w:rsidR="0040369A">
        <w:rPr>
          <w:rFonts w:ascii="Arial" w:hAnsi="Arial" w:cs="Arial"/>
          <w:b w:val="0"/>
          <w:noProof/>
          <w:color w:val="auto"/>
        </w:rPr>
        <w:t>39</w:t>
      </w:r>
      <w:r w:rsidRPr="00FB101F">
        <w:rPr>
          <w:rFonts w:ascii="Arial" w:hAnsi="Arial" w:cs="Arial"/>
          <w:b w:val="0"/>
          <w:color w:val="auto"/>
        </w:rPr>
        <w:fldChar w:fldCharType="end"/>
      </w:r>
      <w:r w:rsidR="0090009D">
        <w:rPr>
          <w:rFonts w:ascii="Arial" w:hAnsi="Arial" w:cs="Arial"/>
          <w:b w:val="0"/>
          <w:color w:val="auto"/>
        </w:rPr>
        <w:t>: Box and whisker plots showing</w:t>
      </w:r>
      <w:r w:rsidRPr="00FB101F">
        <w:rPr>
          <w:rFonts w:ascii="Arial" w:hAnsi="Arial" w:cs="Arial"/>
          <w:b w:val="0"/>
          <w:color w:val="auto"/>
        </w:rPr>
        <w:t xml:space="preserve"> the effects of ibandronate, alendronate and</w:t>
      </w:r>
      <w:r w:rsidR="00AA4FD6">
        <w:rPr>
          <w:rFonts w:ascii="Arial" w:hAnsi="Arial" w:cs="Arial"/>
          <w:b w:val="0"/>
          <w:color w:val="auto"/>
        </w:rPr>
        <w:t xml:space="preserve"> risedronate </w:t>
      </w:r>
      <w:r w:rsidR="00212CF8">
        <w:rPr>
          <w:rFonts w:ascii="Arial" w:hAnsi="Arial" w:cs="Arial"/>
          <w:b w:val="0"/>
          <w:color w:val="auto"/>
        </w:rPr>
        <w:t xml:space="preserve">treatment </w:t>
      </w:r>
      <w:r w:rsidR="00AA4FD6">
        <w:rPr>
          <w:rFonts w:ascii="Arial" w:hAnsi="Arial" w:cs="Arial"/>
          <w:b w:val="0"/>
          <w:color w:val="auto"/>
        </w:rPr>
        <w:t>on PINP</w:t>
      </w:r>
      <w:r w:rsidRPr="00FB101F">
        <w:rPr>
          <w:rFonts w:ascii="Arial" w:hAnsi="Arial" w:cs="Arial"/>
          <w:b w:val="0"/>
          <w:color w:val="auto"/>
        </w:rPr>
        <w:t xml:space="preserve"> in postmenopausal women with osteoporosis over the 96 weeks study period.</w:t>
      </w:r>
      <w:r w:rsidR="00CB57EE">
        <w:rPr>
          <w:rFonts w:ascii="Arial" w:hAnsi="Arial" w:cs="Arial"/>
          <w:b w:val="0"/>
          <w:color w:val="auto"/>
        </w:rPr>
        <w:t xml:space="preserve"> The dotted lines represent the geometric mean, upper and lower part of the healthy premenopausal reference interval for PINP.</w:t>
      </w:r>
      <w:bookmarkEnd w:id="167"/>
      <w:r w:rsidR="00CB57EE">
        <w:rPr>
          <w:rFonts w:ascii="Arial" w:hAnsi="Arial" w:cs="Arial"/>
          <w:b w:val="0"/>
          <w:color w:val="auto"/>
        </w:rPr>
        <w:t xml:space="preserve"> </w:t>
      </w:r>
    </w:p>
    <w:p w:rsidR="00DB526B" w:rsidRDefault="00DB526B" w:rsidP="00900F2C">
      <w:pPr>
        <w:keepNext/>
      </w:pPr>
      <w:r>
        <w:rPr>
          <w:noProof/>
          <w:lang w:eastAsia="zh-CN"/>
        </w:rPr>
        <w:lastRenderedPageBreak/>
        <w:drawing>
          <wp:inline distT="0" distB="0" distL="0" distR="0" wp14:anchorId="63F89CCA" wp14:editId="53A3CF31">
            <wp:extent cx="5445425" cy="4026314"/>
            <wp:effectExtent l="0" t="0" r="3175" b="0"/>
            <wp:docPr id="18670" name="Picture 1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5425" cy="4026314"/>
                    </a:xfrm>
                    <a:prstGeom prst="rect">
                      <a:avLst/>
                    </a:prstGeom>
                    <a:noFill/>
                  </pic:spPr>
                </pic:pic>
              </a:graphicData>
            </a:graphic>
          </wp:inline>
        </w:drawing>
      </w:r>
    </w:p>
    <w:p w:rsidR="00685609" w:rsidRPr="00844C20" w:rsidRDefault="00DB526B" w:rsidP="00844C20">
      <w:pPr>
        <w:pStyle w:val="Caption"/>
        <w:jc w:val="both"/>
        <w:rPr>
          <w:rFonts w:ascii="Arial" w:hAnsi="Arial" w:cs="Arial"/>
          <w:b w:val="0"/>
          <w:color w:val="auto"/>
        </w:rPr>
      </w:pPr>
      <w:bookmarkStart w:id="168" w:name="_Toc425419529"/>
      <w:r w:rsidRPr="00DB526B">
        <w:rPr>
          <w:b w:val="0"/>
          <w:color w:val="auto"/>
        </w:rPr>
        <w:t xml:space="preserve">Figure </w:t>
      </w:r>
      <w:r w:rsidRPr="00DB526B">
        <w:rPr>
          <w:b w:val="0"/>
          <w:color w:val="auto"/>
        </w:rPr>
        <w:fldChar w:fldCharType="begin"/>
      </w:r>
      <w:r w:rsidRPr="00DB526B">
        <w:rPr>
          <w:b w:val="0"/>
          <w:color w:val="auto"/>
        </w:rPr>
        <w:instrText xml:space="preserve"> SEQ Figure \* ARABIC </w:instrText>
      </w:r>
      <w:r w:rsidRPr="00DB526B">
        <w:rPr>
          <w:b w:val="0"/>
          <w:color w:val="auto"/>
        </w:rPr>
        <w:fldChar w:fldCharType="separate"/>
      </w:r>
      <w:r w:rsidR="0040369A">
        <w:rPr>
          <w:b w:val="0"/>
          <w:noProof/>
          <w:color w:val="auto"/>
        </w:rPr>
        <w:t>40</w:t>
      </w:r>
      <w:r w:rsidRPr="00DB526B">
        <w:rPr>
          <w:b w:val="0"/>
          <w:color w:val="auto"/>
        </w:rPr>
        <w:fldChar w:fldCharType="end"/>
      </w:r>
      <w:r w:rsidRPr="00DB526B">
        <w:rPr>
          <w:b w:val="0"/>
          <w:color w:val="auto"/>
        </w:rPr>
        <w:t xml:space="preserve">: </w:t>
      </w:r>
      <w:r w:rsidR="0090009D">
        <w:rPr>
          <w:rFonts w:ascii="Arial" w:hAnsi="Arial" w:cs="Arial"/>
          <w:b w:val="0"/>
          <w:color w:val="auto"/>
        </w:rPr>
        <w:t xml:space="preserve">Box and whisker plots showing </w:t>
      </w:r>
      <w:r w:rsidRPr="00DB526B">
        <w:rPr>
          <w:rFonts w:ascii="Arial" w:hAnsi="Arial" w:cs="Arial"/>
          <w:b w:val="0"/>
          <w:color w:val="auto"/>
        </w:rPr>
        <w:t>the effects of ibandronate, ale</w:t>
      </w:r>
      <w:r w:rsidR="001E1DE8">
        <w:rPr>
          <w:rFonts w:ascii="Arial" w:hAnsi="Arial" w:cs="Arial"/>
          <w:b w:val="0"/>
          <w:color w:val="auto"/>
        </w:rPr>
        <w:t>ndronate and risedronate on bone ALP</w:t>
      </w:r>
      <w:r w:rsidRPr="00DB526B">
        <w:rPr>
          <w:rFonts w:ascii="Arial" w:hAnsi="Arial" w:cs="Arial"/>
          <w:b w:val="0"/>
          <w:color w:val="auto"/>
        </w:rPr>
        <w:t xml:space="preserve"> in postmenopausal women with osteoporosis over the 96 weeks study period.</w:t>
      </w:r>
      <w:r w:rsidR="00CB57EE">
        <w:rPr>
          <w:rFonts w:ascii="Arial" w:hAnsi="Arial" w:cs="Arial"/>
          <w:b w:val="0"/>
          <w:color w:val="auto"/>
        </w:rPr>
        <w:t xml:space="preserve"> The dotted lines represent the geometric mean, upper and lower part of the healthy premenopausal reference interval for bone ALP.</w:t>
      </w:r>
      <w:bookmarkEnd w:id="168"/>
      <w:r w:rsidR="00CB57EE">
        <w:rPr>
          <w:rFonts w:ascii="Arial" w:hAnsi="Arial" w:cs="Arial"/>
          <w:b w:val="0"/>
          <w:color w:val="auto"/>
        </w:rPr>
        <w:t xml:space="preserve"> </w:t>
      </w:r>
    </w:p>
    <w:p w:rsidR="00AA4FD6" w:rsidRDefault="00AA4FD6" w:rsidP="00900F2C">
      <w:pPr>
        <w:pStyle w:val="Caption"/>
        <w:keepNext/>
      </w:pPr>
      <w:r>
        <w:rPr>
          <w:noProof/>
          <w:lang w:eastAsia="zh-CN"/>
        </w:rPr>
        <w:drawing>
          <wp:inline distT="0" distB="0" distL="0" distR="0" wp14:anchorId="4E507486" wp14:editId="7F931DD4">
            <wp:extent cx="5334000" cy="3841194"/>
            <wp:effectExtent l="0" t="0" r="0" b="6985"/>
            <wp:docPr id="18667" name="Picture 1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96870" cy="3886469"/>
                    </a:xfrm>
                    <a:prstGeom prst="rect">
                      <a:avLst/>
                    </a:prstGeom>
                    <a:noFill/>
                  </pic:spPr>
                </pic:pic>
              </a:graphicData>
            </a:graphic>
          </wp:inline>
        </w:drawing>
      </w:r>
    </w:p>
    <w:p w:rsidR="00001F56" w:rsidRDefault="00AA4FD6" w:rsidP="00844C20">
      <w:pPr>
        <w:pStyle w:val="Caption"/>
        <w:jc w:val="both"/>
        <w:rPr>
          <w:rFonts w:ascii="Arial" w:hAnsi="Arial" w:cs="Arial"/>
          <w:b w:val="0"/>
          <w:color w:val="auto"/>
        </w:rPr>
      </w:pPr>
      <w:bookmarkStart w:id="169" w:name="_Toc425419530"/>
      <w:r w:rsidRPr="00001F56">
        <w:rPr>
          <w:rFonts w:ascii="Arial" w:hAnsi="Arial" w:cs="Arial"/>
          <w:b w:val="0"/>
          <w:color w:val="auto"/>
        </w:rPr>
        <w:t xml:space="preserve">Figure </w:t>
      </w:r>
      <w:r w:rsidRPr="00001F56">
        <w:rPr>
          <w:rFonts w:ascii="Arial" w:hAnsi="Arial" w:cs="Arial"/>
          <w:b w:val="0"/>
          <w:color w:val="auto"/>
        </w:rPr>
        <w:fldChar w:fldCharType="begin"/>
      </w:r>
      <w:r w:rsidRPr="00001F56">
        <w:rPr>
          <w:rFonts w:ascii="Arial" w:hAnsi="Arial" w:cs="Arial"/>
          <w:b w:val="0"/>
          <w:color w:val="auto"/>
        </w:rPr>
        <w:instrText xml:space="preserve"> SEQ Figure \* ARABIC </w:instrText>
      </w:r>
      <w:r w:rsidRPr="00001F56">
        <w:rPr>
          <w:rFonts w:ascii="Arial" w:hAnsi="Arial" w:cs="Arial"/>
          <w:b w:val="0"/>
          <w:color w:val="auto"/>
        </w:rPr>
        <w:fldChar w:fldCharType="separate"/>
      </w:r>
      <w:r w:rsidR="0040369A">
        <w:rPr>
          <w:rFonts w:ascii="Arial" w:hAnsi="Arial" w:cs="Arial"/>
          <w:b w:val="0"/>
          <w:noProof/>
          <w:color w:val="auto"/>
        </w:rPr>
        <w:t>41</w:t>
      </w:r>
      <w:r w:rsidRPr="00001F56">
        <w:rPr>
          <w:rFonts w:ascii="Arial" w:hAnsi="Arial" w:cs="Arial"/>
          <w:b w:val="0"/>
          <w:color w:val="auto"/>
        </w:rPr>
        <w:fldChar w:fldCharType="end"/>
      </w:r>
      <w:r w:rsidR="0090009D">
        <w:rPr>
          <w:rFonts w:ascii="Arial" w:hAnsi="Arial" w:cs="Arial"/>
          <w:b w:val="0"/>
          <w:color w:val="auto"/>
        </w:rPr>
        <w:t xml:space="preserve">: Box and whisker plots showing </w:t>
      </w:r>
      <w:r w:rsidR="00001F56" w:rsidRPr="00001F56">
        <w:rPr>
          <w:rFonts w:ascii="Arial" w:hAnsi="Arial" w:cs="Arial"/>
          <w:b w:val="0"/>
          <w:color w:val="auto"/>
        </w:rPr>
        <w:t>the effects of ibandronate, ale</w:t>
      </w:r>
      <w:r w:rsidR="001E1DE8">
        <w:rPr>
          <w:rFonts w:ascii="Arial" w:hAnsi="Arial" w:cs="Arial"/>
          <w:b w:val="0"/>
          <w:color w:val="auto"/>
        </w:rPr>
        <w:t>ndronate and risedronate on osteocalcin</w:t>
      </w:r>
      <w:r w:rsidR="00001F56" w:rsidRPr="00001F56">
        <w:rPr>
          <w:rFonts w:ascii="Arial" w:hAnsi="Arial" w:cs="Arial"/>
          <w:b w:val="0"/>
          <w:color w:val="auto"/>
        </w:rPr>
        <w:t xml:space="preserve"> in postmenopausal women with osteoporosis over the 96 weeks study period.</w:t>
      </w:r>
      <w:r w:rsidR="00CB57EE">
        <w:rPr>
          <w:rFonts w:ascii="Arial" w:hAnsi="Arial" w:cs="Arial"/>
          <w:b w:val="0"/>
          <w:color w:val="auto"/>
        </w:rPr>
        <w:t xml:space="preserve"> The dotted lines represent the geometric mean, upper and lower part of the healthy premenopausal reference interval for osteocalcin.</w:t>
      </w:r>
      <w:bookmarkEnd w:id="169"/>
      <w:r w:rsidR="00CB57EE">
        <w:rPr>
          <w:rFonts w:ascii="Arial" w:hAnsi="Arial" w:cs="Arial"/>
          <w:b w:val="0"/>
          <w:color w:val="auto"/>
        </w:rPr>
        <w:t xml:space="preserve"> </w:t>
      </w:r>
    </w:p>
    <w:p w:rsidR="00A53BF6" w:rsidRPr="00A53BF6" w:rsidRDefault="00A53BF6" w:rsidP="00900F2C">
      <w:r>
        <w:rPr>
          <w:noProof/>
          <w:lang w:eastAsia="zh-CN"/>
        </w:rPr>
        <w:lastRenderedPageBreak/>
        <w:drawing>
          <wp:inline distT="0" distB="0" distL="0" distR="0" wp14:anchorId="49EC5676" wp14:editId="0ABDBDDE">
            <wp:extent cx="5581857" cy="2085922"/>
            <wp:effectExtent l="0" t="0" r="0" b="0"/>
            <wp:docPr id="18662" name="Picture 1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5682" cy="2094825"/>
                    </a:xfrm>
                    <a:prstGeom prst="rect">
                      <a:avLst/>
                    </a:prstGeom>
                    <a:noFill/>
                  </pic:spPr>
                </pic:pic>
              </a:graphicData>
            </a:graphic>
          </wp:inline>
        </w:drawing>
      </w:r>
    </w:p>
    <w:p w:rsidR="0090009D" w:rsidRDefault="0090009D" w:rsidP="00900F2C">
      <w:pPr>
        <w:keepNext/>
      </w:pPr>
      <w:r>
        <w:rPr>
          <w:noProof/>
          <w:lang w:eastAsia="zh-CN"/>
        </w:rPr>
        <w:drawing>
          <wp:inline distT="0" distB="0" distL="0" distR="0" wp14:anchorId="2C29AEB0" wp14:editId="561F62E3">
            <wp:extent cx="5669840" cy="4367174"/>
            <wp:effectExtent l="0" t="0" r="7620" b="0"/>
            <wp:docPr id="18607" name="Picture 1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83337" cy="4377570"/>
                    </a:xfrm>
                    <a:prstGeom prst="rect">
                      <a:avLst/>
                    </a:prstGeom>
                    <a:noFill/>
                  </pic:spPr>
                </pic:pic>
              </a:graphicData>
            </a:graphic>
          </wp:inline>
        </w:drawing>
      </w:r>
    </w:p>
    <w:p w:rsidR="0090009D" w:rsidRDefault="0090009D" w:rsidP="00844C20">
      <w:pPr>
        <w:pStyle w:val="Caption"/>
        <w:jc w:val="both"/>
        <w:rPr>
          <w:rFonts w:ascii="Arial" w:hAnsi="Arial" w:cs="Arial"/>
          <w:b w:val="0"/>
          <w:color w:val="auto"/>
        </w:rPr>
      </w:pPr>
      <w:bookmarkStart w:id="170" w:name="_Toc425419531"/>
      <w:r w:rsidRPr="00691115">
        <w:rPr>
          <w:rFonts w:ascii="Arial" w:hAnsi="Arial" w:cs="Arial"/>
          <w:b w:val="0"/>
          <w:color w:val="000000" w:themeColor="text1"/>
        </w:rPr>
        <w:t xml:space="preserve">Figure </w:t>
      </w:r>
      <w:r w:rsidR="00A30AE0" w:rsidRPr="00691115">
        <w:rPr>
          <w:rFonts w:ascii="Arial" w:hAnsi="Arial" w:cs="Arial"/>
          <w:b w:val="0"/>
          <w:color w:val="000000" w:themeColor="text1"/>
        </w:rPr>
        <w:fldChar w:fldCharType="begin"/>
      </w:r>
      <w:r w:rsidR="00A30AE0" w:rsidRPr="00691115">
        <w:rPr>
          <w:rFonts w:ascii="Arial" w:hAnsi="Arial" w:cs="Arial"/>
          <w:b w:val="0"/>
          <w:color w:val="000000" w:themeColor="text1"/>
        </w:rPr>
        <w:instrText xml:space="preserve"> SEQ Figure \* ARABIC </w:instrText>
      </w:r>
      <w:r w:rsidR="00A30AE0" w:rsidRPr="00691115">
        <w:rPr>
          <w:rFonts w:ascii="Arial" w:hAnsi="Arial" w:cs="Arial"/>
          <w:b w:val="0"/>
          <w:color w:val="000000" w:themeColor="text1"/>
        </w:rPr>
        <w:fldChar w:fldCharType="separate"/>
      </w:r>
      <w:r w:rsidR="0040369A">
        <w:rPr>
          <w:rFonts w:ascii="Arial" w:hAnsi="Arial" w:cs="Arial"/>
          <w:b w:val="0"/>
          <w:noProof/>
          <w:color w:val="000000" w:themeColor="text1"/>
        </w:rPr>
        <w:t>42</w:t>
      </w:r>
      <w:r w:rsidR="00A30AE0" w:rsidRPr="00691115">
        <w:rPr>
          <w:rFonts w:ascii="Arial" w:hAnsi="Arial" w:cs="Arial"/>
          <w:b w:val="0"/>
          <w:noProof/>
          <w:color w:val="000000" w:themeColor="text1"/>
        </w:rPr>
        <w:fldChar w:fldCharType="end"/>
      </w:r>
      <w:r w:rsidRPr="00691115">
        <w:rPr>
          <w:rFonts w:ascii="Arial" w:hAnsi="Arial" w:cs="Arial"/>
          <w:b w:val="0"/>
          <w:color w:val="000000" w:themeColor="text1"/>
        </w:rPr>
        <w:t>: Box and whisker plots showing the effects of raloxifene treatment on CTX, NTX, PINP, bone ALP and osteocalcin in postmenopausal women with osteopenia</w:t>
      </w:r>
      <w:r w:rsidR="00212CF8" w:rsidRPr="00691115">
        <w:rPr>
          <w:rFonts w:ascii="Arial" w:hAnsi="Arial" w:cs="Arial"/>
          <w:b w:val="0"/>
          <w:color w:val="000000" w:themeColor="text1"/>
        </w:rPr>
        <w:t xml:space="preserve"> over the 48 week study period</w:t>
      </w:r>
      <w:r w:rsidRPr="00691115">
        <w:rPr>
          <w:rFonts w:ascii="Arial" w:hAnsi="Arial" w:cs="Arial"/>
          <w:b w:val="0"/>
          <w:color w:val="000000" w:themeColor="text1"/>
        </w:rPr>
        <w:t>. The dotted line</w:t>
      </w:r>
      <w:r w:rsidR="00CB57EE" w:rsidRPr="00691115">
        <w:rPr>
          <w:rFonts w:ascii="Arial" w:hAnsi="Arial" w:cs="Arial"/>
          <w:b w:val="0"/>
          <w:color w:val="000000" w:themeColor="text1"/>
        </w:rPr>
        <w:t xml:space="preserve"> </w:t>
      </w:r>
      <w:r w:rsidR="00CB57EE">
        <w:rPr>
          <w:rFonts w:ascii="Arial" w:hAnsi="Arial" w:cs="Arial"/>
          <w:b w:val="0"/>
          <w:color w:val="auto"/>
        </w:rPr>
        <w:t>represents the geometric means, upper and lower part of the healthy premenopausal reference intervals for each of the BTMs.</w:t>
      </w:r>
      <w:bookmarkEnd w:id="170"/>
    </w:p>
    <w:p w:rsidR="00685609" w:rsidRDefault="00685609" w:rsidP="00685609"/>
    <w:p w:rsidR="00685609" w:rsidRDefault="00685609" w:rsidP="00685609"/>
    <w:p w:rsidR="00685609" w:rsidRDefault="00685609" w:rsidP="00685609"/>
    <w:p w:rsidR="00685609" w:rsidRDefault="00685609" w:rsidP="00685609"/>
    <w:p w:rsidR="00685609" w:rsidRPr="00685609" w:rsidRDefault="00685609" w:rsidP="00685609"/>
    <w:p w:rsidR="00CA597B" w:rsidRPr="00CA597B" w:rsidRDefault="000B2537" w:rsidP="00844C20">
      <w:pPr>
        <w:pStyle w:val="Caption"/>
        <w:keepNext/>
        <w:jc w:val="both"/>
        <w:rPr>
          <w:rFonts w:ascii="Arial" w:hAnsi="Arial" w:cs="Arial"/>
          <w:b w:val="0"/>
          <w:color w:val="auto"/>
        </w:rPr>
      </w:pPr>
      <w:bookmarkStart w:id="171" w:name="_Toc424043697"/>
      <w:r w:rsidRPr="00CA597B">
        <w:rPr>
          <w:rFonts w:ascii="Arial" w:hAnsi="Arial" w:cs="Arial"/>
          <w:b w:val="0"/>
          <w:color w:val="auto"/>
        </w:rPr>
        <w:lastRenderedPageBreak/>
        <w:t xml:space="preserve">Table </w:t>
      </w:r>
      <w:r w:rsidRPr="00CA597B">
        <w:rPr>
          <w:rFonts w:ascii="Arial" w:hAnsi="Arial" w:cs="Arial"/>
          <w:b w:val="0"/>
          <w:color w:val="auto"/>
        </w:rPr>
        <w:fldChar w:fldCharType="begin"/>
      </w:r>
      <w:r w:rsidRPr="00CA597B">
        <w:rPr>
          <w:rFonts w:ascii="Arial" w:hAnsi="Arial" w:cs="Arial"/>
          <w:b w:val="0"/>
          <w:color w:val="auto"/>
        </w:rPr>
        <w:instrText xml:space="preserve"> SEQ Table \* ARABIC </w:instrText>
      </w:r>
      <w:r w:rsidRPr="00CA597B">
        <w:rPr>
          <w:rFonts w:ascii="Arial" w:hAnsi="Arial" w:cs="Arial"/>
          <w:b w:val="0"/>
          <w:color w:val="auto"/>
        </w:rPr>
        <w:fldChar w:fldCharType="separate"/>
      </w:r>
      <w:r w:rsidR="00DD116A">
        <w:rPr>
          <w:rFonts w:ascii="Arial" w:hAnsi="Arial" w:cs="Arial"/>
          <w:b w:val="0"/>
          <w:noProof/>
          <w:color w:val="auto"/>
        </w:rPr>
        <w:t>23</w:t>
      </w:r>
      <w:r w:rsidRPr="00CA597B">
        <w:rPr>
          <w:rFonts w:ascii="Arial" w:hAnsi="Arial" w:cs="Arial"/>
          <w:b w:val="0"/>
          <w:color w:val="auto"/>
        </w:rPr>
        <w:fldChar w:fldCharType="end"/>
      </w:r>
      <w:r w:rsidRPr="00CA597B">
        <w:rPr>
          <w:rFonts w:ascii="Arial" w:hAnsi="Arial" w:cs="Arial"/>
          <w:b w:val="0"/>
          <w:color w:val="auto"/>
        </w:rPr>
        <w:t xml:space="preserve">: </w:t>
      </w:r>
      <w:r w:rsidR="006045C3">
        <w:rPr>
          <w:rFonts w:ascii="Arial" w:hAnsi="Arial" w:cs="Arial"/>
          <w:b w:val="0"/>
          <w:color w:val="auto"/>
        </w:rPr>
        <w:t>Mean p</w:t>
      </w:r>
      <w:r w:rsidR="00CA597B" w:rsidRPr="00CA597B">
        <w:rPr>
          <w:rFonts w:ascii="Arial" w:hAnsi="Arial" w:cs="Arial"/>
          <w:b w:val="0"/>
          <w:color w:val="auto"/>
        </w:rPr>
        <w:t xml:space="preserve">ercentage change </w:t>
      </w:r>
      <w:r w:rsidR="006045C3">
        <w:rPr>
          <w:rFonts w:ascii="Arial" w:hAnsi="Arial" w:cs="Arial"/>
          <w:b w:val="0"/>
          <w:color w:val="auto"/>
        </w:rPr>
        <w:t>and (standard deviations) from baseline for</w:t>
      </w:r>
      <w:r w:rsidR="00CA597B" w:rsidRPr="00CA597B">
        <w:rPr>
          <w:rFonts w:ascii="Arial" w:hAnsi="Arial" w:cs="Arial"/>
          <w:b w:val="0"/>
          <w:color w:val="auto"/>
        </w:rPr>
        <w:t xml:space="preserve"> each BTM throughout the treatment periods in postmenopausal women receiving antiresorptive treatments.</w:t>
      </w:r>
      <w:bookmarkEnd w:id="171"/>
    </w:p>
    <w:tbl>
      <w:tblPr>
        <w:tblStyle w:val="TableGrid3"/>
        <w:tblW w:w="0" w:type="auto"/>
        <w:jc w:val="center"/>
        <w:tblLook w:val="04A0" w:firstRow="1" w:lastRow="0" w:firstColumn="1" w:lastColumn="0" w:noHBand="0" w:noVBand="1"/>
      </w:tblPr>
      <w:tblGrid>
        <w:gridCol w:w="1321"/>
        <w:gridCol w:w="1002"/>
        <w:gridCol w:w="1003"/>
        <w:gridCol w:w="1002"/>
        <w:gridCol w:w="1003"/>
        <w:gridCol w:w="1035"/>
        <w:gridCol w:w="1003"/>
        <w:gridCol w:w="1003"/>
      </w:tblGrid>
      <w:tr w:rsidR="00B8202F" w:rsidRPr="00F95D84" w:rsidTr="00B8202F">
        <w:trPr>
          <w:trHeight w:val="20"/>
          <w:jc w:val="center"/>
        </w:trPr>
        <w:tc>
          <w:tcPr>
            <w:tcW w:w="1321" w:type="dxa"/>
          </w:tcPr>
          <w:p w:rsidR="00B8202F" w:rsidRDefault="00B8202F" w:rsidP="00900F2C">
            <w:pPr>
              <w:rPr>
                <w:rFonts w:ascii="Arial" w:eastAsia="Calibri" w:hAnsi="Arial" w:cs="Arial"/>
                <w:sz w:val="16"/>
                <w:szCs w:val="16"/>
              </w:rPr>
            </w:pPr>
          </w:p>
        </w:tc>
        <w:tc>
          <w:tcPr>
            <w:tcW w:w="7018" w:type="dxa"/>
            <w:gridSpan w:val="7"/>
          </w:tcPr>
          <w:p w:rsidR="00B8202F" w:rsidRPr="00634B5B" w:rsidRDefault="00B8202F" w:rsidP="00685609">
            <w:pPr>
              <w:jc w:val="center"/>
              <w:rPr>
                <w:rFonts w:ascii="Arial" w:eastAsia="Calibri" w:hAnsi="Arial" w:cs="Arial"/>
                <w:b/>
                <w:sz w:val="16"/>
                <w:szCs w:val="16"/>
              </w:rPr>
            </w:pPr>
            <w:r w:rsidRPr="00634B5B">
              <w:rPr>
                <w:rFonts w:ascii="Arial" w:eastAsia="Calibri" w:hAnsi="Arial" w:cs="Arial"/>
                <w:b/>
                <w:sz w:val="16"/>
                <w:szCs w:val="16"/>
              </w:rPr>
              <w:t>Treatment: Ibandronate</w:t>
            </w:r>
            <w:r>
              <w:rPr>
                <w:rFonts w:ascii="Arial" w:eastAsia="Calibri" w:hAnsi="Arial" w:cs="Arial"/>
                <w:b/>
                <w:sz w:val="16"/>
                <w:szCs w:val="16"/>
              </w:rPr>
              <w:t xml:space="preserve"> (150mg/month</w:t>
            </w:r>
            <w:r w:rsidRPr="00634B5B">
              <w:rPr>
                <w:rFonts w:ascii="Arial" w:eastAsia="Calibri" w:hAnsi="Arial" w:cs="Arial"/>
                <w:b/>
                <w:sz w:val="16"/>
                <w:szCs w:val="16"/>
              </w:rPr>
              <w:t xml:space="preserve">) and N = </w:t>
            </w:r>
            <w:r>
              <w:rPr>
                <w:rFonts w:ascii="Arial" w:eastAsia="Calibri" w:hAnsi="Arial" w:cs="Arial"/>
                <w:b/>
                <w:sz w:val="16"/>
                <w:szCs w:val="16"/>
              </w:rPr>
              <w:t>57</w:t>
            </w:r>
          </w:p>
        </w:tc>
      </w:tr>
      <w:tr w:rsidR="00B8202F" w:rsidRPr="00634B5B" w:rsidTr="00B8202F">
        <w:trPr>
          <w:trHeight w:val="20"/>
          <w:jc w:val="center"/>
        </w:trPr>
        <w:tc>
          <w:tcPr>
            <w:tcW w:w="1321" w:type="dxa"/>
          </w:tcPr>
          <w:p w:rsidR="00B8202F" w:rsidRPr="00634B5B" w:rsidRDefault="000E6B92" w:rsidP="00900F2C">
            <w:pPr>
              <w:rPr>
                <w:rFonts w:ascii="Arial" w:eastAsia="Calibri" w:hAnsi="Arial" w:cs="Arial"/>
                <w:b/>
                <w:sz w:val="16"/>
                <w:szCs w:val="16"/>
              </w:rPr>
            </w:pPr>
            <w:r>
              <w:rPr>
                <w:rFonts w:ascii="Arial" w:eastAsia="Calibri" w:hAnsi="Arial" w:cs="Arial"/>
                <w:b/>
                <w:sz w:val="16"/>
                <w:szCs w:val="16"/>
              </w:rPr>
              <w:t>BTM</w:t>
            </w:r>
          </w:p>
        </w:tc>
        <w:tc>
          <w:tcPr>
            <w:tcW w:w="1002"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Baseline2</w:t>
            </w:r>
          </w:p>
        </w:tc>
        <w:tc>
          <w:tcPr>
            <w:tcW w:w="1003"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1</w:t>
            </w:r>
          </w:p>
        </w:tc>
        <w:tc>
          <w:tcPr>
            <w:tcW w:w="1002"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2</w:t>
            </w:r>
          </w:p>
        </w:tc>
        <w:tc>
          <w:tcPr>
            <w:tcW w:w="1003"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4</w:t>
            </w:r>
          </w:p>
        </w:tc>
        <w:tc>
          <w:tcPr>
            <w:tcW w:w="1002" w:type="dxa"/>
          </w:tcPr>
          <w:p w:rsidR="00B8202F" w:rsidRPr="00634B5B" w:rsidRDefault="000E6B92" w:rsidP="00900F2C">
            <w:pPr>
              <w:rPr>
                <w:rFonts w:ascii="Arial" w:eastAsia="Calibri" w:hAnsi="Arial" w:cs="Arial"/>
                <w:b/>
                <w:sz w:val="16"/>
                <w:szCs w:val="16"/>
                <w:vertAlign w:val="subscript"/>
              </w:rPr>
            </w:pPr>
            <w:r>
              <w:rPr>
                <w:rFonts w:ascii="Arial" w:eastAsia="Calibri" w:hAnsi="Arial" w:cs="Arial"/>
                <w:b/>
                <w:sz w:val="16"/>
                <w:szCs w:val="16"/>
              </w:rPr>
              <w:t>Week</w:t>
            </w:r>
            <w:r w:rsidR="00B8202F" w:rsidRPr="00634B5B">
              <w:rPr>
                <w:rFonts w:ascii="Arial" w:eastAsia="Calibri" w:hAnsi="Arial" w:cs="Arial"/>
                <w:b/>
                <w:sz w:val="16"/>
                <w:szCs w:val="16"/>
              </w:rPr>
              <w:t>12</w:t>
            </w:r>
            <w:r w:rsidR="00B8202F">
              <w:rPr>
                <w:rFonts w:ascii="Arial" w:eastAsia="Calibri" w:hAnsi="Arial" w:cs="Arial"/>
                <w:b/>
                <w:sz w:val="16"/>
                <w:szCs w:val="16"/>
              </w:rPr>
              <w:t>/13</w:t>
            </w:r>
          </w:p>
        </w:tc>
        <w:tc>
          <w:tcPr>
            <w:tcW w:w="1003"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 xml:space="preserve">Week 48 </w:t>
            </w:r>
          </w:p>
        </w:tc>
        <w:tc>
          <w:tcPr>
            <w:tcW w:w="1003"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Week 96</w:t>
            </w: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1002"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-18</w:t>
            </w:r>
            <w:r w:rsidR="00B754DA">
              <w:rPr>
                <w:rFonts w:ascii="Arial" w:eastAsia="Calibri" w:hAnsi="Arial" w:cs="Arial"/>
                <w:sz w:val="16"/>
                <w:szCs w:val="16"/>
              </w:rPr>
              <w:t>(30.1</w:t>
            </w:r>
            <w:r w:rsidR="00324A07">
              <w:rPr>
                <w:rFonts w:ascii="Arial" w:eastAsia="Calibri" w:hAnsi="Arial" w:cs="Arial"/>
                <w:sz w:val="16"/>
                <w:szCs w:val="16"/>
              </w:rPr>
              <w:t>)</w:t>
            </w:r>
          </w:p>
        </w:tc>
        <w:tc>
          <w:tcPr>
            <w:tcW w:w="1003"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-80</w:t>
            </w:r>
            <w:r w:rsidR="00B754DA">
              <w:rPr>
                <w:rFonts w:ascii="Arial" w:eastAsia="Calibri" w:hAnsi="Arial" w:cs="Arial"/>
                <w:sz w:val="16"/>
                <w:szCs w:val="16"/>
              </w:rPr>
              <w:t>(13.3</w:t>
            </w:r>
            <w:r w:rsidR="004310C3">
              <w:rPr>
                <w:rFonts w:ascii="Arial" w:eastAsia="Calibri" w:hAnsi="Arial" w:cs="Arial"/>
                <w:sz w:val="16"/>
                <w:szCs w:val="16"/>
              </w:rPr>
              <w:t>)</w:t>
            </w:r>
          </w:p>
        </w:tc>
        <w:tc>
          <w:tcPr>
            <w:tcW w:w="1002"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-78</w:t>
            </w:r>
            <w:r w:rsidR="00324A07">
              <w:rPr>
                <w:rFonts w:ascii="Arial" w:eastAsia="Calibri" w:hAnsi="Arial" w:cs="Arial"/>
                <w:sz w:val="16"/>
                <w:szCs w:val="16"/>
              </w:rPr>
              <w:t>(</w:t>
            </w:r>
            <w:r w:rsidR="00B754DA">
              <w:rPr>
                <w:rFonts w:ascii="Arial" w:eastAsia="Calibri" w:hAnsi="Arial" w:cs="Arial"/>
                <w:sz w:val="16"/>
                <w:szCs w:val="16"/>
              </w:rPr>
              <w:t>16.5</w:t>
            </w:r>
            <w:r w:rsidR="00E439F7">
              <w:rPr>
                <w:rFonts w:ascii="Arial" w:eastAsia="Calibri" w:hAnsi="Arial" w:cs="Arial"/>
                <w:sz w:val="16"/>
                <w:szCs w:val="16"/>
              </w:rPr>
              <w:t>)</w:t>
            </w:r>
          </w:p>
        </w:tc>
        <w:tc>
          <w:tcPr>
            <w:tcW w:w="1003"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-66</w:t>
            </w:r>
            <w:r w:rsidR="00B754DA">
              <w:rPr>
                <w:rFonts w:ascii="Arial" w:eastAsia="Calibri" w:hAnsi="Arial" w:cs="Arial"/>
                <w:sz w:val="16"/>
                <w:szCs w:val="16"/>
              </w:rPr>
              <w:t>(18.3</w:t>
            </w:r>
            <w:r w:rsidR="00E439F7">
              <w:rPr>
                <w:rFonts w:ascii="Arial" w:eastAsia="Calibri" w:hAnsi="Arial" w:cs="Arial"/>
                <w:sz w:val="16"/>
                <w:szCs w:val="16"/>
              </w:rPr>
              <w:t>)</w:t>
            </w:r>
          </w:p>
        </w:tc>
        <w:tc>
          <w:tcPr>
            <w:tcW w:w="1002"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-73</w:t>
            </w:r>
            <w:r w:rsidR="00B754DA">
              <w:rPr>
                <w:rFonts w:ascii="Arial" w:eastAsia="Calibri" w:hAnsi="Arial" w:cs="Arial"/>
                <w:sz w:val="16"/>
                <w:szCs w:val="16"/>
              </w:rPr>
              <w:t>(15.5</w:t>
            </w:r>
            <w:r w:rsidR="00E439F7">
              <w:rPr>
                <w:rFonts w:ascii="Arial" w:eastAsia="Calibri" w:hAnsi="Arial" w:cs="Arial"/>
                <w:sz w:val="16"/>
                <w:szCs w:val="16"/>
              </w:rPr>
              <w:t>)</w:t>
            </w:r>
          </w:p>
        </w:tc>
        <w:tc>
          <w:tcPr>
            <w:tcW w:w="1003"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-78</w:t>
            </w:r>
            <w:r w:rsidR="00B754DA">
              <w:rPr>
                <w:rFonts w:ascii="Arial" w:eastAsia="Calibri" w:hAnsi="Arial" w:cs="Arial"/>
                <w:sz w:val="16"/>
                <w:szCs w:val="16"/>
              </w:rPr>
              <w:t>(10.3</w:t>
            </w:r>
            <w:r w:rsidR="00E439F7">
              <w:rPr>
                <w:rFonts w:ascii="Arial" w:eastAsia="Calibri" w:hAnsi="Arial" w:cs="Arial"/>
                <w:sz w:val="16"/>
                <w:szCs w:val="16"/>
              </w:rPr>
              <w:t>)</w:t>
            </w:r>
          </w:p>
        </w:tc>
        <w:tc>
          <w:tcPr>
            <w:tcW w:w="1003"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-77</w:t>
            </w:r>
            <w:r w:rsidR="00B754DA">
              <w:rPr>
                <w:rFonts w:ascii="Arial" w:eastAsia="Calibri" w:hAnsi="Arial" w:cs="Arial"/>
                <w:sz w:val="16"/>
                <w:szCs w:val="16"/>
              </w:rPr>
              <w:t>(10.5</w:t>
            </w:r>
            <w:r w:rsidR="00E439F7">
              <w:rPr>
                <w:rFonts w:ascii="Arial" w:eastAsia="Calibri" w:hAnsi="Arial" w:cs="Arial"/>
                <w:sz w:val="16"/>
                <w:szCs w:val="16"/>
              </w:rPr>
              <w:t>)</w:t>
            </w:r>
          </w:p>
        </w:tc>
      </w:tr>
      <w:tr w:rsidR="00B8202F" w:rsidRPr="00F95D84" w:rsidTr="00B8202F">
        <w:trPr>
          <w:trHeight w:val="565"/>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Urine NTX, nmol BCE/mmol Cr</w:t>
            </w:r>
          </w:p>
        </w:tc>
        <w:tc>
          <w:tcPr>
            <w:tcW w:w="1002" w:type="dxa"/>
            <w:vAlign w:val="center"/>
          </w:tcPr>
          <w:p w:rsidR="00B8202F" w:rsidRPr="000E6B92" w:rsidRDefault="00FB278A" w:rsidP="00900F2C">
            <w:pPr>
              <w:rPr>
                <w:rFonts w:ascii="Arial" w:hAnsi="Arial" w:cs="Arial"/>
                <w:sz w:val="16"/>
                <w:szCs w:val="16"/>
              </w:rPr>
            </w:pPr>
            <w:r>
              <w:rPr>
                <w:rFonts w:ascii="Arial" w:hAnsi="Arial" w:cs="Arial"/>
                <w:sz w:val="16"/>
                <w:szCs w:val="16"/>
              </w:rPr>
              <w:t>-30</w:t>
            </w:r>
            <w:r w:rsidR="006045C3" w:rsidRPr="000E6B92">
              <w:rPr>
                <w:rFonts w:ascii="Arial" w:hAnsi="Arial" w:cs="Arial"/>
                <w:sz w:val="16"/>
                <w:szCs w:val="16"/>
              </w:rPr>
              <w:t>(52.2)</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-73</w:t>
            </w:r>
            <w:r w:rsidR="006045C3" w:rsidRPr="000E6B92">
              <w:rPr>
                <w:rFonts w:ascii="Arial" w:hAnsi="Arial" w:cs="Arial"/>
                <w:sz w:val="16"/>
                <w:szCs w:val="16"/>
              </w:rPr>
              <w:t>(59.3)</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-69</w:t>
            </w:r>
            <w:r w:rsidR="006045C3" w:rsidRPr="000E6B92">
              <w:rPr>
                <w:rFonts w:ascii="Arial" w:hAnsi="Arial" w:cs="Arial"/>
                <w:sz w:val="16"/>
                <w:szCs w:val="16"/>
              </w:rPr>
              <w:t>(75.3)</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-66</w:t>
            </w:r>
            <w:r w:rsidR="006045C3" w:rsidRPr="000E6B92">
              <w:rPr>
                <w:rFonts w:ascii="Arial" w:hAnsi="Arial" w:cs="Arial"/>
                <w:sz w:val="16"/>
                <w:szCs w:val="16"/>
              </w:rPr>
              <w:t>(53.7)</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-66</w:t>
            </w:r>
            <w:r w:rsidR="006045C3" w:rsidRPr="000E6B92">
              <w:rPr>
                <w:rFonts w:ascii="Arial" w:hAnsi="Arial" w:cs="Arial"/>
                <w:sz w:val="16"/>
                <w:szCs w:val="16"/>
              </w:rPr>
              <w:t>(60.1)</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-74</w:t>
            </w:r>
            <w:r w:rsidR="006045C3" w:rsidRPr="000E6B92">
              <w:rPr>
                <w:rFonts w:ascii="Arial" w:hAnsi="Arial" w:cs="Arial"/>
                <w:sz w:val="16"/>
                <w:szCs w:val="16"/>
              </w:rPr>
              <w:t>(76.4)</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-69</w:t>
            </w:r>
            <w:r w:rsidR="006045C3" w:rsidRPr="000E6B92">
              <w:rPr>
                <w:rFonts w:ascii="Arial" w:hAnsi="Arial" w:cs="Arial"/>
                <w:sz w:val="16"/>
                <w:szCs w:val="16"/>
              </w:rPr>
              <w:t>(35.4)</w:t>
            </w:r>
          </w:p>
        </w:tc>
      </w:tr>
      <w:tr w:rsidR="00B8202F" w:rsidRPr="006045C3" w:rsidTr="00B8202F">
        <w:trPr>
          <w:trHeight w:val="567"/>
          <w:jc w:val="center"/>
        </w:trPr>
        <w:tc>
          <w:tcPr>
            <w:tcW w:w="1321" w:type="dxa"/>
            <w:vAlign w:val="center"/>
          </w:tcPr>
          <w:p w:rsidR="00B8202F" w:rsidRPr="006045C3" w:rsidRDefault="00B8202F" w:rsidP="00900F2C">
            <w:pPr>
              <w:rPr>
                <w:rFonts w:ascii="Arial" w:eastAsia="Calibri" w:hAnsi="Arial" w:cs="Arial"/>
                <w:sz w:val="16"/>
                <w:szCs w:val="16"/>
              </w:rPr>
            </w:pPr>
            <w:r w:rsidRPr="006045C3">
              <w:rPr>
                <w:rFonts w:ascii="Arial" w:eastAsia="Calibri" w:hAnsi="Arial" w:cs="Arial"/>
                <w:sz w:val="16"/>
                <w:szCs w:val="16"/>
              </w:rPr>
              <w:t>Serum PINP, ng/ml</w:t>
            </w:r>
          </w:p>
        </w:tc>
        <w:tc>
          <w:tcPr>
            <w:tcW w:w="1002"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5</w:t>
            </w:r>
            <w:r w:rsidR="006045C3">
              <w:rPr>
                <w:rFonts w:ascii="Arial" w:hAnsi="Arial" w:cs="Arial"/>
                <w:sz w:val="16"/>
                <w:szCs w:val="16"/>
              </w:rPr>
              <w:t>(9.9</w:t>
            </w:r>
            <w:r w:rsidR="00B8202F" w:rsidRPr="006045C3">
              <w:rPr>
                <w:rFonts w:ascii="Arial" w:hAnsi="Arial" w:cs="Arial"/>
                <w:sz w:val="16"/>
                <w:szCs w:val="16"/>
              </w:rPr>
              <w:t>)</w:t>
            </w:r>
          </w:p>
        </w:tc>
        <w:tc>
          <w:tcPr>
            <w:tcW w:w="1003"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-6</w:t>
            </w:r>
            <w:r w:rsidR="006045C3">
              <w:rPr>
                <w:rFonts w:ascii="Arial" w:hAnsi="Arial" w:cs="Arial"/>
                <w:sz w:val="16"/>
                <w:szCs w:val="16"/>
              </w:rPr>
              <w:t>(9.7</w:t>
            </w:r>
            <w:r w:rsidR="00B8202F" w:rsidRPr="006045C3">
              <w:rPr>
                <w:rFonts w:ascii="Arial" w:hAnsi="Arial" w:cs="Arial"/>
                <w:sz w:val="16"/>
                <w:szCs w:val="16"/>
              </w:rPr>
              <w:t>)</w:t>
            </w:r>
          </w:p>
        </w:tc>
        <w:tc>
          <w:tcPr>
            <w:tcW w:w="1002"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0(</w:t>
            </w:r>
            <w:r w:rsidR="006045C3">
              <w:rPr>
                <w:rFonts w:ascii="Arial" w:hAnsi="Arial" w:cs="Arial"/>
                <w:sz w:val="16"/>
                <w:szCs w:val="16"/>
              </w:rPr>
              <w:t>1.3</w:t>
            </w:r>
            <w:r w:rsidR="00B8202F" w:rsidRPr="006045C3">
              <w:rPr>
                <w:rFonts w:ascii="Arial" w:hAnsi="Arial" w:cs="Arial"/>
                <w:sz w:val="16"/>
                <w:szCs w:val="16"/>
              </w:rPr>
              <w:t>)</w:t>
            </w:r>
          </w:p>
        </w:tc>
        <w:tc>
          <w:tcPr>
            <w:tcW w:w="1003"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-20</w:t>
            </w:r>
            <w:r w:rsidR="006045C3">
              <w:rPr>
                <w:rFonts w:ascii="Arial" w:hAnsi="Arial" w:cs="Arial"/>
                <w:sz w:val="16"/>
                <w:szCs w:val="16"/>
              </w:rPr>
              <w:t>(11.8</w:t>
            </w:r>
            <w:r w:rsidR="00B8202F" w:rsidRPr="006045C3">
              <w:rPr>
                <w:rFonts w:ascii="Arial" w:hAnsi="Arial" w:cs="Arial"/>
                <w:sz w:val="16"/>
                <w:szCs w:val="16"/>
              </w:rPr>
              <w:t>)</w:t>
            </w:r>
          </w:p>
        </w:tc>
        <w:tc>
          <w:tcPr>
            <w:tcW w:w="1002"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-65</w:t>
            </w:r>
            <w:r w:rsidR="006045C3">
              <w:rPr>
                <w:rFonts w:ascii="Arial" w:hAnsi="Arial" w:cs="Arial"/>
                <w:sz w:val="16"/>
                <w:szCs w:val="16"/>
              </w:rPr>
              <w:t>(22.6</w:t>
            </w:r>
            <w:r w:rsidR="00B8202F" w:rsidRPr="006045C3">
              <w:rPr>
                <w:rFonts w:ascii="Arial" w:hAnsi="Arial" w:cs="Arial"/>
                <w:sz w:val="16"/>
                <w:szCs w:val="16"/>
              </w:rPr>
              <w:t>)</w:t>
            </w:r>
          </w:p>
        </w:tc>
        <w:tc>
          <w:tcPr>
            <w:tcW w:w="1003" w:type="dxa"/>
            <w:vAlign w:val="center"/>
          </w:tcPr>
          <w:p w:rsidR="00B8202F" w:rsidRPr="006045C3" w:rsidRDefault="006045C3" w:rsidP="00900F2C">
            <w:pPr>
              <w:rPr>
                <w:rFonts w:ascii="Arial" w:hAnsi="Arial" w:cs="Arial"/>
                <w:sz w:val="16"/>
                <w:szCs w:val="16"/>
              </w:rPr>
            </w:pPr>
            <w:r>
              <w:rPr>
                <w:rFonts w:ascii="Arial" w:hAnsi="Arial" w:cs="Arial"/>
                <w:sz w:val="16"/>
                <w:szCs w:val="16"/>
              </w:rPr>
              <w:t>-73.0(25.0</w:t>
            </w:r>
            <w:r w:rsidR="00B8202F" w:rsidRPr="006045C3">
              <w:rPr>
                <w:rFonts w:ascii="Arial" w:hAnsi="Arial" w:cs="Arial"/>
                <w:sz w:val="16"/>
                <w:szCs w:val="16"/>
              </w:rPr>
              <w:t>)</w:t>
            </w:r>
          </w:p>
        </w:tc>
        <w:tc>
          <w:tcPr>
            <w:tcW w:w="1003" w:type="dxa"/>
            <w:vAlign w:val="center"/>
          </w:tcPr>
          <w:p w:rsidR="00B8202F" w:rsidRPr="006045C3" w:rsidRDefault="00FB278A" w:rsidP="00900F2C">
            <w:pPr>
              <w:rPr>
                <w:rFonts w:ascii="Arial" w:eastAsia="Calibri" w:hAnsi="Arial" w:cs="Arial"/>
                <w:sz w:val="16"/>
                <w:szCs w:val="16"/>
              </w:rPr>
            </w:pPr>
            <w:r>
              <w:rPr>
                <w:rFonts w:ascii="Arial" w:hAnsi="Arial" w:cs="Arial"/>
                <w:sz w:val="16"/>
                <w:szCs w:val="16"/>
              </w:rPr>
              <w:t>-74</w:t>
            </w:r>
            <w:r w:rsidR="006045C3">
              <w:rPr>
                <w:rFonts w:ascii="Arial" w:hAnsi="Arial" w:cs="Arial"/>
                <w:sz w:val="16"/>
                <w:szCs w:val="16"/>
              </w:rPr>
              <w:t>(25.0</w:t>
            </w:r>
            <w:r w:rsidR="00B8202F" w:rsidRPr="006045C3">
              <w:rPr>
                <w:rFonts w:ascii="Arial" w:hAnsi="Arial" w:cs="Arial"/>
                <w:sz w:val="16"/>
                <w:szCs w:val="16"/>
              </w:rPr>
              <w:t>)</w:t>
            </w:r>
          </w:p>
        </w:tc>
      </w:tr>
      <w:tr w:rsidR="00B8202F" w:rsidRPr="000E6B92" w:rsidTr="00B8202F">
        <w:trPr>
          <w:trHeight w:val="567"/>
          <w:jc w:val="center"/>
        </w:trPr>
        <w:tc>
          <w:tcPr>
            <w:tcW w:w="1321" w:type="dxa"/>
            <w:vAlign w:val="center"/>
          </w:tcPr>
          <w:p w:rsidR="00B8202F" w:rsidRPr="00F3359B" w:rsidRDefault="00B8202F"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2</w:t>
            </w:r>
            <w:r w:rsidR="000E6B92" w:rsidRPr="000E6B92">
              <w:rPr>
                <w:rFonts w:ascii="Arial" w:hAnsi="Arial" w:cs="Arial"/>
                <w:sz w:val="16"/>
                <w:szCs w:val="16"/>
              </w:rPr>
              <w:t>(12.6)</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2</w:t>
            </w:r>
            <w:r w:rsidR="000E6B92" w:rsidRPr="000E6B92">
              <w:rPr>
                <w:rFonts w:ascii="Arial" w:hAnsi="Arial" w:cs="Arial"/>
                <w:sz w:val="16"/>
                <w:szCs w:val="16"/>
              </w:rPr>
              <w:t>(13.1)</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3</w:t>
            </w:r>
            <w:r w:rsidR="000E6B92" w:rsidRPr="000E6B92">
              <w:rPr>
                <w:rFonts w:ascii="Arial" w:hAnsi="Arial" w:cs="Arial"/>
                <w:sz w:val="16"/>
                <w:szCs w:val="16"/>
              </w:rPr>
              <w:t>(11.2)</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-4</w:t>
            </w:r>
            <w:r w:rsidR="000E6B92" w:rsidRPr="000E6B92">
              <w:rPr>
                <w:rFonts w:ascii="Arial" w:hAnsi="Arial" w:cs="Arial"/>
                <w:sz w:val="16"/>
                <w:szCs w:val="16"/>
              </w:rPr>
              <w:t>(13.4)</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-38</w:t>
            </w:r>
            <w:r w:rsidR="000E6B92">
              <w:rPr>
                <w:rFonts w:ascii="Arial" w:hAnsi="Arial" w:cs="Arial"/>
                <w:sz w:val="16"/>
                <w:szCs w:val="16"/>
              </w:rPr>
              <w:t>(18.1</w:t>
            </w:r>
            <w:r w:rsidR="000E6B92" w:rsidRPr="000E6B92">
              <w:rPr>
                <w:rFonts w:ascii="Arial" w:hAnsi="Arial" w:cs="Arial"/>
                <w:sz w:val="16"/>
                <w:szCs w:val="16"/>
              </w:rPr>
              <w:t>)</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-48</w:t>
            </w:r>
            <w:r w:rsidR="000E6B92" w:rsidRPr="000E6B92">
              <w:rPr>
                <w:rFonts w:ascii="Arial" w:hAnsi="Arial" w:cs="Arial"/>
                <w:sz w:val="16"/>
                <w:szCs w:val="16"/>
              </w:rPr>
              <w:t>(19.8)</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-49</w:t>
            </w:r>
            <w:r w:rsidR="000E6B92" w:rsidRPr="000E6B92">
              <w:rPr>
                <w:rFonts w:ascii="Arial" w:hAnsi="Arial" w:cs="Arial"/>
                <w:sz w:val="16"/>
                <w:szCs w:val="16"/>
              </w:rPr>
              <w:t>(23.3)</w:t>
            </w:r>
          </w:p>
        </w:tc>
      </w:tr>
      <w:tr w:rsidR="00B8202F" w:rsidRPr="000E6B92" w:rsidTr="00B8202F">
        <w:trPr>
          <w:trHeight w:val="56"/>
          <w:jc w:val="center"/>
        </w:trPr>
        <w:tc>
          <w:tcPr>
            <w:tcW w:w="1321" w:type="dxa"/>
            <w:vAlign w:val="center"/>
          </w:tcPr>
          <w:p w:rsidR="00B8202F" w:rsidRPr="000E6B92" w:rsidRDefault="00B8202F" w:rsidP="00900F2C">
            <w:pPr>
              <w:rPr>
                <w:rFonts w:ascii="Arial" w:eastAsia="Calibri" w:hAnsi="Arial" w:cs="Arial"/>
                <w:sz w:val="16"/>
                <w:szCs w:val="16"/>
              </w:rPr>
            </w:pPr>
            <w:r w:rsidRPr="000E6B92">
              <w:rPr>
                <w:rFonts w:ascii="Arial" w:eastAsia="Calibri" w:hAnsi="Arial" w:cs="Arial"/>
                <w:sz w:val="16"/>
                <w:szCs w:val="16"/>
              </w:rPr>
              <w:t>Serum osteocalcin, ng/ml</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1</w:t>
            </w:r>
            <w:r w:rsidR="000E6B92" w:rsidRPr="000E6B92">
              <w:rPr>
                <w:rFonts w:ascii="Arial" w:hAnsi="Arial" w:cs="Arial"/>
                <w:sz w:val="16"/>
                <w:szCs w:val="16"/>
              </w:rPr>
              <w:t>(6.0)</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-1</w:t>
            </w:r>
            <w:r w:rsidR="000E6B92" w:rsidRPr="000E6B92">
              <w:rPr>
                <w:rFonts w:ascii="Arial" w:hAnsi="Arial" w:cs="Arial"/>
                <w:sz w:val="16"/>
                <w:szCs w:val="16"/>
              </w:rPr>
              <w:t>(8.1)</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-2</w:t>
            </w:r>
            <w:r w:rsidR="000E6B92" w:rsidRPr="000E6B92">
              <w:rPr>
                <w:rFonts w:ascii="Arial" w:hAnsi="Arial" w:cs="Arial"/>
                <w:sz w:val="16"/>
                <w:szCs w:val="16"/>
              </w:rPr>
              <w:t>(7.5)</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-8</w:t>
            </w:r>
            <w:r w:rsidR="000E6B92" w:rsidRPr="000E6B92">
              <w:rPr>
                <w:rFonts w:ascii="Arial" w:hAnsi="Arial" w:cs="Arial"/>
                <w:sz w:val="16"/>
                <w:szCs w:val="16"/>
              </w:rPr>
              <w:t>(7.6)</w:t>
            </w:r>
          </w:p>
        </w:tc>
        <w:tc>
          <w:tcPr>
            <w:tcW w:w="1002"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-38</w:t>
            </w:r>
            <w:r w:rsidR="000E6B92" w:rsidRPr="000E6B92">
              <w:rPr>
                <w:rFonts w:ascii="Arial" w:hAnsi="Arial" w:cs="Arial"/>
                <w:sz w:val="16"/>
                <w:szCs w:val="16"/>
              </w:rPr>
              <w:t>(18.1)</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-48</w:t>
            </w:r>
            <w:r w:rsidR="000E6B92" w:rsidRPr="000E6B92">
              <w:rPr>
                <w:rFonts w:ascii="Arial" w:hAnsi="Arial" w:cs="Arial"/>
                <w:sz w:val="16"/>
                <w:szCs w:val="16"/>
              </w:rPr>
              <w:t>(19.8)</w:t>
            </w:r>
          </w:p>
        </w:tc>
        <w:tc>
          <w:tcPr>
            <w:tcW w:w="1003" w:type="dxa"/>
            <w:vAlign w:val="center"/>
          </w:tcPr>
          <w:p w:rsidR="00B8202F" w:rsidRPr="000E6B92" w:rsidRDefault="00FB278A" w:rsidP="00900F2C">
            <w:pPr>
              <w:rPr>
                <w:rFonts w:ascii="Arial" w:eastAsia="Calibri" w:hAnsi="Arial" w:cs="Arial"/>
                <w:sz w:val="16"/>
                <w:szCs w:val="16"/>
              </w:rPr>
            </w:pPr>
            <w:r>
              <w:rPr>
                <w:rFonts w:ascii="Arial" w:hAnsi="Arial" w:cs="Arial"/>
                <w:sz w:val="16"/>
                <w:szCs w:val="16"/>
              </w:rPr>
              <w:t>-49</w:t>
            </w:r>
            <w:r w:rsidR="000E6B92" w:rsidRPr="000E6B92">
              <w:rPr>
                <w:rFonts w:ascii="Arial" w:hAnsi="Arial" w:cs="Arial"/>
                <w:sz w:val="16"/>
                <w:szCs w:val="16"/>
              </w:rPr>
              <w:t>(23.3)</w:t>
            </w:r>
          </w:p>
        </w:tc>
      </w:tr>
      <w:tr w:rsidR="00B8202F" w:rsidRPr="00F95D84" w:rsidTr="00B8202F">
        <w:trPr>
          <w:trHeight w:val="20"/>
          <w:jc w:val="center"/>
        </w:trPr>
        <w:tc>
          <w:tcPr>
            <w:tcW w:w="1321" w:type="dxa"/>
          </w:tcPr>
          <w:p w:rsidR="00B8202F" w:rsidRDefault="00B8202F" w:rsidP="00900F2C">
            <w:pPr>
              <w:rPr>
                <w:rFonts w:ascii="Arial" w:eastAsia="Calibri" w:hAnsi="Arial" w:cs="Arial"/>
                <w:sz w:val="16"/>
                <w:szCs w:val="16"/>
              </w:rPr>
            </w:pPr>
          </w:p>
        </w:tc>
        <w:tc>
          <w:tcPr>
            <w:tcW w:w="7018" w:type="dxa"/>
            <w:gridSpan w:val="7"/>
          </w:tcPr>
          <w:p w:rsidR="00B8202F" w:rsidRPr="00634B5B" w:rsidRDefault="00B8202F" w:rsidP="00685609">
            <w:pPr>
              <w:jc w:val="center"/>
              <w:rPr>
                <w:rFonts w:ascii="Arial" w:eastAsia="Calibri" w:hAnsi="Arial" w:cs="Arial"/>
                <w:b/>
                <w:sz w:val="16"/>
                <w:szCs w:val="16"/>
              </w:rPr>
            </w:pPr>
            <w:r w:rsidRPr="00634B5B">
              <w:rPr>
                <w:rFonts w:ascii="Arial" w:eastAsia="Calibri" w:hAnsi="Arial" w:cs="Arial"/>
                <w:b/>
                <w:sz w:val="16"/>
                <w:szCs w:val="16"/>
              </w:rPr>
              <w:t>Treatment: Alendronate</w:t>
            </w:r>
            <w:r>
              <w:rPr>
                <w:rFonts w:ascii="Arial" w:eastAsia="Calibri" w:hAnsi="Arial" w:cs="Arial"/>
                <w:b/>
                <w:sz w:val="16"/>
                <w:szCs w:val="16"/>
              </w:rPr>
              <w:t xml:space="preserve"> (70mg/week)</w:t>
            </w:r>
            <w:r w:rsidRPr="00634B5B">
              <w:rPr>
                <w:rFonts w:ascii="Arial" w:eastAsia="Calibri" w:hAnsi="Arial" w:cs="Arial"/>
                <w:b/>
                <w:sz w:val="16"/>
                <w:szCs w:val="16"/>
              </w:rPr>
              <w:t xml:space="preserve"> and N = </w:t>
            </w:r>
            <w:r>
              <w:rPr>
                <w:rFonts w:ascii="Arial" w:eastAsia="Calibri" w:hAnsi="Arial" w:cs="Arial"/>
                <w:b/>
                <w:sz w:val="16"/>
                <w:szCs w:val="16"/>
              </w:rPr>
              <w:t>57</w:t>
            </w: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1002"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-15</w:t>
            </w:r>
            <w:r w:rsidR="00B754DA">
              <w:rPr>
                <w:rFonts w:ascii="Arial" w:eastAsia="Calibri" w:hAnsi="Arial" w:cs="Arial"/>
                <w:sz w:val="16"/>
                <w:szCs w:val="16"/>
              </w:rPr>
              <w:t>(30.0</w:t>
            </w:r>
            <w:r w:rsidR="000172EC">
              <w:rPr>
                <w:rFonts w:ascii="Arial" w:eastAsia="Calibri" w:hAnsi="Arial" w:cs="Arial"/>
                <w:sz w:val="16"/>
                <w:szCs w:val="16"/>
              </w:rPr>
              <w:t>)</w:t>
            </w:r>
          </w:p>
        </w:tc>
        <w:tc>
          <w:tcPr>
            <w:tcW w:w="1003"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-49</w:t>
            </w:r>
            <w:r w:rsidR="00B754DA">
              <w:rPr>
                <w:rFonts w:ascii="Arial" w:eastAsia="Calibri" w:hAnsi="Arial" w:cs="Arial"/>
                <w:sz w:val="16"/>
                <w:szCs w:val="16"/>
              </w:rPr>
              <w:t>(20.0</w:t>
            </w:r>
            <w:r w:rsidR="000172EC">
              <w:rPr>
                <w:rFonts w:ascii="Arial" w:eastAsia="Calibri" w:hAnsi="Arial" w:cs="Arial"/>
                <w:sz w:val="16"/>
                <w:szCs w:val="16"/>
              </w:rPr>
              <w:t>)</w:t>
            </w:r>
          </w:p>
        </w:tc>
        <w:tc>
          <w:tcPr>
            <w:tcW w:w="1002" w:type="dxa"/>
            <w:vAlign w:val="center"/>
          </w:tcPr>
          <w:p w:rsidR="00B8202F" w:rsidRPr="00F95D84" w:rsidRDefault="00FB278A" w:rsidP="00900F2C">
            <w:pPr>
              <w:rPr>
                <w:rFonts w:ascii="Arial" w:eastAsia="Calibri" w:hAnsi="Arial" w:cs="Arial"/>
                <w:sz w:val="16"/>
                <w:szCs w:val="16"/>
              </w:rPr>
            </w:pPr>
            <w:r>
              <w:rPr>
                <w:rFonts w:ascii="Arial" w:eastAsia="Calibri" w:hAnsi="Arial" w:cs="Arial"/>
                <w:sz w:val="16"/>
                <w:szCs w:val="16"/>
              </w:rPr>
              <w:t>-62</w:t>
            </w:r>
            <w:r w:rsidR="000172EC">
              <w:rPr>
                <w:rFonts w:ascii="Arial" w:eastAsia="Calibri" w:hAnsi="Arial" w:cs="Arial"/>
                <w:sz w:val="16"/>
                <w:szCs w:val="16"/>
              </w:rPr>
              <w:t>(</w:t>
            </w:r>
            <w:r w:rsidR="00B754DA">
              <w:rPr>
                <w:rFonts w:ascii="Arial" w:eastAsia="Calibri" w:hAnsi="Arial" w:cs="Arial"/>
                <w:sz w:val="16"/>
                <w:szCs w:val="16"/>
              </w:rPr>
              <w:t>20.0</w:t>
            </w:r>
            <w:r w:rsidR="008512B4">
              <w:rPr>
                <w:rFonts w:ascii="Arial" w:eastAsia="Calibri" w:hAnsi="Arial" w:cs="Arial"/>
                <w:sz w:val="16"/>
                <w:szCs w:val="16"/>
              </w:rPr>
              <w:t>)</w:t>
            </w:r>
          </w:p>
        </w:tc>
        <w:tc>
          <w:tcPr>
            <w:tcW w:w="1003"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-70</w:t>
            </w:r>
            <w:r w:rsidR="00B754DA">
              <w:rPr>
                <w:rFonts w:ascii="Arial" w:eastAsia="Calibri" w:hAnsi="Arial" w:cs="Arial"/>
                <w:sz w:val="16"/>
                <w:szCs w:val="16"/>
              </w:rPr>
              <w:t>(20.0</w:t>
            </w:r>
            <w:r w:rsidR="008512B4">
              <w:rPr>
                <w:rFonts w:ascii="Arial" w:eastAsia="Calibri" w:hAnsi="Arial" w:cs="Arial"/>
                <w:sz w:val="16"/>
                <w:szCs w:val="16"/>
              </w:rPr>
              <w:t>)</w:t>
            </w:r>
          </w:p>
        </w:tc>
        <w:tc>
          <w:tcPr>
            <w:tcW w:w="1002" w:type="dxa"/>
            <w:vAlign w:val="center"/>
          </w:tcPr>
          <w:p w:rsidR="00B8202F" w:rsidRPr="00E75A3C" w:rsidRDefault="00FB278A" w:rsidP="00900F2C">
            <w:pPr>
              <w:rPr>
                <w:rFonts w:ascii="Arial" w:eastAsia="Calibri" w:hAnsi="Arial" w:cs="Arial"/>
                <w:sz w:val="16"/>
                <w:szCs w:val="16"/>
              </w:rPr>
            </w:pPr>
            <w:r>
              <w:rPr>
                <w:rFonts w:ascii="Arial" w:eastAsia="Calibri" w:hAnsi="Arial" w:cs="Arial"/>
                <w:sz w:val="16"/>
                <w:szCs w:val="16"/>
              </w:rPr>
              <w:t>-78</w:t>
            </w:r>
            <w:r w:rsidR="00B754DA">
              <w:rPr>
                <w:rFonts w:ascii="Arial" w:eastAsia="Calibri" w:hAnsi="Arial" w:cs="Arial"/>
                <w:sz w:val="16"/>
                <w:szCs w:val="16"/>
              </w:rPr>
              <w:t>(20.0</w:t>
            </w:r>
            <w:r w:rsidR="008512B4">
              <w:rPr>
                <w:rFonts w:ascii="Arial" w:eastAsia="Calibri" w:hAnsi="Arial" w:cs="Arial"/>
                <w:sz w:val="16"/>
                <w:szCs w:val="16"/>
              </w:rPr>
              <w:t>)</w:t>
            </w:r>
          </w:p>
        </w:tc>
        <w:tc>
          <w:tcPr>
            <w:tcW w:w="1003" w:type="dxa"/>
            <w:vAlign w:val="center"/>
          </w:tcPr>
          <w:p w:rsidR="00B8202F" w:rsidRPr="00E75A3C" w:rsidRDefault="00CB57EE" w:rsidP="00900F2C">
            <w:pPr>
              <w:rPr>
                <w:rFonts w:ascii="Arial" w:eastAsia="Calibri" w:hAnsi="Arial" w:cs="Arial"/>
                <w:sz w:val="16"/>
                <w:szCs w:val="16"/>
              </w:rPr>
            </w:pPr>
            <w:r>
              <w:rPr>
                <w:rFonts w:ascii="Arial" w:eastAsia="Calibri" w:hAnsi="Arial" w:cs="Arial"/>
                <w:sz w:val="16"/>
                <w:szCs w:val="16"/>
              </w:rPr>
              <w:t>-</w:t>
            </w:r>
            <w:r w:rsidR="00FB278A">
              <w:rPr>
                <w:rFonts w:ascii="Arial" w:eastAsia="Calibri" w:hAnsi="Arial" w:cs="Arial"/>
                <w:sz w:val="16"/>
                <w:szCs w:val="16"/>
              </w:rPr>
              <w:t>79</w:t>
            </w:r>
            <w:r w:rsidR="00B754DA">
              <w:rPr>
                <w:rFonts w:ascii="Arial" w:eastAsia="Calibri" w:hAnsi="Arial" w:cs="Arial"/>
                <w:sz w:val="16"/>
                <w:szCs w:val="16"/>
              </w:rPr>
              <w:t>(10.0</w:t>
            </w:r>
            <w:r w:rsidR="008512B4">
              <w:rPr>
                <w:rFonts w:ascii="Arial" w:eastAsia="Calibri" w:hAnsi="Arial" w:cs="Arial"/>
                <w:sz w:val="16"/>
                <w:szCs w:val="16"/>
              </w:rPr>
              <w:t>)</w:t>
            </w:r>
          </w:p>
        </w:tc>
        <w:tc>
          <w:tcPr>
            <w:tcW w:w="1003" w:type="dxa"/>
            <w:vAlign w:val="center"/>
          </w:tcPr>
          <w:p w:rsidR="00B8202F" w:rsidRPr="00E75A3C" w:rsidRDefault="00CB57EE" w:rsidP="00900F2C">
            <w:pPr>
              <w:rPr>
                <w:rFonts w:ascii="Arial" w:eastAsia="Calibri" w:hAnsi="Arial" w:cs="Arial"/>
                <w:sz w:val="16"/>
                <w:szCs w:val="16"/>
              </w:rPr>
            </w:pPr>
            <w:r>
              <w:rPr>
                <w:rFonts w:ascii="Arial" w:eastAsia="Calibri" w:hAnsi="Arial" w:cs="Arial"/>
                <w:sz w:val="16"/>
                <w:szCs w:val="16"/>
              </w:rPr>
              <w:t>-</w:t>
            </w:r>
            <w:r w:rsidR="00FB278A">
              <w:rPr>
                <w:rFonts w:ascii="Arial" w:eastAsia="Calibri" w:hAnsi="Arial" w:cs="Arial"/>
                <w:sz w:val="16"/>
                <w:szCs w:val="16"/>
              </w:rPr>
              <w:t>86</w:t>
            </w:r>
            <w:r w:rsidR="00B754DA">
              <w:rPr>
                <w:rFonts w:ascii="Arial" w:eastAsia="Calibri" w:hAnsi="Arial" w:cs="Arial"/>
                <w:sz w:val="16"/>
                <w:szCs w:val="16"/>
              </w:rPr>
              <w:t>(10.0</w:t>
            </w:r>
            <w:r w:rsidR="008512B4">
              <w:rPr>
                <w:rFonts w:ascii="Arial" w:eastAsia="Calibri" w:hAnsi="Arial" w:cs="Arial"/>
                <w:sz w:val="16"/>
                <w:szCs w:val="16"/>
              </w:rPr>
              <w:t>)</w:t>
            </w:r>
          </w:p>
        </w:tc>
      </w:tr>
      <w:tr w:rsidR="00B8202F" w:rsidRPr="007A7DCD" w:rsidTr="00B8202F">
        <w:trPr>
          <w:trHeight w:val="565"/>
          <w:jc w:val="center"/>
        </w:trPr>
        <w:tc>
          <w:tcPr>
            <w:tcW w:w="1321" w:type="dxa"/>
            <w:vAlign w:val="center"/>
          </w:tcPr>
          <w:p w:rsidR="00B8202F" w:rsidRPr="007A7DCD" w:rsidRDefault="00B8202F" w:rsidP="00900F2C">
            <w:pPr>
              <w:rPr>
                <w:rFonts w:ascii="Arial" w:eastAsia="Calibri" w:hAnsi="Arial" w:cs="Arial"/>
                <w:sz w:val="16"/>
                <w:szCs w:val="16"/>
              </w:rPr>
            </w:pPr>
            <w:r w:rsidRPr="007A7DCD">
              <w:rPr>
                <w:rFonts w:ascii="Arial" w:eastAsia="Calibri" w:hAnsi="Arial" w:cs="Arial"/>
                <w:sz w:val="16"/>
                <w:szCs w:val="16"/>
              </w:rPr>
              <w:t>Urine NTX, nmol BCE/mmol Cr</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-16</w:t>
            </w:r>
            <w:r w:rsidR="007A7DCD" w:rsidRPr="007A7DCD">
              <w:rPr>
                <w:rFonts w:ascii="Arial" w:hAnsi="Arial" w:cs="Arial"/>
                <w:sz w:val="16"/>
                <w:szCs w:val="16"/>
              </w:rPr>
              <w:t>(25.7</w:t>
            </w:r>
            <w:r w:rsidR="00E439F7"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-42</w:t>
            </w:r>
            <w:r w:rsidR="007A7DCD" w:rsidRPr="007A7DCD">
              <w:rPr>
                <w:rFonts w:ascii="Arial" w:hAnsi="Arial" w:cs="Arial"/>
                <w:sz w:val="16"/>
                <w:szCs w:val="16"/>
              </w:rPr>
              <w:t>(35.8</w:t>
            </w:r>
            <w:r w:rsidR="00E439F7" w:rsidRPr="007A7DCD">
              <w:rPr>
                <w:rFonts w:ascii="Arial" w:hAnsi="Arial" w:cs="Arial"/>
                <w:sz w:val="16"/>
                <w:szCs w:val="16"/>
              </w:rPr>
              <w:t>)</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-56</w:t>
            </w:r>
            <w:r w:rsidR="007A7DCD" w:rsidRPr="007A7DCD">
              <w:rPr>
                <w:rFonts w:ascii="Arial" w:hAnsi="Arial" w:cs="Arial"/>
                <w:sz w:val="16"/>
                <w:szCs w:val="16"/>
              </w:rPr>
              <w:t>(49.7</w:t>
            </w:r>
            <w:r w:rsidR="00E439F7"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-59</w:t>
            </w:r>
            <w:r w:rsidR="007A7DCD" w:rsidRPr="007A7DCD">
              <w:rPr>
                <w:rFonts w:ascii="Arial" w:hAnsi="Arial" w:cs="Arial"/>
                <w:sz w:val="16"/>
                <w:szCs w:val="16"/>
              </w:rPr>
              <w:t>(44.6</w:t>
            </w:r>
            <w:r w:rsidR="00E439F7" w:rsidRPr="007A7DCD">
              <w:rPr>
                <w:rFonts w:ascii="Arial" w:hAnsi="Arial" w:cs="Arial"/>
                <w:sz w:val="16"/>
                <w:szCs w:val="16"/>
              </w:rPr>
              <w:t>)</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-67</w:t>
            </w:r>
            <w:r w:rsidR="007A7DCD" w:rsidRPr="007A7DCD">
              <w:rPr>
                <w:rFonts w:ascii="Arial" w:hAnsi="Arial" w:cs="Arial"/>
                <w:sz w:val="16"/>
                <w:szCs w:val="16"/>
              </w:rPr>
              <w:t>(45.8)</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-72</w:t>
            </w:r>
            <w:r w:rsidR="007A7DCD" w:rsidRPr="007A7DCD">
              <w:rPr>
                <w:rFonts w:ascii="Arial" w:hAnsi="Arial" w:cs="Arial"/>
                <w:sz w:val="16"/>
                <w:szCs w:val="16"/>
              </w:rPr>
              <w:t>(46.9)</w:t>
            </w:r>
          </w:p>
        </w:tc>
        <w:tc>
          <w:tcPr>
            <w:tcW w:w="1003" w:type="dxa"/>
            <w:vAlign w:val="center"/>
          </w:tcPr>
          <w:p w:rsidR="00B8202F" w:rsidRPr="007A7DCD" w:rsidRDefault="00CB57EE" w:rsidP="00900F2C">
            <w:pPr>
              <w:rPr>
                <w:rFonts w:ascii="Arial" w:eastAsia="Calibri" w:hAnsi="Arial" w:cs="Arial"/>
                <w:sz w:val="16"/>
                <w:szCs w:val="16"/>
              </w:rPr>
            </w:pPr>
            <w:r>
              <w:rPr>
                <w:rFonts w:ascii="Arial" w:hAnsi="Arial" w:cs="Arial"/>
                <w:sz w:val="16"/>
                <w:szCs w:val="16"/>
              </w:rPr>
              <w:t>-</w:t>
            </w:r>
            <w:r w:rsidR="00FB278A">
              <w:rPr>
                <w:rFonts w:ascii="Arial" w:hAnsi="Arial" w:cs="Arial"/>
                <w:sz w:val="16"/>
                <w:szCs w:val="16"/>
              </w:rPr>
              <w:t>71</w:t>
            </w:r>
            <w:r w:rsidR="007A7DCD" w:rsidRPr="007A7DCD">
              <w:rPr>
                <w:rFonts w:ascii="Arial" w:hAnsi="Arial" w:cs="Arial"/>
                <w:sz w:val="16"/>
                <w:szCs w:val="16"/>
              </w:rPr>
              <w:t>(54.5)</w:t>
            </w:r>
          </w:p>
        </w:tc>
      </w:tr>
      <w:tr w:rsidR="00B8202F" w:rsidRPr="007A7DCD" w:rsidTr="00B8202F">
        <w:trPr>
          <w:trHeight w:val="567"/>
          <w:jc w:val="center"/>
        </w:trPr>
        <w:tc>
          <w:tcPr>
            <w:tcW w:w="1321" w:type="dxa"/>
            <w:vAlign w:val="center"/>
          </w:tcPr>
          <w:p w:rsidR="00B8202F" w:rsidRPr="007A7DCD" w:rsidRDefault="00B8202F" w:rsidP="00900F2C">
            <w:pPr>
              <w:rPr>
                <w:rFonts w:ascii="Arial" w:eastAsia="Calibri" w:hAnsi="Arial" w:cs="Arial"/>
                <w:sz w:val="16"/>
                <w:szCs w:val="16"/>
              </w:rPr>
            </w:pPr>
            <w:r w:rsidRPr="007A7DCD">
              <w:rPr>
                <w:rFonts w:ascii="Arial" w:eastAsia="Calibri" w:hAnsi="Arial" w:cs="Arial"/>
                <w:sz w:val="16"/>
                <w:szCs w:val="16"/>
              </w:rPr>
              <w:t>Serum PINP, ng/ml</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5</w:t>
            </w:r>
            <w:r w:rsidR="007A7DCD" w:rsidRPr="007A7DCD">
              <w:rPr>
                <w:rFonts w:ascii="Arial" w:hAnsi="Arial" w:cs="Arial"/>
                <w:sz w:val="16"/>
                <w:szCs w:val="16"/>
              </w:rPr>
              <w:t>(16.5)</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4</w:t>
            </w:r>
            <w:r w:rsidR="007A7DCD" w:rsidRPr="007A7DCD">
              <w:rPr>
                <w:rFonts w:ascii="Arial" w:hAnsi="Arial" w:cs="Arial"/>
                <w:sz w:val="16"/>
                <w:szCs w:val="16"/>
              </w:rPr>
              <w:t>(14.5)</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1</w:t>
            </w:r>
            <w:r w:rsidR="007A7DCD" w:rsidRPr="007A7DCD">
              <w:rPr>
                <w:rFonts w:ascii="Arial" w:hAnsi="Arial" w:cs="Arial"/>
                <w:sz w:val="16"/>
                <w:szCs w:val="16"/>
              </w:rPr>
              <w:t>(16.6)</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-9</w:t>
            </w:r>
            <w:r w:rsidR="007A7DCD" w:rsidRPr="007A7DCD">
              <w:rPr>
                <w:rFonts w:ascii="Arial" w:hAnsi="Arial" w:cs="Arial"/>
                <w:sz w:val="16"/>
                <w:szCs w:val="16"/>
              </w:rPr>
              <w:t>(22.1)</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-60</w:t>
            </w:r>
            <w:r w:rsidR="007A7DCD" w:rsidRPr="007A7DCD">
              <w:rPr>
                <w:rFonts w:ascii="Arial" w:hAnsi="Arial" w:cs="Arial"/>
                <w:sz w:val="16"/>
                <w:szCs w:val="16"/>
              </w:rPr>
              <w:t>(29.9)</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-70</w:t>
            </w:r>
            <w:r w:rsidR="007A7DCD" w:rsidRPr="007A7DCD">
              <w:rPr>
                <w:rFonts w:ascii="Arial" w:hAnsi="Arial" w:cs="Arial"/>
                <w:sz w:val="16"/>
                <w:szCs w:val="16"/>
              </w:rPr>
              <w:t>(34.7)</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-71</w:t>
            </w:r>
            <w:r w:rsidR="007A7DCD" w:rsidRPr="007A7DCD">
              <w:rPr>
                <w:rFonts w:ascii="Arial" w:hAnsi="Arial" w:cs="Arial"/>
                <w:sz w:val="16"/>
                <w:szCs w:val="16"/>
              </w:rPr>
              <w:t>(28.4)</w:t>
            </w:r>
          </w:p>
        </w:tc>
      </w:tr>
      <w:tr w:rsidR="00B8202F" w:rsidRPr="00F95D84" w:rsidTr="00B8202F">
        <w:trPr>
          <w:trHeight w:val="567"/>
          <w:jc w:val="center"/>
        </w:trPr>
        <w:tc>
          <w:tcPr>
            <w:tcW w:w="1321" w:type="dxa"/>
            <w:vAlign w:val="center"/>
          </w:tcPr>
          <w:p w:rsidR="00B8202F" w:rsidRPr="00F3359B" w:rsidRDefault="00B8202F"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2</w:t>
            </w:r>
            <w:r w:rsidR="007A7DCD" w:rsidRPr="007A7DCD">
              <w:rPr>
                <w:rFonts w:ascii="Arial" w:hAnsi="Arial" w:cs="Arial"/>
                <w:sz w:val="16"/>
                <w:szCs w:val="16"/>
              </w:rPr>
              <w:t>(12.</w:t>
            </w:r>
            <w:r w:rsidR="007A7DCD">
              <w:rPr>
                <w:rFonts w:ascii="Arial" w:hAnsi="Arial" w:cs="Arial"/>
                <w:sz w:val="16"/>
                <w:szCs w:val="16"/>
              </w:rPr>
              <w:t>9</w:t>
            </w:r>
            <w:r w:rsidR="007A7DCD"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2</w:t>
            </w:r>
            <w:r w:rsidR="007A7DCD">
              <w:rPr>
                <w:rFonts w:ascii="Arial" w:hAnsi="Arial" w:cs="Arial"/>
                <w:sz w:val="16"/>
                <w:szCs w:val="16"/>
              </w:rPr>
              <w:t>(12.2</w:t>
            </w:r>
            <w:r w:rsidR="007A7DCD" w:rsidRPr="007A7DCD">
              <w:rPr>
                <w:rFonts w:ascii="Arial" w:hAnsi="Arial" w:cs="Arial"/>
                <w:sz w:val="16"/>
                <w:szCs w:val="16"/>
              </w:rPr>
              <w:t>)</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2</w:t>
            </w:r>
            <w:r w:rsidR="007A7DCD">
              <w:rPr>
                <w:rFonts w:ascii="Arial" w:hAnsi="Arial" w:cs="Arial"/>
                <w:sz w:val="16"/>
                <w:szCs w:val="16"/>
              </w:rPr>
              <w:t>(15.7</w:t>
            </w:r>
            <w:r w:rsidR="007A7DCD"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-1</w:t>
            </w:r>
            <w:r w:rsidR="007A7DCD">
              <w:rPr>
                <w:rFonts w:ascii="Arial" w:hAnsi="Arial" w:cs="Arial"/>
                <w:sz w:val="16"/>
                <w:szCs w:val="16"/>
              </w:rPr>
              <w:t>(13.4</w:t>
            </w:r>
            <w:r w:rsidR="007A7DCD" w:rsidRPr="007A7DCD">
              <w:rPr>
                <w:rFonts w:ascii="Arial" w:hAnsi="Arial" w:cs="Arial"/>
                <w:sz w:val="16"/>
                <w:szCs w:val="16"/>
              </w:rPr>
              <w:t>)</w:t>
            </w:r>
          </w:p>
        </w:tc>
        <w:tc>
          <w:tcPr>
            <w:tcW w:w="1002"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-33</w:t>
            </w:r>
            <w:r w:rsidR="007A7DCD">
              <w:rPr>
                <w:rFonts w:ascii="Arial" w:hAnsi="Arial" w:cs="Arial"/>
                <w:sz w:val="16"/>
                <w:szCs w:val="16"/>
              </w:rPr>
              <w:t>(19.2</w:t>
            </w:r>
            <w:r w:rsidR="007A7DCD"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-44</w:t>
            </w:r>
            <w:r w:rsidR="007A7DCD">
              <w:rPr>
                <w:rFonts w:ascii="Arial" w:hAnsi="Arial" w:cs="Arial"/>
                <w:sz w:val="16"/>
                <w:szCs w:val="16"/>
              </w:rPr>
              <w:t>(17.8</w:t>
            </w:r>
            <w:r w:rsidR="007A7DCD" w:rsidRPr="007A7DCD">
              <w:rPr>
                <w:rFonts w:ascii="Arial" w:hAnsi="Arial" w:cs="Arial"/>
                <w:sz w:val="16"/>
                <w:szCs w:val="16"/>
              </w:rPr>
              <w:t>)</w:t>
            </w:r>
          </w:p>
        </w:tc>
        <w:tc>
          <w:tcPr>
            <w:tcW w:w="1003" w:type="dxa"/>
            <w:vAlign w:val="center"/>
          </w:tcPr>
          <w:p w:rsidR="00B8202F" w:rsidRPr="007A7DCD" w:rsidRDefault="00FB278A" w:rsidP="00900F2C">
            <w:pPr>
              <w:rPr>
                <w:rFonts w:ascii="Arial" w:eastAsia="Calibri" w:hAnsi="Arial" w:cs="Arial"/>
                <w:sz w:val="16"/>
                <w:szCs w:val="16"/>
              </w:rPr>
            </w:pPr>
            <w:r>
              <w:rPr>
                <w:rFonts w:ascii="Arial" w:hAnsi="Arial" w:cs="Arial"/>
                <w:sz w:val="16"/>
                <w:szCs w:val="16"/>
              </w:rPr>
              <w:t>-45</w:t>
            </w:r>
            <w:r w:rsidR="007A7DCD">
              <w:rPr>
                <w:rFonts w:ascii="Arial" w:hAnsi="Arial" w:cs="Arial"/>
                <w:sz w:val="16"/>
                <w:szCs w:val="16"/>
              </w:rPr>
              <w:t>(15.2</w:t>
            </w:r>
            <w:r w:rsidR="007A7DCD" w:rsidRPr="007A7DCD">
              <w:rPr>
                <w:rFonts w:ascii="Arial" w:hAnsi="Arial" w:cs="Arial"/>
                <w:sz w:val="16"/>
                <w:szCs w:val="16"/>
              </w:rPr>
              <w:t>)</w:t>
            </w:r>
          </w:p>
        </w:tc>
      </w:tr>
      <w:tr w:rsidR="00B8202F" w:rsidRPr="003F3B22" w:rsidTr="00B8202F">
        <w:trPr>
          <w:trHeight w:val="567"/>
          <w:jc w:val="center"/>
        </w:trPr>
        <w:tc>
          <w:tcPr>
            <w:tcW w:w="1321" w:type="dxa"/>
            <w:vAlign w:val="center"/>
          </w:tcPr>
          <w:p w:rsidR="00B8202F" w:rsidRPr="003F3B22" w:rsidRDefault="00B8202F" w:rsidP="00900F2C">
            <w:pPr>
              <w:rPr>
                <w:rFonts w:ascii="Arial" w:eastAsia="Calibri" w:hAnsi="Arial" w:cs="Arial"/>
                <w:sz w:val="16"/>
                <w:szCs w:val="16"/>
              </w:rPr>
            </w:pPr>
            <w:r w:rsidRPr="003F3B22">
              <w:rPr>
                <w:rFonts w:ascii="Arial" w:eastAsia="Calibri" w:hAnsi="Arial" w:cs="Arial"/>
                <w:sz w:val="16"/>
                <w:szCs w:val="16"/>
              </w:rPr>
              <w:t>Serum osteocalcin, ng/ml</w:t>
            </w:r>
          </w:p>
        </w:tc>
        <w:tc>
          <w:tcPr>
            <w:tcW w:w="1002"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1</w:t>
            </w:r>
            <w:r w:rsidR="003F3B22" w:rsidRPr="003F3B22">
              <w:rPr>
                <w:rFonts w:ascii="Arial" w:hAnsi="Arial" w:cs="Arial"/>
                <w:sz w:val="16"/>
                <w:szCs w:val="16"/>
              </w:rPr>
              <w:t>(12.1)</w:t>
            </w:r>
          </w:p>
        </w:tc>
        <w:tc>
          <w:tcPr>
            <w:tcW w:w="1003"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1</w:t>
            </w:r>
            <w:r w:rsidR="003F3B22" w:rsidRPr="003F3B22">
              <w:rPr>
                <w:rFonts w:ascii="Arial" w:hAnsi="Arial" w:cs="Arial"/>
                <w:sz w:val="16"/>
                <w:szCs w:val="16"/>
              </w:rPr>
              <w:t>(10.5)</w:t>
            </w:r>
          </w:p>
        </w:tc>
        <w:tc>
          <w:tcPr>
            <w:tcW w:w="1002"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-2</w:t>
            </w:r>
            <w:r w:rsidR="003F3B22" w:rsidRPr="003F3B22">
              <w:rPr>
                <w:rFonts w:ascii="Arial" w:hAnsi="Arial" w:cs="Arial"/>
                <w:sz w:val="16"/>
                <w:szCs w:val="16"/>
              </w:rPr>
              <w:t>(13.0)</w:t>
            </w:r>
          </w:p>
        </w:tc>
        <w:tc>
          <w:tcPr>
            <w:tcW w:w="1003"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-8</w:t>
            </w:r>
            <w:r w:rsidR="003F3B22" w:rsidRPr="003F3B22">
              <w:rPr>
                <w:rFonts w:ascii="Arial" w:hAnsi="Arial" w:cs="Arial"/>
                <w:sz w:val="16"/>
                <w:szCs w:val="16"/>
              </w:rPr>
              <w:t>(13.9)</w:t>
            </w:r>
          </w:p>
        </w:tc>
        <w:tc>
          <w:tcPr>
            <w:tcW w:w="1002"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-38</w:t>
            </w:r>
            <w:r w:rsidR="003F3B22" w:rsidRPr="003F3B22">
              <w:rPr>
                <w:rFonts w:ascii="Arial" w:hAnsi="Arial" w:cs="Arial"/>
                <w:sz w:val="16"/>
                <w:szCs w:val="16"/>
              </w:rPr>
              <w:t>(15.6)</w:t>
            </w:r>
          </w:p>
        </w:tc>
        <w:tc>
          <w:tcPr>
            <w:tcW w:w="1003" w:type="dxa"/>
            <w:vAlign w:val="center"/>
          </w:tcPr>
          <w:p w:rsidR="00B8202F" w:rsidRPr="003F3B22" w:rsidRDefault="00FB278A" w:rsidP="00900F2C">
            <w:pPr>
              <w:rPr>
                <w:rFonts w:ascii="Arial" w:eastAsia="Calibri" w:hAnsi="Arial" w:cs="Arial"/>
                <w:sz w:val="16"/>
                <w:szCs w:val="16"/>
              </w:rPr>
            </w:pPr>
            <w:r>
              <w:rPr>
                <w:rFonts w:ascii="Arial" w:hAnsi="Arial" w:cs="Arial"/>
                <w:sz w:val="16"/>
                <w:szCs w:val="16"/>
              </w:rPr>
              <w:t>-55</w:t>
            </w:r>
            <w:r w:rsidR="003F3B22" w:rsidRPr="003F3B22">
              <w:rPr>
                <w:rFonts w:ascii="Arial" w:hAnsi="Arial" w:cs="Arial"/>
                <w:sz w:val="16"/>
                <w:szCs w:val="16"/>
              </w:rPr>
              <w:t>(20.7)</w:t>
            </w:r>
          </w:p>
        </w:tc>
        <w:tc>
          <w:tcPr>
            <w:tcW w:w="1003" w:type="dxa"/>
            <w:vAlign w:val="center"/>
          </w:tcPr>
          <w:p w:rsidR="00B8202F" w:rsidRPr="003F3B22" w:rsidRDefault="00A17A1C" w:rsidP="00900F2C">
            <w:pPr>
              <w:rPr>
                <w:rFonts w:ascii="Arial" w:eastAsia="Calibri" w:hAnsi="Arial" w:cs="Arial"/>
                <w:sz w:val="16"/>
                <w:szCs w:val="16"/>
              </w:rPr>
            </w:pPr>
            <w:r>
              <w:rPr>
                <w:rFonts w:ascii="Arial" w:hAnsi="Arial" w:cs="Arial"/>
                <w:sz w:val="16"/>
                <w:szCs w:val="16"/>
              </w:rPr>
              <w:t>-58</w:t>
            </w:r>
            <w:r w:rsidR="003F3B22" w:rsidRPr="003F3B22">
              <w:rPr>
                <w:rFonts w:ascii="Arial" w:hAnsi="Arial" w:cs="Arial"/>
                <w:sz w:val="16"/>
                <w:szCs w:val="16"/>
              </w:rPr>
              <w:t>(21.5)</w:t>
            </w:r>
          </w:p>
        </w:tc>
      </w:tr>
      <w:tr w:rsidR="00B8202F" w:rsidRPr="00F95D84" w:rsidTr="00B8202F">
        <w:trPr>
          <w:trHeight w:val="20"/>
          <w:jc w:val="center"/>
        </w:trPr>
        <w:tc>
          <w:tcPr>
            <w:tcW w:w="1321" w:type="dxa"/>
          </w:tcPr>
          <w:p w:rsidR="00B8202F" w:rsidRDefault="00B8202F" w:rsidP="00900F2C">
            <w:pPr>
              <w:rPr>
                <w:rFonts w:ascii="Arial" w:eastAsia="Calibri" w:hAnsi="Arial" w:cs="Arial"/>
                <w:sz w:val="16"/>
                <w:szCs w:val="16"/>
              </w:rPr>
            </w:pPr>
          </w:p>
        </w:tc>
        <w:tc>
          <w:tcPr>
            <w:tcW w:w="7018" w:type="dxa"/>
            <w:gridSpan w:val="7"/>
            <w:vAlign w:val="center"/>
          </w:tcPr>
          <w:p w:rsidR="00B8202F" w:rsidRPr="00634B5B" w:rsidRDefault="00B8202F" w:rsidP="00685609">
            <w:pPr>
              <w:jc w:val="center"/>
              <w:rPr>
                <w:rFonts w:ascii="Arial" w:eastAsia="Calibri" w:hAnsi="Arial" w:cs="Arial"/>
                <w:b/>
                <w:sz w:val="16"/>
                <w:szCs w:val="16"/>
              </w:rPr>
            </w:pPr>
            <w:r w:rsidRPr="00634B5B">
              <w:rPr>
                <w:rFonts w:ascii="Arial" w:eastAsia="Calibri" w:hAnsi="Arial" w:cs="Arial"/>
                <w:b/>
                <w:sz w:val="16"/>
                <w:szCs w:val="16"/>
              </w:rPr>
              <w:t>Treatment: Risedronate</w:t>
            </w:r>
            <w:r>
              <w:rPr>
                <w:rFonts w:ascii="Arial" w:eastAsia="Calibri" w:hAnsi="Arial" w:cs="Arial"/>
                <w:b/>
                <w:sz w:val="16"/>
                <w:szCs w:val="16"/>
              </w:rPr>
              <w:t xml:space="preserve"> (35mg/week) and</w:t>
            </w:r>
            <w:r w:rsidRPr="00634B5B">
              <w:rPr>
                <w:rFonts w:ascii="Arial" w:eastAsia="Calibri" w:hAnsi="Arial" w:cs="Arial"/>
                <w:b/>
                <w:sz w:val="16"/>
                <w:szCs w:val="16"/>
              </w:rPr>
              <w:t xml:space="preserve"> N =</w:t>
            </w:r>
            <w:r>
              <w:rPr>
                <w:rFonts w:ascii="Arial" w:eastAsia="Calibri" w:hAnsi="Arial" w:cs="Arial"/>
                <w:b/>
                <w:sz w:val="16"/>
                <w:szCs w:val="16"/>
              </w:rPr>
              <w:t xml:space="preserve"> 57</w:t>
            </w: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-22</w:t>
            </w:r>
            <w:r w:rsidR="00B754DA">
              <w:rPr>
                <w:rFonts w:ascii="Arial" w:eastAsia="Calibri" w:hAnsi="Arial" w:cs="Arial"/>
                <w:sz w:val="16"/>
                <w:szCs w:val="16"/>
              </w:rPr>
              <w:t>(20.0</w:t>
            </w:r>
            <w:r w:rsidR="004310C3">
              <w:rPr>
                <w:rFonts w:ascii="Arial" w:eastAsia="Calibri" w:hAnsi="Arial" w:cs="Arial"/>
                <w:sz w:val="16"/>
                <w:szCs w:val="16"/>
              </w:rPr>
              <w:t xml:space="preserve">) </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-39</w:t>
            </w:r>
            <w:r w:rsidR="00B754DA">
              <w:rPr>
                <w:rFonts w:ascii="Arial" w:eastAsia="Calibri" w:hAnsi="Arial" w:cs="Arial"/>
                <w:sz w:val="16"/>
                <w:szCs w:val="16"/>
              </w:rPr>
              <w:t>(20.0</w:t>
            </w:r>
            <w:r w:rsidR="004310C3">
              <w:rPr>
                <w:rFonts w:ascii="Arial" w:eastAsia="Calibri" w:hAnsi="Arial" w:cs="Arial"/>
                <w:sz w:val="16"/>
                <w:szCs w:val="16"/>
              </w:rPr>
              <w:t>)</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-58</w:t>
            </w:r>
            <w:r w:rsidR="00B754DA">
              <w:rPr>
                <w:rFonts w:ascii="Arial" w:eastAsia="Calibri" w:hAnsi="Arial" w:cs="Arial"/>
                <w:sz w:val="16"/>
                <w:szCs w:val="16"/>
              </w:rPr>
              <w:t>(20.0</w:t>
            </w:r>
            <w:r w:rsidR="004310C3">
              <w:rPr>
                <w:rFonts w:ascii="Arial" w:eastAsia="Calibri" w:hAnsi="Arial" w:cs="Arial"/>
                <w:sz w:val="16"/>
                <w:szCs w:val="16"/>
              </w:rPr>
              <w:t>)</w:t>
            </w:r>
          </w:p>
        </w:tc>
        <w:tc>
          <w:tcPr>
            <w:tcW w:w="1003"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-60.1(20.0</w:t>
            </w:r>
            <w:r w:rsidR="004310C3">
              <w:rPr>
                <w:rFonts w:ascii="Arial" w:eastAsia="Calibri" w:hAnsi="Arial" w:cs="Arial"/>
                <w:sz w:val="16"/>
                <w:szCs w:val="16"/>
              </w:rPr>
              <w:t>)</w:t>
            </w:r>
          </w:p>
        </w:tc>
        <w:tc>
          <w:tcPr>
            <w:tcW w:w="1002"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-68.8(10.0</w:t>
            </w:r>
            <w:r w:rsidR="00FE7379">
              <w:rPr>
                <w:rFonts w:ascii="Arial" w:eastAsia="Calibri" w:hAnsi="Arial" w:cs="Arial"/>
                <w:sz w:val="16"/>
                <w:szCs w:val="16"/>
              </w:rPr>
              <w:t>)</w:t>
            </w:r>
          </w:p>
        </w:tc>
        <w:tc>
          <w:tcPr>
            <w:tcW w:w="1003"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-66.7(20</w:t>
            </w:r>
            <w:r w:rsidR="00FE7379">
              <w:rPr>
                <w:rFonts w:ascii="Arial" w:eastAsia="Calibri" w:hAnsi="Arial" w:cs="Arial"/>
                <w:sz w:val="16"/>
                <w:szCs w:val="16"/>
              </w:rPr>
              <w:t>)</w:t>
            </w:r>
          </w:p>
        </w:tc>
        <w:tc>
          <w:tcPr>
            <w:tcW w:w="1003"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-67.6(10.0</w:t>
            </w:r>
            <w:r w:rsidR="00FE7379">
              <w:rPr>
                <w:rFonts w:ascii="Arial" w:eastAsia="Calibri" w:hAnsi="Arial" w:cs="Arial"/>
                <w:sz w:val="16"/>
                <w:szCs w:val="16"/>
              </w:rPr>
              <w:t>)</w:t>
            </w:r>
          </w:p>
        </w:tc>
      </w:tr>
      <w:tr w:rsidR="00B8202F" w:rsidRPr="003A14C5" w:rsidTr="00B8202F">
        <w:trPr>
          <w:trHeight w:val="565"/>
          <w:jc w:val="center"/>
        </w:trPr>
        <w:tc>
          <w:tcPr>
            <w:tcW w:w="1321" w:type="dxa"/>
            <w:vAlign w:val="center"/>
          </w:tcPr>
          <w:p w:rsidR="00B8202F" w:rsidRPr="003A14C5" w:rsidRDefault="00B8202F" w:rsidP="00900F2C">
            <w:pPr>
              <w:rPr>
                <w:rFonts w:ascii="Arial" w:eastAsia="Calibri" w:hAnsi="Arial" w:cs="Arial"/>
                <w:sz w:val="16"/>
                <w:szCs w:val="16"/>
              </w:rPr>
            </w:pPr>
            <w:r w:rsidRPr="003A14C5">
              <w:rPr>
                <w:rFonts w:ascii="Arial" w:eastAsia="Calibri" w:hAnsi="Arial" w:cs="Arial"/>
                <w:sz w:val="16"/>
                <w:szCs w:val="16"/>
              </w:rPr>
              <w:t>Urine NTX, nmol BCE/mmol Cr</w:t>
            </w:r>
          </w:p>
        </w:tc>
        <w:tc>
          <w:tcPr>
            <w:tcW w:w="1002"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-15</w:t>
            </w:r>
            <w:r w:rsidR="003A14C5" w:rsidRPr="003A14C5">
              <w:rPr>
                <w:rFonts w:ascii="Arial" w:hAnsi="Arial" w:cs="Arial"/>
                <w:sz w:val="16"/>
                <w:szCs w:val="16"/>
              </w:rPr>
              <w:t>(27.0)</w:t>
            </w:r>
          </w:p>
        </w:tc>
        <w:tc>
          <w:tcPr>
            <w:tcW w:w="1003"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-34</w:t>
            </w:r>
            <w:r w:rsidR="003A14C5" w:rsidRPr="003A14C5">
              <w:rPr>
                <w:rFonts w:ascii="Arial" w:hAnsi="Arial" w:cs="Arial"/>
                <w:sz w:val="16"/>
                <w:szCs w:val="16"/>
              </w:rPr>
              <w:t>(39.6)</w:t>
            </w:r>
          </w:p>
        </w:tc>
        <w:tc>
          <w:tcPr>
            <w:tcW w:w="1002"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-47</w:t>
            </w:r>
            <w:r w:rsidR="003A14C5" w:rsidRPr="003A14C5">
              <w:rPr>
                <w:rFonts w:ascii="Arial" w:hAnsi="Arial" w:cs="Arial"/>
                <w:sz w:val="16"/>
                <w:szCs w:val="16"/>
              </w:rPr>
              <w:t>(56.1)</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-45.6(54.4)</w:t>
            </w:r>
          </w:p>
        </w:tc>
        <w:tc>
          <w:tcPr>
            <w:tcW w:w="1002"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-50.4(40.6)</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-51.6(53.7)</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-44.7(40.1)</w:t>
            </w:r>
          </w:p>
        </w:tc>
      </w:tr>
      <w:tr w:rsidR="00B8202F" w:rsidRPr="003A14C5" w:rsidTr="00B8202F">
        <w:trPr>
          <w:trHeight w:val="567"/>
          <w:jc w:val="center"/>
        </w:trPr>
        <w:tc>
          <w:tcPr>
            <w:tcW w:w="1321" w:type="dxa"/>
            <w:vAlign w:val="center"/>
          </w:tcPr>
          <w:p w:rsidR="00B8202F" w:rsidRPr="003A14C5" w:rsidRDefault="00B8202F" w:rsidP="00900F2C">
            <w:pPr>
              <w:rPr>
                <w:rFonts w:ascii="Arial" w:eastAsia="Calibri" w:hAnsi="Arial" w:cs="Arial"/>
                <w:sz w:val="16"/>
                <w:szCs w:val="16"/>
              </w:rPr>
            </w:pPr>
            <w:r w:rsidRPr="003A14C5">
              <w:rPr>
                <w:rFonts w:ascii="Arial" w:eastAsia="Calibri" w:hAnsi="Arial" w:cs="Arial"/>
                <w:sz w:val="16"/>
                <w:szCs w:val="16"/>
              </w:rPr>
              <w:t>Serum PINP, ng/ml</w:t>
            </w:r>
          </w:p>
        </w:tc>
        <w:tc>
          <w:tcPr>
            <w:tcW w:w="1002"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-1</w:t>
            </w:r>
            <w:r w:rsidR="003A14C5" w:rsidRPr="003A14C5">
              <w:rPr>
                <w:rFonts w:ascii="Arial" w:hAnsi="Arial" w:cs="Arial"/>
                <w:sz w:val="16"/>
                <w:szCs w:val="16"/>
              </w:rPr>
              <w:t>(11.8</w:t>
            </w:r>
            <w:r w:rsidR="008512B4" w:rsidRPr="003A14C5">
              <w:rPr>
                <w:rFonts w:ascii="Arial" w:hAnsi="Arial" w:cs="Arial"/>
                <w:sz w:val="16"/>
                <w:szCs w:val="16"/>
              </w:rPr>
              <w:t>)</w:t>
            </w:r>
          </w:p>
        </w:tc>
        <w:tc>
          <w:tcPr>
            <w:tcW w:w="1003"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-2</w:t>
            </w:r>
            <w:r w:rsidR="003A14C5" w:rsidRPr="003A14C5">
              <w:rPr>
                <w:rFonts w:ascii="Arial" w:hAnsi="Arial" w:cs="Arial"/>
                <w:sz w:val="16"/>
                <w:szCs w:val="16"/>
              </w:rPr>
              <w:t>(11.9</w:t>
            </w:r>
            <w:r w:rsidR="008512B4" w:rsidRPr="003A14C5">
              <w:rPr>
                <w:rFonts w:ascii="Arial" w:hAnsi="Arial" w:cs="Arial"/>
                <w:sz w:val="16"/>
                <w:szCs w:val="16"/>
              </w:rPr>
              <w:t>)</w:t>
            </w:r>
          </w:p>
        </w:tc>
        <w:tc>
          <w:tcPr>
            <w:tcW w:w="1002" w:type="dxa"/>
            <w:vAlign w:val="center"/>
          </w:tcPr>
          <w:p w:rsidR="00B8202F" w:rsidRPr="003A14C5" w:rsidRDefault="00B33CD3" w:rsidP="00900F2C">
            <w:pPr>
              <w:rPr>
                <w:rFonts w:ascii="Arial" w:eastAsia="Calibri" w:hAnsi="Arial" w:cs="Arial"/>
                <w:sz w:val="16"/>
                <w:szCs w:val="16"/>
              </w:rPr>
            </w:pPr>
            <w:r>
              <w:rPr>
                <w:rFonts w:ascii="Arial" w:hAnsi="Arial" w:cs="Arial"/>
                <w:sz w:val="16"/>
                <w:szCs w:val="16"/>
              </w:rPr>
              <w:t>-3</w:t>
            </w:r>
            <w:r w:rsidR="003A14C5" w:rsidRPr="003A14C5">
              <w:rPr>
                <w:rFonts w:ascii="Arial" w:hAnsi="Arial" w:cs="Arial"/>
                <w:sz w:val="16"/>
                <w:szCs w:val="16"/>
              </w:rPr>
              <w:t>(10.1</w:t>
            </w:r>
            <w:r w:rsidR="008512B4" w:rsidRPr="003A14C5">
              <w:rPr>
                <w:rFonts w:ascii="Arial" w:hAnsi="Arial" w:cs="Arial"/>
                <w:sz w:val="16"/>
                <w:szCs w:val="16"/>
              </w:rPr>
              <w:t>)</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-9.2(12.2</w:t>
            </w:r>
            <w:r w:rsidR="008512B4" w:rsidRPr="003A14C5">
              <w:rPr>
                <w:rFonts w:ascii="Arial" w:hAnsi="Arial" w:cs="Arial"/>
                <w:sz w:val="16"/>
                <w:szCs w:val="16"/>
              </w:rPr>
              <w:t>)</w:t>
            </w:r>
          </w:p>
        </w:tc>
        <w:tc>
          <w:tcPr>
            <w:tcW w:w="1002"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-51.8(25.4</w:t>
            </w:r>
            <w:r w:rsidR="008512B4" w:rsidRPr="003A14C5">
              <w:rPr>
                <w:rFonts w:ascii="Arial" w:hAnsi="Arial" w:cs="Arial"/>
                <w:sz w:val="16"/>
                <w:szCs w:val="16"/>
              </w:rPr>
              <w:t>)</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-57.5(34.9)</w:t>
            </w:r>
          </w:p>
        </w:tc>
        <w:tc>
          <w:tcPr>
            <w:tcW w:w="1003" w:type="dxa"/>
            <w:vAlign w:val="center"/>
          </w:tcPr>
          <w:p w:rsidR="00B8202F" w:rsidRPr="003A14C5" w:rsidRDefault="003A14C5" w:rsidP="00900F2C">
            <w:pPr>
              <w:rPr>
                <w:rFonts w:ascii="Arial" w:eastAsia="Calibri" w:hAnsi="Arial" w:cs="Arial"/>
                <w:sz w:val="16"/>
                <w:szCs w:val="16"/>
              </w:rPr>
            </w:pPr>
            <w:r w:rsidRPr="003A14C5">
              <w:rPr>
                <w:rFonts w:ascii="Arial" w:hAnsi="Arial" w:cs="Arial"/>
                <w:sz w:val="16"/>
                <w:szCs w:val="16"/>
              </w:rPr>
              <w:t>-57.0(26.3)</w:t>
            </w:r>
          </w:p>
        </w:tc>
      </w:tr>
      <w:tr w:rsidR="00B8202F" w:rsidRPr="008F0D15" w:rsidTr="00B8202F">
        <w:trPr>
          <w:trHeight w:val="567"/>
          <w:jc w:val="center"/>
        </w:trPr>
        <w:tc>
          <w:tcPr>
            <w:tcW w:w="1321" w:type="dxa"/>
            <w:vAlign w:val="center"/>
          </w:tcPr>
          <w:p w:rsidR="00B8202F" w:rsidRPr="00F3359B" w:rsidRDefault="00B8202F"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1002"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-5</w:t>
            </w:r>
            <w:r w:rsidR="003A14C5" w:rsidRPr="008F0D15">
              <w:rPr>
                <w:rFonts w:ascii="Arial" w:hAnsi="Arial" w:cs="Arial"/>
                <w:sz w:val="16"/>
                <w:szCs w:val="16"/>
              </w:rPr>
              <w:t>(13.4)</w:t>
            </w:r>
          </w:p>
        </w:tc>
        <w:tc>
          <w:tcPr>
            <w:tcW w:w="1003"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-5</w:t>
            </w:r>
            <w:r w:rsidR="003A14C5" w:rsidRPr="008F0D15">
              <w:rPr>
                <w:rFonts w:ascii="Arial" w:hAnsi="Arial" w:cs="Arial"/>
                <w:sz w:val="16"/>
                <w:szCs w:val="16"/>
              </w:rPr>
              <w:t>(13.0)</w:t>
            </w:r>
          </w:p>
        </w:tc>
        <w:tc>
          <w:tcPr>
            <w:tcW w:w="1002"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-4</w:t>
            </w:r>
            <w:r w:rsidR="003A14C5" w:rsidRPr="008F0D15">
              <w:rPr>
                <w:rFonts w:ascii="Arial" w:hAnsi="Arial" w:cs="Arial"/>
                <w:sz w:val="16"/>
                <w:szCs w:val="16"/>
              </w:rPr>
              <w:t>(12.1)</w:t>
            </w:r>
          </w:p>
        </w:tc>
        <w:tc>
          <w:tcPr>
            <w:tcW w:w="1003" w:type="dxa"/>
            <w:vAlign w:val="center"/>
          </w:tcPr>
          <w:p w:rsidR="00B8202F" w:rsidRPr="008F0D15" w:rsidRDefault="003A14C5" w:rsidP="00900F2C">
            <w:pPr>
              <w:rPr>
                <w:rFonts w:ascii="Arial" w:eastAsia="Calibri" w:hAnsi="Arial" w:cs="Arial"/>
                <w:sz w:val="16"/>
                <w:szCs w:val="16"/>
              </w:rPr>
            </w:pPr>
            <w:r w:rsidRPr="008F0D15">
              <w:rPr>
                <w:rFonts w:ascii="Arial" w:hAnsi="Arial" w:cs="Arial"/>
                <w:sz w:val="16"/>
                <w:szCs w:val="16"/>
              </w:rPr>
              <w:t>-5.4(10.9)</w:t>
            </w:r>
          </w:p>
        </w:tc>
        <w:tc>
          <w:tcPr>
            <w:tcW w:w="1002" w:type="dxa"/>
            <w:vAlign w:val="center"/>
          </w:tcPr>
          <w:p w:rsidR="00B8202F" w:rsidRPr="008F0D15" w:rsidRDefault="003A14C5" w:rsidP="00900F2C">
            <w:pPr>
              <w:rPr>
                <w:rFonts w:ascii="Arial" w:eastAsia="Calibri" w:hAnsi="Arial" w:cs="Arial"/>
                <w:sz w:val="16"/>
                <w:szCs w:val="16"/>
              </w:rPr>
            </w:pPr>
            <w:r w:rsidRPr="008F0D15">
              <w:rPr>
                <w:rFonts w:ascii="Arial" w:hAnsi="Arial" w:cs="Arial"/>
                <w:sz w:val="16"/>
                <w:szCs w:val="16"/>
              </w:rPr>
              <w:t>-31.4(18.9)</w:t>
            </w:r>
          </w:p>
        </w:tc>
        <w:tc>
          <w:tcPr>
            <w:tcW w:w="1003" w:type="dxa"/>
            <w:vAlign w:val="center"/>
          </w:tcPr>
          <w:p w:rsidR="00B8202F" w:rsidRPr="008F0D15" w:rsidRDefault="003A14C5" w:rsidP="00900F2C">
            <w:pPr>
              <w:rPr>
                <w:rFonts w:ascii="Arial" w:eastAsia="Calibri" w:hAnsi="Arial" w:cs="Arial"/>
                <w:sz w:val="16"/>
                <w:szCs w:val="16"/>
              </w:rPr>
            </w:pPr>
            <w:r w:rsidRPr="008F0D15">
              <w:rPr>
                <w:rFonts w:ascii="Arial" w:hAnsi="Arial" w:cs="Arial"/>
                <w:sz w:val="16"/>
                <w:szCs w:val="16"/>
              </w:rPr>
              <w:t>-37.9(19.4)</w:t>
            </w:r>
          </w:p>
        </w:tc>
        <w:tc>
          <w:tcPr>
            <w:tcW w:w="1003" w:type="dxa"/>
            <w:vAlign w:val="center"/>
          </w:tcPr>
          <w:p w:rsidR="00B8202F" w:rsidRPr="008F0D15" w:rsidRDefault="003A14C5" w:rsidP="00900F2C">
            <w:pPr>
              <w:rPr>
                <w:rFonts w:ascii="Arial" w:eastAsia="Calibri" w:hAnsi="Arial" w:cs="Arial"/>
                <w:sz w:val="16"/>
                <w:szCs w:val="16"/>
              </w:rPr>
            </w:pPr>
            <w:r w:rsidRPr="008F0D15">
              <w:rPr>
                <w:rFonts w:ascii="Arial" w:hAnsi="Arial" w:cs="Arial"/>
                <w:sz w:val="16"/>
                <w:szCs w:val="16"/>
              </w:rPr>
              <w:t>-33.4(18.0)</w:t>
            </w:r>
          </w:p>
        </w:tc>
      </w:tr>
      <w:tr w:rsidR="00B8202F" w:rsidRPr="008F0D15" w:rsidTr="00B8202F">
        <w:trPr>
          <w:trHeight w:val="567"/>
          <w:jc w:val="center"/>
        </w:trPr>
        <w:tc>
          <w:tcPr>
            <w:tcW w:w="1321" w:type="dxa"/>
            <w:vAlign w:val="center"/>
          </w:tcPr>
          <w:p w:rsidR="00B8202F" w:rsidRPr="008F0D15" w:rsidRDefault="00B8202F" w:rsidP="00900F2C">
            <w:pPr>
              <w:rPr>
                <w:rFonts w:ascii="Arial" w:eastAsia="Calibri" w:hAnsi="Arial" w:cs="Arial"/>
                <w:sz w:val="16"/>
                <w:szCs w:val="16"/>
              </w:rPr>
            </w:pPr>
            <w:r w:rsidRPr="008F0D15">
              <w:rPr>
                <w:rFonts w:ascii="Arial" w:eastAsia="Calibri" w:hAnsi="Arial" w:cs="Arial"/>
                <w:sz w:val="16"/>
                <w:szCs w:val="16"/>
              </w:rPr>
              <w:t>Serum osteocalcin, ng/ml</w:t>
            </w:r>
          </w:p>
        </w:tc>
        <w:tc>
          <w:tcPr>
            <w:tcW w:w="1002"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-3</w:t>
            </w:r>
            <w:r w:rsidR="008F0D15" w:rsidRPr="008F0D15">
              <w:rPr>
                <w:rFonts w:ascii="Arial" w:hAnsi="Arial" w:cs="Arial"/>
                <w:sz w:val="16"/>
                <w:szCs w:val="16"/>
              </w:rPr>
              <w:t>(12.1)</w:t>
            </w:r>
          </w:p>
        </w:tc>
        <w:tc>
          <w:tcPr>
            <w:tcW w:w="1003"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-1</w:t>
            </w:r>
            <w:r w:rsidR="008F0D15" w:rsidRPr="008F0D15">
              <w:rPr>
                <w:rFonts w:ascii="Arial" w:hAnsi="Arial" w:cs="Arial"/>
                <w:sz w:val="16"/>
                <w:szCs w:val="16"/>
              </w:rPr>
              <w:t>(10.5)</w:t>
            </w:r>
          </w:p>
        </w:tc>
        <w:tc>
          <w:tcPr>
            <w:tcW w:w="1002" w:type="dxa"/>
            <w:vAlign w:val="center"/>
          </w:tcPr>
          <w:p w:rsidR="00B8202F" w:rsidRPr="008F0D15" w:rsidRDefault="00B33CD3" w:rsidP="00900F2C">
            <w:pPr>
              <w:rPr>
                <w:rFonts w:ascii="Arial" w:eastAsia="Calibri" w:hAnsi="Arial" w:cs="Arial"/>
                <w:sz w:val="16"/>
                <w:szCs w:val="16"/>
              </w:rPr>
            </w:pPr>
            <w:r>
              <w:rPr>
                <w:rFonts w:ascii="Arial" w:hAnsi="Arial" w:cs="Arial"/>
                <w:sz w:val="16"/>
                <w:szCs w:val="16"/>
              </w:rPr>
              <w:t>-4(9.1</w:t>
            </w:r>
            <w:r w:rsidR="008F0D15" w:rsidRPr="008F0D15">
              <w:rPr>
                <w:rFonts w:ascii="Arial" w:hAnsi="Arial" w:cs="Arial"/>
                <w:sz w:val="16"/>
                <w:szCs w:val="16"/>
              </w:rPr>
              <w:t>)</w:t>
            </w:r>
          </w:p>
        </w:tc>
        <w:tc>
          <w:tcPr>
            <w:tcW w:w="1003" w:type="dxa"/>
            <w:vAlign w:val="center"/>
          </w:tcPr>
          <w:p w:rsidR="00B8202F" w:rsidRPr="008F0D15" w:rsidRDefault="008F0D15" w:rsidP="00900F2C">
            <w:pPr>
              <w:rPr>
                <w:rFonts w:ascii="Arial" w:eastAsia="Calibri" w:hAnsi="Arial" w:cs="Arial"/>
                <w:sz w:val="16"/>
                <w:szCs w:val="16"/>
              </w:rPr>
            </w:pPr>
            <w:r w:rsidRPr="008F0D15">
              <w:rPr>
                <w:rFonts w:ascii="Arial" w:hAnsi="Arial" w:cs="Arial"/>
                <w:sz w:val="16"/>
                <w:szCs w:val="16"/>
              </w:rPr>
              <w:t>-5.9(9.6)</w:t>
            </w:r>
          </w:p>
        </w:tc>
        <w:tc>
          <w:tcPr>
            <w:tcW w:w="1002" w:type="dxa"/>
            <w:vAlign w:val="center"/>
          </w:tcPr>
          <w:p w:rsidR="00B8202F" w:rsidRPr="008F0D15" w:rsidRDefault="008F0D15" w:rsidP="00900F2C">
            <w:pPr>
              <w:rPr>
                <w:rFonts w:ascii="Arial" w:eastAsia="Calibri" w:hAnsi="Arial" w:cs="Arial"/>
                <w:sz w:val="16"/>
                <w:szCs w:val="16"/>
              </w:rPr>
            </w:pPr>
            <w:r w:rsidRPr="008F0D15">
              <w:rPr>
                <w:rFonts w:ascii="Arial" w:hAnsi="Arial" w:cs="Arial"/>
                <w:sz w:val="16"/>
                <w:szCs w:val="16"/>
              </w:rPr>
              <w:t>-33.1(13.6)</w:t>
            </w:r>
          </w:p>
        </w:tc>
        <w:tc>
          <w:tcPr>
            <w:tcW w:w="1003" w:type="dxa"/>
            <w:vAlign w:val="center"/>
          </w:tcPr>
          <w:p w:rsidR="00B8202F" w:rsidRPr="008F0D15" w:rsidRDefault="008F0D15" w:rsidP="00900F2C">
            <w:pPr>
              <w:rPr>
                <w:rFonts w:ascii="Arial" w:eastAsia="Calibri" w:hAnsi="Arial" w:cs="Arial"/>
                <w:sz w:val="16"/>
                <w:szCs w:val="16"/>
              </w:rPr>
            </w:pPr>
            <w:r w:rsidRPr="008F0D15">
              <w:rPr>
                <w:rFonts w:ascii="Arial" w:hAnsi="Arial" w:cs="Arial"/>
                <w:sz w:val="16"/>
                <w:szCs w:val="16"/>
              </w:rPr>
              <w:t>-46.0(23.7)</w:t>
            </w:r>
          </w:p>
        </w:tc>
        <w:tc>
          <w:tcPr>
            <w:tcW w:w="1003" w:type="dxa"/>
            <w:vAlign w:val="center"/>
          </w:tcPr>
          <w:p w:rsidR="00B8202F" w:rsidRPr="008F0D15" w:rsidRDefault="008F0D15" w:rsidP="00900F2C">
            <w:pPr>
              <w:rPr>
                <w:rFonts w:ascii="Arial" w:eastAsia="Calibri" w:hAnsi="Arial" w:cs="Arial"/>
                <w:sz w:val="16"/>
                <w:szCs w:val="16"/>
              </w:rPr>
            </w:pPr>
            <w:r w:rsidRPr="008F0D15">
              <w:rPr>
                <w:rFonts w:ascii="Arial" w:hAnsi="Arial" w:cs="Arial"/>
                <w:sz w:val="16"/>
                <w:szCs w:val="16"/>
              </w:rPr>
              <w:t>-46.8(17.8)</w:t>
            </w:r>
          </w:p>
        </w:tc>
      </w:tr>
      <w:tr w:rsidR="00B8202F" w:rsidRPr="00F95D84" w:rsidTr="00B8202F">
        <w:trPr>
          <w:trHeight w:val="20"/>
          <w:jc w:val="center"/>
        </w:trPr>
        <w:tc>
          <w:tcPr>
            <w:tcW w:w="1321" w:type="dxa"/>
          </w:tcPr>
          <w:p w:rsidR="00B8202F" w:rsidRDefault="00B8202F" w:rsidP="00900F2C">
            <w:pPr>
              <w:rPr>
                <w:rFonts w:ascii="Arial" w:eastAsia="Calibri" w:hAnsi="Arial" w:cs="Arial"/>
                <w:sz w:val="16"/>
                <w:szCs w:val="16"/>
              </w:rPr>
            </w:pPr>
          </w:p>
        </w:tc>
        <w:tc>
          <w:tcPr>
            <w:tcW w:w="7018" w:type="dxa"/>
            <w:gridSpan w:val="7"/>
            <w:vAlign w:val="center"/>
          </w:tcPr>
          <w:p w:rsidR="00B8202F" w:rsidRDefault="00B8202F" w:rsidP="00900F2C">
            <w:pPr>
              <w:rPr>
                <w:rFonts w:ascii="Arial" w:eastAsia="Calibri" w:hAnsi="Arial" w:cs="Arial"/>
                <w:b/>
                <w:sz w:val="16"/>
                <w:szCs w:val="16"/>
              </w:rPr>
            </w:pPr>
          </w:p>
          <w:p w:rsidR="00B8202F" w:rsidRPr="00634B5B" w:rsidRDefault="00B8202F" w:rsidP="00685609">
            <w:pPr>
              <w:jc w:val="center"/>
              <w:rPr>
                <w:rFonts w:ascii="Arial" w:eastAsia="Calibri" w:hAnsi="Arial" w:cs="Arial"/>
                <w:b/>
                <w:sz w:val="16"/>
                <w:szCs w:val="16"/>
              </w:rPr>
            </w:pPr>
            <w:r>
              <w:rPr>
                <w:rFonts w:ascii="Arial" w:eastAsia="Calibri" w:hAnsi="Arial" w:cs="Arial"/>
                <w:b/>
                <w:sz w:val="16"/>
                <w:szCs w:val="16"/>
              </w:rPr>
              <w:t>Raloxifene</w:t>
            </w:r>
            <w:r w:rsidR="00341988">
              <w:rPr>
                <w:rFonts w:ascii="Arial" w:eastAsia="Calibri" w:hAnsi="Arial" w:cs="Arial"/>
                <w:b/>
                <w:sz w:val="16"/>
                <w:szCs w:val="16"/>
              </w:rPr>
              <w:t xml:space="preserve"> (60mg/day)</w:t>
            </w:r>
            <w:r w:rsidRPr="00634B5B">
              <w:rPr>
                <w:rFonts w:ascii="Arial" w:eastAsia="Calibri" w:hAnsi="Arial" w:cs="Arial"/>
                <w:b/>
                <w:sz w:val="16"/>
                <w:szCs w:val="16"/>
              </w:rPr>
              <w:t xml:space="preserve"> and N = </w:t>
            </w:r>
            <w:r>
              <w:rPr>
                <w:rFonts w:ascii="Arial" w:eastAsia="Calibri" w:hAnsi="Arial" w:cs="Arial"/>
                <w:b/>
                <w:sz w:val="16"/>
                <w:szCs w:val="16"/>
              </w:rPr>
              <w:t>92</w:t>
            </w:r>
          </w:p>
        </w:tc>
      </w:tr>
      <w:tr w:rsidR="00B8202F" w:rsidRPr="00634B5B" w:rsidTr="00B8202F">
        <w:trPr>
          <w:trHeight w:val="20"/>
          <w:jc w:val="center"/>
        </w:trPr>
        <w:tc>
          <w:tcPr>
            <w:tcW w:w="1321"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Visit</w:t>
            </w:r>
          </w:p>
        </w:tc>
        <w:tc>
          <w:tcPr>
            <w:tcW w:w="1002"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1</w:t>
            </w:r>
          </w:p>
        </w:tc>
        <w:tc>
          <w:tcPr>
            <w:tcW w:w="1003"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2</w:t>
            </w:r>
          </w:p>
        </w:tc>
        <w:tc>
          <w:tcPr>
            <w:tcW w:w="1002" w:type="dxa"/>
          </w:tcPr>
          <w:p w:rsidR="00B8202F" w:rsidRPr="00634B5B" w:rsidRDefault="00B8202F" w:rsidP="00900F2C">
            <w:pPr>
              <w:rPr>
                <w:rFonts w:ascii="Arial" w:eastAsia="Calibri" w:hAnsi="Arial" w:cs="Arial"/>
                <w:b/>
                <w:sz w:val="16"/>
                <w:szCs w:val="16"/>
              </w:rPr>
            </w:pPr>
            <w:r w:rsidRPr="00634B5B">
              <w:rPr>
                <w:rFonts w:ascii="Arial" w:eastAsia="Calibri" w:hAnsi="Arial" w:cs="Arial"/>
                <w:b/>
                <w:sz w:val="16"/>
                <w:szCs w:val="16"/>
              </w:rPr>
              <w:t>Week 4</w:t>
            </w:r>
          </w:p>
        </w:tc>
        <w:tc>
          <w:tcPr>
            <w:tcW w:w="1003" w:type="dxa"/>
          </w:tcPr>
          <w:p w:rsidR="00B8202F" w:rsidRPr="00634B5B" w:rsidRDefault="00B8202F" w:rsidP="00900F2C">
            <w:pPr>
              <w:rPr>
                <w:rFonts w:ascii="Arial" w:eastAsia="Calibri" w:hAnsi="Arial" w:cs="Arial"/>
                <w:b/>
                <w:sz w:val="16"/>
                <w:szCs w:val="16"/>
                <w:vertAlign w:val="subscript"/>
              </w:rPr>
            </w:pPr>
            <w:r>
              <w:rPr>
                <w:rFonts w:ascii="Arial" w:eastAsia="Calibri" w:hAnsi="Arial" w:cs="Arial"/>
                <w:b/>
                <w:sz w:val="16"/>
                <w:szCs w:val="16"/>
              </w:rPr>
              <w:t>Week 8</w:t>
            </w:r>
          </w:p>
        </w:tc>
        <w:tc>
          <w:tcPr>
            <w:tcW w:w="1002"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Week 12</w:t>
            </w:r>
          </w:p>
        </w:tc>
        <w:tc>
          <w:tcPr>
            <w:tcW w:w="1003"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Week 24</w:t>
            </w:r>
          </w:p>
        </w:tc>
        <w:tc>
          <w:tcPr>
            <w:tcW w:w="1003" w:type="dxa"/>
          </w:tcPr>
          <w:p w:rsidR="00B8202F" w:rsidRPr="00634B5B" w:rsidRDefault="00B8202F" w:rsidP="00900F2C">
            <w:pPr>
              <w:rPr>
                <w:rFonts w:ascii="Arial" w:eastAsia="Calibri" w:hAnsi="Arial" w:cs="Arial"/>
                <w:b/>
                <w:sz w:val="16"/>
                <w:szCs w:val="16"/>
              </w:rPr>
            </w:pPr>
            <w:r>
              <w:rPr>
                <w:rFonts w:ascii="Arial" w:eastAsia="Calibri" w:hAnsi="Arial" w:cs="Arial"/>
                <w:b/>
                <w:sz w:val="16"/>
                <w:szCs w:val="16"/>
              </w:rPr>
              <w:t>Week 48</w:t>
            </w: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CTX</w:t>
            </w:r>
            <w:r>
              <w:rPr>
                <w:rFonts w:ascii="Arial" w:eastAsia="Calibri" w:hAnsi="Arial" w:cs="Arial"/>
                <w:sz w:val="16"/>
                <w:szCs w:val="16"/>
              </w:rPr>
              <w:t>, ng/ml</w:t>
            </w:r>
          </w:p>
        </w:tc>
        <w:tc>
          <w:tcPr>
            <w:tcW w:w="1002" w:type="dxa"/>
            <w:vAlign w:val="center"/>
          </w:tcPr>
          <w:p w:rsidR="00B8202F" w:rsidRPr="00F95D84" w:rsidRDefault="00B754DA" w:rsidP="00900F2C">
            <w:pPr>
              <w:rPr>
                <w:rFonts w:ascii="Arial" w:eastAsia="Calibri" w:hAnsi="Arial" w:cs="Arial"/>
                <w:sz w:val="16"/>
                <w:szCs w:val="16"/>
              </w:rPr>
            </w:pPr>
            <w:r>
              <w:rPr>
                <w:rFonts w:ascii="Arial" w:eastAsia="Calibri" w:hAnsi="Arial" w:cs="Arial"/>
                <w:sz w:val="16"/>
                <w:szCs w:val="16"/>
              </w:rPr>
              <w:t>-24(19.3</w:t>
            </w:r>
            <w:r w:rsidR="003E3973">
              <w:rPr>
                <w:rFonts w:ascii="Arial" w:eastAsia="Calibri" w:hAnsi="Arial" w:cs="Arial"/>
                <w:sz w:val="16"/>
                <w:szCs w:val="16"/>
              </w:rPr>
              <w:t>)</w:t>
            </w:r>
          </w:p>
        </w:tc>
        <w:tc>
          <w:tcPr>
            <w:tcW w:w="1003" w:type="dxa"/>
            <w:vAlign w:val="center"/>
          </w:tcPr>
          <w:p w:rsidR="00B8202F" w:rsidRPr="00F95D84" w:rsidRDefault="00B754DA" w:rsidP="00900F2C">
            <w:pPr>
              <w:rPr>
                <w:rFonts w:ascii="Arial" w:eastAsia="Calibri" w:hAnsi="Arial" w:cs="Arial"/>
                <w:sz w:val="16"/>
                <w:szCs w:val="16"/>
              </w:rPr>
            </w:pPr>
            <w:r>
              <w:rPr>
                <w:rFonts w:ascii="Arial" w:eastAsia="Calibri" w:hAnsi="Arial" w:cs="Arial"/>
                <w:sz w:val="16"/>
                <w:szCs w:val="16"/>
              </w:rPr>
              <w:t>-28(21.3</w:t>
            </w:r>
            <w:r w:rsidR="006E161D">
              <w:rPr>
                <w:rFonts w:ascii="Arial" w:eastAsia="Calibri" w:hAnsi="Arial" w:cs="Arial"/>
                <w:sz w:val="16"/>
                <w:szCs w:val="16"/>
              </w:rPr>
              <w:t>)</w:t>
            </w:r>
          </w:p>
        </w:tc>
        <w:tc>
          <w:tcPr>
            <w:tcW w:w="1002" w:type="dxa"/>
            <w:vAlign w:val="center"/>
          </w:tcPr>
          <w:p w:rsidR="00B8202F" w:rsidRPr="00F95D84" w:rsidRDefault="00B754DA" w:rsidP="00900F2C">
            <w:pPr>
              <w:rPr>
                <w:rFonts w:ascii="Arial" w:eastAsia="Calibri" w:hAnsi="Arial" w:cs="Arial"/>
                <w:sz w:val="16"/>
                <w:szCs w:val="16"/>
              </w:rPr>
            </w:pPr>
            <w:r>
              <w:rPr>
                <w:rFonts w:ascii="Arial" w:eastAsia="Calibri" w:hAnsi="Arial" w:cs="Arial"/>
                <w:sz w:val="16"/>
                <w:szCs w:val="16"/>
              </w:rPr>
              <w:t>-37(20.3</w:t>
            </w:r>
            <w:r w:rsidR="006E161D">
              <w:rPr>
                <w:rFonts w:ascii="Arial" w:eastAsia="Calibri" w:hAnsi="Arial" w:cs="Arial"/>
                <w:sz w:val="16"/>
                <w:szCs w:val="16"/>
              </w:rPr>
              <w:t>)</w:t>
            </w:r>
          </w:p>
        </w:tc>
        <w:tc>
          <w:tcPr>
            <w:tcW w:w="1003"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-37(20.3</w:t>
            </w:r>
            <w:r w:rsidR="006E161D">
              <w:rPr>
                <w:rFonts w:ascii="Arial" w:eastAsia="Calibri" w:hAnsi="Arial" w:cs="Arial"/>
                <w:sz w:val="16"/>
                <w:szCs w:val="16"/>
              </w:rPr>
              <w:t>)</w:t>
            </w:r>
          </w:p>
        </w:tc>
        <w:tc>
          <w:tcPr>
            <w:tcW w:w="1002"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-39(20.6</w:t>
            </w:r>
            <w:r w:rsidR="006E161D">
              <w:rPr>
                <w:rFonts w:ascii="Arial" w:eastAsia="Calibri" w:hAnsi="Arial" w:cs="Arial"/>
                <w:sz w:val="16"/>
                <w:szCs w:val="16"/>
              </w:rPr>
              <w:t>)</w:t>
            </w:r>
          </w:p>
        </w:tc>
        <w:tc>
          <w:tcPr>
            <w:tcW w:w="1003" w:type="dxa"/>
            <w:vAlign w:val="center"/>
          </w:tcPr>
          <w:p w:rsidR="00B8202F" w:rsidRPr="00E75A3C" w:rsidRDefault="00B754DA" w:rsidP="00900F2C">
            <w:pPr>
              <w:rPr>
                <w:rFonts w:ascii="Arial" w:eastAsia="Calibri" w:hAnsi="Arial" w:cs="Arial"/>
                <w:sz w:val="16"/>
                <w:szCs w:val="16"/>
              </w:rPr>
            </w:pPr>
            <w:r>
              <w:rPr>
                <w:rFonts w:ascii="Arial" w:eastAsia="Calibri" w:hAnsi="Arial" w:cs="Arial"/>
                <w:sz w:val="16"/>
                <w:szCs w:val="16"/>
              </w:rPr>
              <w:t>-44(21.3</w:t>
            </w:r>
            <w:r w:rsidR="006E161D">
              <w:rPr>
                <w:rFonts w:ascii="Arial" w:eastAsia="Calibri" w:hAnsi="Arial" w:cs="Arial"/>
                <w:sz w:val="16"/>
                <w:szCs w:val="16"/>
              </w:rPr>
              <w:t>)</w:t>
            </w:r>
          </w:p>
        </w:tc>
        <w:tc>
          <w:tcPr>
            <w:tcW w:w="1003" w:type="dxa"/>
            <w:vAlign w:val="center"/>
          </w:tcPr>
          <w:p w:rsidR="00B8202F" w:rsidRPr="00E75A3C" w:rsidRDefault="00733308" w:rsidP="00900F2C">
            <w:pPr>
              <w:rPr>
                <w:rFonts w:ascii="Arial" w:eastAsia="Calibri" w:hAnsi="Arial" w:cs="Arial"/>
                <w:sz w:val="16"/>
                <w:szCs w:val="16"/>
              </w:rPr>
            </w:pPr>
            <w:r>
              <w:rPr>
                <w:rFonts w:ascii="Arial" w:eastAsia="Calibri" w:hAnsi="Arial" w:cs="Arial"/>
                <w:sz w:val="16"/>
                <w:szCs w:val="16"/>
              </w:rPr>
              <w:t>-48</w:t>
            </w:r>
            <w:r w:rsidR="00B754DA">
              <w:rPr>
                <w:rFonts w:ascii="Arial" w:eastAsia="Calibri" w:hAnsi="Arial" w:cs="Arial"/>
                <w:sz w:val="16"/>
                <w:szCs w:val="16"/>
              </w:rPr>
              <w:t>(23.3</w:t>
            </w:r>
            <w:r w:rsidR="006E161D">
              <w:rPr>
                <w:rFonts w:ascii="Arial" w:eastAsia="Calibri" w:hAnsi="Arial" w:cs="Arial"/>
                <w:sz w:val="16"/>
                <w:szCs w:val="16"/>
              </w:rPr>
              <w:t>)</w:t>
            </w:r>
          </w:p>
        </w:tc>
      </w:tr>
      <w:tr w:rsidR="00B8202F" w:rsidRPr="00F95D84" w:rsidTr="00B8202F">
        <w:trPr>
          <w:trHeight w:val="565"/>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Urine NTX, nmol BCE/mmol Cr</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-6</w:t>
            </w:r>
            <w:r w:rsidR="00DD5AE4">
              <w:rPr>
                <w:rFonts w:ascii="Arial" w:eastAsia="Calibri" w:hAnsi="Arial" w:cs="Arial"/>
                <w:sz w:val="16"/>
                <w:szCs w:val="16"/>
              </w:rPr>
              <w:t>(18.5)</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-23(18.0)</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-15(13.1)</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-23(16.5)</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-16(18.5)</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-26(17.6)</w:t>
            </w:r>
          </w:p>
        </w:tc>
        <w:tc>
          <w:tcPr>
            <w:tcW w:w="1003" w:type="dxa"/>
            <w:vAlign w:val="center"/>
          </w:tcPr>
          <w:p w:rsidR="00FB278A" w:rsidRDefault="00FB278A" w:rsidP="00900F2C">
            <w:pPr>
              <w:rPr>
                <w:rFonts w:ascii="Arial" w:eastAsia="Calibri" w:hAnsi="Arial" w:cs="Arial"/>
                <w:sz w:val="16"/>
                <w:szCs w:val="16"/>
              </w:rPr>
            </w:pPr>
          </w:p>
          <w:p w:rsidR="00B8202F" w:rsidRDefault="00FB278A" w:rsidP="00900F2C">
            <w:pPr>
              <w:rPr>
                <w:rFonts w:ascii="Arial" w:eastAsia="Calibri" w:hAnsi="Arial" w:cs="Arial"/>
                <w:sz w:val="16"/>
                <w:szCs w:val="16"/>
              </w:rPr>
            </w:pPr>
            <w:r>
              <w:rPr>
                <w:rFonts w:ascii="Arial" w:eastAsia="Calibri" w:hAnsi="Arial" w:cs="Arial"/>
                <w:sz w:val="16"/>
                <w:szCs w:val="16"/>
              </w:rPr>
              <w:t>-30(16.0)</w:t>
            </w:r>
          </w:p>
          <w:p w:rsidR="001E1DE8" w:rsidRPr="00F95D84" w:rsidRDefault="001E1DE8" w:rsidP="00900F2C">
            <w:pPr>
              <w:rPr>
                <w:rFonts w:ascii="Arial" w:eastAsia="Calibri" w:hAnsi="Arial" w:cs="Arial"/>
                <w:sz w:val="16"/>
                <w:szCs w:val="16"/>
              </w:rPr>
            </w:pP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 xml:space="preserve">Serum </w:t>
            </w:r>
            <w:r w:rsidRPr="00F95D84">
              <w:rPr>
                <w:rFonts w:ascii="Arial" w:eastAsia="Calibri" w:hAnsi="Arial" w:cs="Arial"/>
                <w:sz w:val="16"/>
                <w:szCs w:val="16"/>
              </w:rPr>
              <w:t>PINP</w:t>
            </w:r>
            <w:r>
              <w:rPr>
                <w:rFonts w:ascii="Arial" w:eastAsia="Calibri" w:hAnsi="Arial" w:cs="Arial"/>
                <w:sz w:val="16"/>
                <w:szCs w:val="16"/>
              </w:rPr>
              <w:t>, ng/ml</w:t>
            </w:r>
          </w:p>
        </w:tc>
        <w:tc>
          <w:tcPr>
            <w:tcW w:w="1002" w:type="dxa"/>
            <w:vAlign w:val="center"/>
          </w:tcPr>
          <w:p w:rsidR="00B8202F" w:rsidRPr="00F95D84" w:rsidRDefault="00530146" w:rsidP="00900F2C">
            <w:pPr>
              <w:rPr>
                <w:rFonts w:ascii="Arial" w:eastAsia="Calibri" w:hAnsi="Arial" w:cs="Arial"/>
                <w:sz w:val="16"/>
                <w:szCs w:val="16"/>
              </w:rPr>
            </w:pPr>
            <w:r>
              <w:rPr>
                <w:rFonts w:ascii="Arial" w:eastAsia="Calibri" w:hAnsi="Arial" w:cs="Arial"/>
                <w:sz w:val="16"/>
                <w:szCs w:val="16"/>
              </w:rPr>
              <w:t>-</w:t>
            </w:r>
            <w:r w:rsidR="006E161D">
              <w:rPr>
                <w:rFonts w:ascii="Arial" w:eastAsia="Calibri" w:hAnsi="Arial" w:cs="Arial"/>
                <w:sz w:val="16"/>
                <w:szCs w:val="16"/>
              </w:rPr>
              <w:t>5</w:t>
            </w:r>
            <w:r w:rsidR="00113701">
              <w:rPr>
                <w:rFonts w:ascii="Arial" w:eastAsia="Calibri" w:hAnsi="Arial" w:cs="Arial"/>
                <w:sz w:val="16"/>
                <w:szCs w:val="16"/>
              </w:rPr>
              <w:t>(</w:t>
            </w:r>
            <w:r w:rsidR="00F65848">
              <w:rPr>
                <w:rFonts w:ascii="Arial" w:eastAsia="Calibri" w:hAnsi="Arial" w:cs="Arial"/>
                <w:sz w:val="16"/>
                <w:szCs w:val="16"/>
              </w:rPr>
              <w:t>18.6)</w:t>
            </w:r>
          </w:p>
        </w:tc>
        <w:tc>
          <w:tcPr>
            <w:tcW w:w="1003" w:type="dxa"/>
            <w:vAlign w:val="center"/>
          </w:tcPr>
          <w:p w:rsidR="00B8202F" w:rsidRPr="00F95D84" w:rsidRDefault="006E161D" w:rsidP="00900F2C">
            <w:pPr>
              <w:rPr>
                <w:rFonts w:ascii="Arial" w:eastAsia="Calibri" w:hAnsi="Arial" w:cs="Arial"/>
                <w:sz w:val="16"/>
                <w:szCs w:val="16"/>
              </w:rPr>
            </w:pPr>
            <w:r>
              <w:rPr>
                <w:rFonts w:ascii="Arial" w:eastAsia="Calibri" w:hAnsi="Arial" w:cs="Arial"/>
                <w:sz w:val="16"/>
                <w:szCs w:val="16"/>
              </w:rPr>
              <w:t>-1</w:t>
            </w:r>
            <w:r w:rsidR="00F65848">
              <w:rPr>
                <w:rFonts w:ascii="Arial" w:eastAsia="Calibri" w:hAnsi="Arial" w:cs="Arial"/>
                <w:sz w:val="16"/>
                <w:szCs w:val="16"/>
              </w:rPr>
              <w:t>(17.7)</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-13</w:t>
            </w:r>
            <w:r w:rsidR="00F65848">
              <w:rPr>
                <w:rFonts w:ascii="Arial" w:eastAsia="Calibri" w:hAnsi="Arial" w:cs="Arial"/>
                <w:sz w:val="16"/>
                <w:szCs w:val="16"/>
              </w:rPr>
              <w:t>(17.1)</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-18</w:t>
            </w:r>
            <w:r w:rsidR="00F65848">
              <w:rPr>
                <w:rFonts w:ascii="Arial" w:eastAsia="Calibri" w:hAnsi="Arial" w:cs="Arial"/>
                <w:sz w:val="16"/>
                <w:szCs w:val="16"/>
              </w:rPr>
              <w:t>(16.1)</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-29</w:t>
            </w:r>
            <w:r w:rsidR="00F65848">
              <w:rPr>
                <w:rFonts w:ascii="Arial" w:eastAsia="Calibri" w:hAnsi="Arial" w:cs="Arial"/>
                <w:sz w:val="16"/>
                <w:szCs w:val="16"/>
              </w:rPr>
              <w:t>(1.7)</w:t>
            </w:r>
          </w:p>
        </w:tc>
        <w:tc>
          <w:tcPr>
            <w:tcW w:w="1003" w:type="dxa"/>
            <w:vAlign w:val="center"/>
          </w:tcPr>
          <w:p w:rsidR="00B8202F" w:rsidRPr="00F95D84" w:rsidRDefault="00530146" w:rsidP="00900F2C">
            <w:pPr>
              <w:rPr>
                <w:rFonts w:ascii="Arial" w:eastAsia="Calibri" w:hAnsi="Arial" w:cs="Arial"/>
                <w:sz w:val="16"/>
                <w:szCs w:val="16"/>
              </w:rPr>
            </w:pPr>
            <w:r>
              <w:rPr>
                <w:rFonts w:ascii="Arial" w:eastAsia="Calibri" w:hAnsi="Arial" w:cs="Arial"/>
                <w:sz w:val="16"/>
                <w:szCs w:val="16"/>
              </w:rPr>
              <w:t>-</w:t>
            </w:r>
            <w:r w:rsidR="00B33CD3">
              <w:rPr>
                <w:rFonts w:ascii="Arial" w:eastAsia="Calibri" w:hAnsi="Arial" w:cs="Arial"/>
                <w:sz w:val="16"/>
                <w:szCs w:val="16"/>
              </w:rPr>
              <w:t>40</w:t>
            </w:r>
            <w:r w:rsidR="00F65848">
              <w:rPr>
                <w:rFonts w:ascii="Arial" w:eastAsia="Calibri" w:hAnsi="Arial" w:cs="Arial"/>
                <w:sz w:val="16"/>
                <w:szCs w:val="16"/>
              </w:rPr>
              <w:t>(12.4)</w:t>
            </w:r>
          </w:p>
        </w:tc>
        <w:tc>
          <w:tcPr>
            <w:tcW w:w="1003" w:type="dxa"/>
            <w:vAlign w:val="center"/>
          </w:tcPr>
          <w:p w:rsidR="00B8202F" w:rsidRPr="00F95D84" w:rsidRDefault="00530146" w:rsidP="00900F2C">
            <w:pPr>
              <w:rPr>
                <w:rFonts w:ascii="Arial" w:eastAsia="Calibri" w:hAnsi="Arial" w:cs="Arial"/>
                <w:sz w:val="16"/>
                <w:szCs w:val="16"/>
              </w:rPr>
            </w:pPr>
            <w:r>
              <w:rPr>
                <w:rFonts w:ascii="Arial" w:eastAsia="Calibri" w:hAnsi="Arial" w:cs="Arial"/>
                <w:sz w:val="16"/>
                <w:szCs w:val="16"/>
              </w:rPr>
              <w:t>-</w:t>
            </w:r>
            <w:r w:rsidR="00B33CD3">
              <w:rPr>
                <w:rFonts w:ascii="Arial" w:eastAsia="Calibri" w:hAnsi="Arial" w:cs="Arial"/>
                <w:sz w:val="16"/>
                <w:szCs w:val="16"/>
              </w:rPr>
              <w:t>34</w:t>
            </w:r>
            <w:r w:rsidR="00F65848">
              <w:rPr>
                <w:rFonts w:ascii="Arial" w:eastAsia="Calibri" w:hAnsi="Arial" w:cs="Arial"/>
                <w:sz w:val="16"/>
                <w:szCs w:val="16"/>
              </w:rPr>
              <w:t>(</w:t>
            </w:r>
            <w:r>
              <w:rPr>
                <w:rFonts w:ascii="Arial" w:eastAsia="Calibri" w:hAnsi="Arial" w:cs="Arial"/>
                <w:sz w:val="16"/>
                <w:szCs w:val="16"/>
              </w:rPr>
              <w:t>14.1)</w:t>
            </w:r>
          </w:p>
        </w:tc>
      </w:tr>
      <w:tr w:rsidR="00B8202F" w:rsidRPr="00F95D84" w:rsidTr="00B8202F">
        <w:trPr>
          <w:trHeight w:val="567"/>
          <w:jc w:val="center"/>
        </w:trPr>
        <w:tc>
          <w:tcPr>
            <w:tcW w:w="1321" w:type="dxa"/>
            <w:vAlign w:val="center"/>
          </w:tcPr>
          <w:p w:rsidR="00B8202F" w:rsidRPr="00F3359B" w:rsidRDefault="00B8202F" w:rsidP="00900F2C">
            <w:pPr>
              <w:rPr>
                <w:rFonts w:ascii="Arial" w:eastAsia="Calibri" w:hAnsi="Arial" w:cs="Arial"/>
                <w:sz w:val="16"/>
                <w:szCs w:val="16"/>
                <w:lang w:val="de-DE"/>
              </w:rPr>
            </w:pPr>
            <w:r w:rsidRPr="00F3359B">
              <w:rPr>
                <w:rFonts w:ascii="Arial" w:eastAsia="Calibri" w:hAnsi="Arial" w:cs="Arial"/>
                <w:sz w:val="16"/>
                <w:szCs w:val="16"/>
                <w:lang w:val="de-DE"/>
              </w:rPr>
              <w:t>Serum bone ALP, ng/ml</w:t>
            </w:r>
          </w:p>
        </w:tc>
        <w:tc>
          <w:tcPr>
            <w:tcW w:w="1002" w:type="dxa"/>
            <w:vAlign w:val="center"/>
          </w:tcPr>
          <w:p w:rsidR="00B8202F" w:rsidRPr="00F95D84" w:rsidRDefault="006E161D" w:rsidP="00900F2C">
            <w:pPr>
              <w:rPr>
                <w:rFonts w:ascii="Arial" w:eastAsia="Calibri" w:hAnsi="Arial" w:cs="Arial"/>
                <w:sz w:val="16"/>
                <w:szCs w:val="16"/>
              </w:rPr>
            </w:pPr>
            <w:r>
              <w:rPr>
                <w:rFonts w:ascii="Arial" w:eastAsia="Calibri" w:hAnsi="Arial" w:cs="Arial"/>
                <w:sz w:val="16"/>
                <w:szCs w:val="16"/>
              </w:rPr>
              <w:t>-2</w:t>
            </w:r>
            <w:r w:rsidR="00530146">
              <w:rPr>
                <w:rFonts w:ascii="Arial" w:eastAsia="Calibri" w:hAnsi="Arial" w:cs="Arial"/>
                <w:sz w:val="16"/>
                <w:szCs w:val="16"/>
              </w:rPr>
              <w:t>(3.8)</w:t>
            </w:r>
          </w:p>
        </w:tc>
        <w:tc>
          <w:tcPr>
            <w:tcW w:w="1003" w:type="dxa"/>
            <w:vAlign w:val="center"/>
          </w:tcPr>
          <w:p w:rsidR="00B8202F" w:rsidRPr="00F95D84" w:rsidRDefault="006E161D" w:rsidP="00900F2C">
            <w:pPr>
              <w:rPr>
                <w:rFonts w:ascii="Arial" w:eastAsia="Calibri" w:hAnsi="Arial" w:cs="Arial"/>
                <w:sz w:val="16"/>
                <w:szCs w:val="16"/>
              </w:rPr>
            </w:pPr>
            <w:r>
              <w:rPr>
                <w:rFonts w:ascii="Arial" w:eastAsia="Calibri" w:hAnsi="Arial" w:cs="Arial"/>
                <w:sz w:val="16"/>
                <w:szCs w:val="16"/>
              </w:rPr>
              <w:t>2</w:t>
            </w:r>
            <w:r w:rsidR="000624BC">
              <w:rPr>
                <w:rFonts w:ascii="Arial" w:eastAsia="Calibri" w:hAnsi="Arial" w:cs="Arial"/>
                <w:sz w:val="16"/>
                <w:szCs w:val="16"/>
              </w:rPr>
              <w:t>(4.3)</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-3</w:t>
            </w:r>
            <w:r w:rsidR="000624BC">
              <w:rPr>
                <w:rFonts w:ascii="Arial" w:eastAsia="Calibri" w:hAnsi="Arial" w:cs="Arial"/>
                <w:sz w:val="16"/>
                <w:szCs w:val="16"/>
              </w:rPr>
              <w:t>(4.4)</w:t>
            </w:r>
          </w:p>
        </w:tc>
        <w:tc>
          <w:tcPr>
            <w:tcW w:w="1003" w:type="dxa"/>
            <w:vAlign w:val="center"/>
          </w:tcPr>
          <w:p w:rsidR="00B8202F" w:rsidRPr="00F95D84" w:rsidRDefault="000624BC" w:rsidP="00900F2C">
            <w:pPr>
              <w:rPr>
                <w:rFonts w:ascii="Arial" w:eastAsia="Calibri" w:hAnsi="Arial" w:cs="Arial"/>
                <w:sz w:val="16"/>
                <w:szCs w:val="16"/>
              </w:rPr>
            </w:pPr>
            <w:r>
              <w:rPr>
                <w:rFonts w:ascii="Arial" w:eastAsia="Calibri" w:hAnsi="Arial" w:cs="Arial"/>
                <w:sz w:val="16"/>
                <w:szCs w:val="16"/>
              </w:rPr>
              <w:t>-</w:t>
            </w:r>
            <w:r w:rsidR="00B33CD3">
              <w:rPr>
                <w:rFonts w:ascii="Arial" w:eastAsia="Calibri" w:hAnsi="Arial" w:cs="Arial"/>
                <w:sz w:val="16"/>
                <w:szCs w:val="16"/>
              </w:rPr>
              <w:t>2</w:t>
            </w:r>
            <w:r>
              <w:rPr>
                <w:rFonts w:ascii="Arial" w:eastAsia="Calibri" w:hAnsi="Arial" w:cs="Arial"/>
                <w:sz w:val="16"/>
                <w:szCs w:val="16"/>
              </w:rPr>
              <w:t>(5.1)</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-3</w:t>
            </w:r>
            <w:r w:rsidR="000624BC">
              <w:rPr>
                <w:rFonts w:ascii="Arial" w:eastAsia="Calibri" w:hAnsi="Arial" w:cs="Arial"/>
                <w:sz w:val="16"/>
                <w:szCs w:val="16"/>
              </w:rPr>
              <w:t>(5.1)</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-9</w:t>
            </w:r>
            <w:r w:rsidR="000624BC">
              <w:rPr>
                <w:rFonts w:ascii="Arial" w:eastAsia="Calibri" w:hAnsi="Arial" w:cs="Arial"/>
                <w:sz w:val="16"/>
                <w:szCs w:val="16"/>
              </w:rPr>
              <w:t>(4.8)</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-6</w:t>
            </w:r>
            <w:r w:rsidR="000624BC">
              <w:rPr>
                <w:rFonts w:ascii="Arial" w:eastAsia="Calibri" w:hAnsi="Arial" w:cs="Arial"/>
                <w:sz w:val="16"/>
                <w:szCs w:val="16"/>
              </w:rPr>
              <w:t>(5.0)</w:t>
            </w:r>
          </w:p>
        </w:tc>
      </w:tr>
      <w:tr w:rsidR="00B8202F" w:rsidRPr="00F95D84" w:rsidTr="00B8202F">
        <w:trPr>
          <w:trHeight w:val="567"/>
          <w:jc w:val="center"/>
        </w:trPr>
        <w:tc>
          <w:tcPr>
            <w:tcW w:w="1321" w:type="dxa"/>
            <w:vAlign w:val="center"/>
          </w:tcPr>
          <w:p w:rsidR="00B8202F" w:rsidRPr="00F95D84" w:rsidRDefault="00B8202F" w:rsidP="00900F2C">
            <w:pPr>
              <w:rPr>
                <w:rFonts w:ascii="Arial" w:eastAsia="Calibri" w:hAnsi="Arial" w:cs="Arial"/>
                <w:sz w:val="16"/>
                <w:szCs w:val="16"/>
              </w:rPr>
            </w:pPr>
            <w:r>
              <w:rPr>
                <w:rFonts w:ascii="Arial" w:eastAsia="Calibri" w:hAnsi="Arial" w:cs="Arial"/>
                <w:sz w:val="16"/>
                <w:szCs w:val="16"/>
              </w:rPr>
              <w:t>Serum osteocalcin, ng/ml</w:t>
            </w:r>
          </w:p>
        </w:tc>
        <w:tc>
          <w:tcPr>
            <w:tcW w:w="1002" w:type="dxa"/>
            <w:vAlign w:val="center"/>
          </w:tcPr>
          <w:p w:rsidR="00B8202F" w:rsidRPr="00F95D84" w:rsidRDefault="006E161D" w:rsidP="00900F2C">
            <w:pPr>
              <w:rPr>
                <w:rFonts w:ascii="Arial" w:eastAsia="Calibri" w:hAnsi="Arial" w:cs="Arial"/>
                <w:sz w:val="16"/>
                <w:szCs w:val="16"/>
              </w:rPr>
            </w:pPr>
            <w:r>
              <w:rPr>
                <w:rFonts w:ascii="Arial" w:eastAsia="Calibri" w:hAnsi="Arial" w:cs="Arial"/>
                <w:sz w:val="16"/>
                <w:szCs w:val="16"/>
              </w:rPr>
              <w:t>-4</w:t>
            </w:r>
            <w:r w:rsidR="00652775">
              <w:rPr>
                <w:rFonts w:ascii="Arial" w:eastAsia="Calibri" w:hAnsi="Arial" w:cs="Arial"/>
                <w:sz w:val="16"/>
                <w:szCs w:val="16"/>
              </w:rPr>
              <w:t>(5.0)</w:t>
            </w:r>
          </w:p>
        </w:tc>
        <w:tc>
          <w:tcPr>
            <w:tcW w:w="1003" w:type="dxa"/>
            <w:vAlign w:val="center"/>
          </w:tcPr>
          <w:p w:rsidR="00B8202F" w:rsidRPr="00F95D84" w:rsidRDefault="006E161D" w:rsidP="00900F2C">
            <w:pPr>
              <w:rPr>
                <w:rFonts w:ascii="Arial" w:eastAsia="Calibri" w:hAnsi="Arial" w:cs="Arial"/>
                <w:sz w:val="16"/>
                <w:szCs w:val="16"/>
              </w:rPr>
            </w:pPr>
            <w:r>
              <w:rPr>
                <w:rFonts w:ascii="Arial" w:eastAsia="Calibri" w:hAnsi="Arial" w:cs="Arial"/>
                <w:sz w:val="16"/>
                <w:szCs w:val="16"/>
              </w:rPr>
              <w:t>-8</w:t>
            </w:r>
            <w:r w:rsidR="00652775">
              <w:rPr>
                <w:rFonts w:ascii="Arial" w:eastAsia="Calibri" w:hAnsi="Arial" w:cs="Arial"/>
                <w:sz w:val="16"/>
                <w:szCs w:val="16"/>
              </w:rPr>
              <w:t>(4.8)</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-16</w:t>
            </w:r>
            <w:r w:rsidR="00652775">
              <w:rPr>
                <w:rFonts w:ascii="Arial" w:eastAsia="Calibri" w:hAnsi="Arial" w:cs="Arial"/>
                <w:sz w:val="16"/>
                <w:szCs w:val="16"/>
              </w:rPr>
              <w:t>(5.1)</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-16</w:t>
            </w:r>
            <w:r w:rsidR="00652775">
              <w:rPr>
                <w:rFonts w:ascii="Arial" w:eastAsia="Calibri" w:hAnsi="Arial" w:cs="Arial"/>
                <w:sz w:val="16"/>
                <w:szCs w:val="16"/>
              </w:rPr>
              <w:t>(5.3)</w:t>
            </w:r>
          </w:p>
        </w:tc>
        <w:tc>
          <w:tcPr>
            <w:tcW w:w="1002"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-29</w:t>
            </w:r>
            <w:r w:rsidR="00652775">
              <w:rPr>
                <w:rFonts w:ascii="Arial" w:eastAsia="Calibri" w:hAnsi="Arial" w:cs="Arial"/>
                <w:sz w:val="16"/>
                <w:szCs w:val="16"/>
              </w:rPr>
              <w:t>(5.3)</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-32</w:t>
            </w:r>
            <w:r w:rsidR="00652775">
              <w:rPr>
                <w:rFonts w:ascii="Arial" w:eastAsia="Calibri" w:hAnsi="Arial" w:cs="Arial"/>
                <w:sz w:val="16"/>
                <w:szCs w:val="16"/>
              </w:rPr>
              <w:t>(4.4)</w:t>
            </w:r>
          </w:p>
        </w:tc>
        <w:tc>
          <w:tcPr>
            <w:tcW w:w="1003" w:type="dxa"/>
            <w:vAlign w:val="center"/>
          </w:tcPr>
          <w:p w:rsidR="00B8202F" w:rsidRPr="00F95D84" w:rsidRDefault="00B33CD3" w:rsidP="00900F2C">
            <w:pPr>
              <w:rPr>
                <w:rFonts w:ascii="Arial" w:eastAsia="Calibri" w:hAnsi="Arial" w:cs="Arial"/>
                <w:sz w:val="16"/>
                <w:szCs w:val="16"/>
              </w:rPr>
            </w:pPr>
            <w:r>
              <w:rPr>
                <w:rFonts w:ascii="Arial" w:eastAsia="Calibri" w:hAnsi="Arial" w:cs="Arial"/>
                <w:sz w:val="16"/>
                <w:szCs w:val="16"/>
              </w:rPr>
              <w:t>-33</w:t>
            </w:r>
            <w:r w:rsidR="00652775">
              <w:rPr>
                <w:rFonts w:ascii="Arial" w:eastAsia="Calibri" w:hAnsi="Arial" w:cs="Arial"/>
                <w:sz w:val="16"/>
                <w:szCs w:val="16"/>
              </w:rPr>
              <w:t>(5.3)</w:t>
            </w:r>
          </w:p>
        </w:tc>
      </w:tr>
    </w:tbl>
    <w:p w:rsidR="00203D81" w:rsidRPr="00722B49" w:rsidRDefault="00203D81" w:rsidP="00900F2C"/>
    <w:p w:rsidR="00C91A8B" w:rsidRDefault="00E60503" w:rsidP="00844C20">
      <w:pPr>
        <w:pStyle w:val="Heading2"/>
        <w:jc w:val="both"/>
      </w:pPr>
      <w:bookmarkStart w:id="172" w:name="_Toc425418945"/>
      <w:r>
        <w:lastRenderedPageBreak/>
        <w:t>Discussion</w:t>
      </w:r>
      <w:bookmarkEnd w:id="172"/>
    </w:p>
    <w:p w:rsidR="00CB29F4" w:rsidRPr="00A93942" w:rsidRDefault="0001534F" w:rsidP="003B725E">
      <w:pPr>
        <w:spacing w:line="360" w:lineRule="auto"/>
        <w:jc w:val="both"/>
        <w:rPr>
          <w:rFonts w:ascii="Arial" w:hAnsi="Arial" w:cs="Arial"/>
          <w:color w:val="FF0000"/>
        </w:rPr>
      </w:pPr>
      <w:r w:rsidRPr="00A93942">
        <w:rPr>
          <w:rFonts w:ascii="Arial" w:hAnsi="Arial" w:cs="Arial"/>
        </w:rPr>
        <w:t xml:space="preserve">Postmenopausal </w:t>
      </w:r>
      <w:r w:rsidR="00D3377A" w:rsidRPr="00A93942">
        <w:rPr>
          <w:rFonts w:ascii="Arial" w:hAnsi="Arial" w:cs="Arial"/>
        </w:rPr>
        <w:t xml:space="preserve">women </w:t>
      </w:r>
      <w:r w:rsidRPr="00A93942">
        <w:rPr>
          <w:rFonts w:ascii="Arial" w:hAnsi="Arial" w:cs="Arial"/>
        </w:rPr>
        <w:t>with osteopo</w:t>
      </w:r>
      <w:r w:rsidR="0001531E" w:rsidRPr="00A93942">
        <w:rPr>
          <w:rFonts w:ascii="Arial" w:hAnsi="Arial" w:cs="Arial"/>
        </w:rPr>
        <w:t>rosis and osteopenia have a higher</w:t>
      </w:r>
      <w:r w:rsidRPr="00A93942">
        <w:rPr>
          <w:rFonts w:ascii="Arial" w:hAnsi="Arial" w:cs="Arial"/>
        </w:rPr>
        <w:t xml:space="preserve"> bone turnover compared to healthy premenopausal women. Treatme</w:t>
      </w:r>
      <w:r w:rsidR="00D07A4D" w:rsidRPr="00A93942">
        <w:rPr>
          <w:rFonts w:ascii="Arial" w:hAnsi="Arial" w:cs="Arial"/>
        </w:rPr>
        <w:t xml:space="preserve">nt with </w:t>
      </w:r>
      <w:r w:rsidR="0001531E" w:rsidRPr="00A93942">
        <w:rPr>
          <w:rFonts w:ascii="Arial" w:hAnsi="Arial" w:cs="Arial"/>
        </w:rPr>
        <w:t>antiresorptives</w:t>
      </w:r>
      <w:r w:rsidR="00D07A4D" w:rsidRPr="00A93942">
        <w:rPr>
          <w:rFonts w:ascii="Arial" w:hAnsi="Arial" w:cs="Arial"/>
        </w:rPr>
        <w:t xml:space="preserve"> </w:t>
      </w:r>
      <w:r w:rsidR="00FE304D" w:rsidRPr="00A93942">
        <w:rPr>
          <w:rFonts w:ascii="Arial" w:hAnsi="Arial" w:cs="Arial"/>
        </w:rPr>
        <w:t>reduces bone turnover markers by varying magnitudes and durations. There is an initial reduction in</w:t>
      </w:r>
      <w:r w:rsidR="00D07A4D" w:rsidRPr="00A93942">
        <w:rPr>
          <w:rFonts w:ascii="Arial" w:hAnsi="Arial" w:cs="Arial"/>
        </w:rPr>
        <w:t xml:space="preserve"> bone resorption</w:t>
      </w:r>
      <w:r w:rsidR="00000992" w:rsidRPr="00A93942">
        <w:rPr>
          <w:rFonts w:ascii="Arial" w:hAnsi="Arial" w:cs="Arial"/>
        </w:rPr>
        <w:t xml:space="preserve">, after 1 week of treatment. </w:t>
      </w:r>
      <w:r w:rsidR="0001531E" w:rsidRPr="00A93942">
        <w:rPr>
          <w:rFonts w:ascii="Arial" w:hAnsi="Arial" w:cs="Arial"/>
        </w:rPr>
        <w:t xml:space="preserve">In contrast, there is a later reduction in bone formation i.e. after 12 weeks with bisphosphonates and after 4 weeks with raloxifene treatments. This later reduction in bone formation is due to the coupling process, bone resorption followed by bone formation. </w:t>
      </w:r>
      <w:r w:rsidR="00000992" w:rsidRPr="00A93942">
        <w:rPr>
          <w:rFonts w:ascii="Arial" w:hAnsi="Arial" w:cs="Arial"/>
        </w:rPr>
        <w:t>Bone formation</w:t>
      </w:r>
      <w:r w:rsidR="0001531E" w:rsidRPr="00A93942">
        <w:rPr>
          <w:rFonts w:ascii="Arial" w:hAnsi="Arial" w:cs="Arial"/>
        </w:rPr>
        <w:t xml:space="preserve"> remains at baseline level</w:t>
      </w:r>
      <w:r w:rsidR="00DF692A" w:rsidRPr="00A93942">
        <w:rPr>
          <w:rFonts w:ascii="Arial" w:hAnsi="Arial" w:cs="Arial"/>
        </w:rPr>
        <w:t>s</w:t>
      </w:r>
      <w:r w:rsidR="0001531E" w:rsidRPr="00A93942">
        <w:rPr>
          <w:rFonts w:ascii="Arial" w:hAnsi="Arial" w:cs="Arial"/>
        </w:rPr>
        <w:t xml:space="preserve"> because it</w:t>
      </w:r>
      <w:r w:rsidR="00000992" w:rsidRPr="00A93942">
        <w:rPr>
          <w:rFonts w:ascii="Arial" w:hAnsi="Arial" w:cs="Arial"/>
        </w:rPr>
        <w:t xml:space="preserve"> continues to occur at the same rate in the BMUs that have already been activated prior to treatm</w:t>
      </w:r>
      <w:r w:rsidR="007A392B" w:rsidRPr="00A93942">
        <w:rPr>
          <w:rFonts w:ascii="Arial" w:hAnsi="Arial" w:cs="Arial"/>
        </w:rPr>
        <w:t>ent</w:t>
      </w:r>
      <w:r w:rsidR="00DF692A" w:rsidRPr="00A93942">
        <w:rPr>
          <w:rFonts w:ascii="Arial" w:hAnsi="Arial" w:cs="Arial"/>
        </w:rPr>
        <w:t xml:space="preserve">, </w:t>
      </w:r>
      <w:r w:rsidR="00920CA4" w:rsidRPr="00A93942">
        <w:rPr>
          <w:rFonts w:ascii="Arial" w:hAnsi="Arial" w:cs="Arial"/>
        </w:rPr>
        <w:fldChar w:fldCharType="begin">
          <w:fldData xml:space="preserve">PEVuZE5vdGU+PENpdGU+PEF1dGhvcj5OYWthc2hpbWE8L0F1dGhvcj48WWVhcj4yMDE0PC9ZZWFy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PEVuZE5vdGU+PENpdGU+PEF1dGhvcj5OYWthc2hpbWE8L0F1dGhvcj48WWVhcj4yMDE0PC9ZZWFy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20CA4" w:rsidRPr="00A93942">
        <w:rPr>
          <w:rFonts w:ascii="Arial" w:hAnsi="Arial" w:cs="Arial"/>
        </w:rPr>
      </w:r>
      <w:r w:rsidR="00920CA4" w:rsidRPr="00A93942">
        <w:rPr>
          <w:rFonts w:ascii="Arial" w:hAnsi="Arial" w:cs="Arial"/>
        </w:rPr>
        <w:fldChar w:fldCharType="separate"/>
      </w:r>
      <w:r w:rsidR="000D155C">
        <w:rPr>
          <w:rFonts w:ascii="Arial" w:hAnsi="Arial" w:cs="Arial"/>
          <w:noProof/>
        </w:rPr>
        <w:t>(</w:t>
      </w:r>
      <w:hyperlink w:anchor="_ENREF_418" w:tooltip="Nakashima, 2014 #227" w:history="1">
        <w:r w:rsidR="003B725E">
          <w:rPr>
            <w:rFonts w:ascii="Arial" w:hAnsi="Arial" w:cs="Arial"/>
            <w:noProof/>
          </w:rPr>
          <w:t>418</w:t>
        </w:r>
      </w:hyperlink>
      <w:r w:rsidR="000D155C">
        <w:rPr>
          <w:rFonts w:ascii="Arial" w:hAnsi="Arial" w:cs="Arial"/>
          <w:noProof/>
        </w:rPr>
        <w:t xml:space="preserve">, </w:t>
      </w:r>
      <w:hyperlink w:anchor="_ENREF_419" w:tooltip="Henriksen, 2014 #228" w:history="1">
        <w:r w:rsidR="003B725E">
          <w:rPr>
            <w:rFonts w:ascii="Arial" w:hAnsi="Arial" w:cs="Arial"/>
            <w:noProof/>
          </w:rPr>
          <w:t>419</w:t>
        </w:r>
      </w:hyperlink>
      <w:r w:rsidR="000D155C">
        <w:rPr>
          <w:rFonts w:ascii="Arial" w:hAnsi="Arial" w:cs="Arial"/>
          <w:noProof/>
        </w:rPr>
        <w:t>)</w:t>
      </w:r>
      <w:r w:rsidR="00920CA4" w:rsidRPr="00A93942">
        <w:rPr>
          <w:rFonts w:ascii="Arial" w:hAnsi="Arial" w:cs="Arial"/>
        </w:rPr>
        <w:fldChar w:fldCharType="end"/>
      </w:r>
      <w:r w:rsidR="007A392B" w:rsidRPr="00A93942">
        <w:rPr>
          <w:rFonts w:ascii="Arial" w:hAnsi="Arial" w:cs="Arial"/>
        </w:rPr>
        <w:t xml:space="preserve">. It begins to decrease after the </w:t>
      </w:r>
      <w:r w:rsidR="00000992" w:rsidRPr="00A93942">
        <w:rPr>
          <w:rFonts w:ascii="Arial" w:hAnsi="Arial" w:cs="Arial"/>
        </w:rPr>
        <w:t>osteoblasts</w:t>
      </w:r>
      <w:r w:rsidR="00061960" w:rsidRPr="00A93942">
        <w:rPr>
          <w:rFonts w:ascii="Arial" w:hAnsi="Arial" w:cs="Arial"/>
        </w:rPr>
        <w:t xml:space="preserve"> fill in the lower number resorption pits in the BMUs as a result of the treatments</w:t>
      </w:r>
      <w:r w:rsidR="00421A2E" w:rsidRPr="00A93942">
        <w:rPr>
          <w:rFonts w:ascii="Arial" w:hAnsi="Arial" w:cs="Arial"/>
        </w:rPr>
        <w:t>.</w:t>
      </w:r>
      <w:r w:rsidR="00000992" w:rsidRPr="00A93942">
        <w:rPr>
          <w:rFonts w:ascii="Arial" w:hAnsi="Arial" w:cs="Arial"/>
        </w:rPr>
        <w:t xml:space="preserve"> </w:t>
      </w:r>
      <w:r w:rsidR="00421A2E" w:rsidRPr="00A93942">
        <w:rPr>
          <w:rFonts w:ascii="Arial" w:hAnsi="Arial" w:cs="Arial"/>
        </w:rPr>
        <w:t xml:space="preserve"> </w:t>
      </w:r>
      <w:r w:rsidR="00A77A6E" w:rsidRPr="00A93942">
        <w:rPr>
          <w:rFonts w:ascii="Arial" w:hAnsi="Arial" w:cs="Arial"/>
        </w:rPr>
        <w:t xml:space="preserve">Levels of bone formation markers may therefore begin to decrease earlier in women with osteopenia than women with osteoporosis as a </w:t>
      </w:r>
      <w:r w:rsidR="00DF5D6B" w:rsidRPr="00A93942">
        <w:rPr>
          <w:rFonts w:ascii="Arial" w:hAnsi="Arial" w:cs="Arial"/>
        </w:rPr>
        <w:t xml:space="preserve">result of lower bone resorption </w:t>
      </w:r>
      <w:r w:rsidR="00792C16" w:rsidRPr="00A93942">
        <w:rPr>
          <w:rFonts w:ascii="Arial" w:hAnsi="Arial" w:cs="Arial"/>
        </w:rPr>
        <w:t xml:space="preserve">rates </w:t>
      </w:r>
      <w:r w:rsidR="00DF5D6B" w:rsidRPr="00A93942">
        <w:rPr>
          <w:rFonts w:ascii="Arial" w:hAnsi="Arial" w:cs="Arial"/>
        </w:rPr>
        <w:t xml:space="preserve">and </w:t>
      </w:r>
      <w:r w:rsidR="00727E2B" w:rsidRPr="00A93942">
        <w:rPr>
          <w:rFonts w:ascii="Arial" w:hAnsi="Arial" w:cs="Arial"/>
        </w:rPr>
        <w:t xml:space="preserve">lower </w:t>
      </w:r>
      <w:r w:rsidR="00DF5D6B" w:rsidRPr="00A93942">
        <w:rPr>
          <w:rFonts w:ascii="Arial" w:hAnsi="Arial" w:cs="Arial"/>
        </w:rPr>
        <w:t xml:space="preserve">activated BMUs. </w:t>
      </w:r>
      <w:r w:rsidR="00727E2B" w:rsidRPr="00A93942">
        <w:rPr>
          <w:rFonts w:ascii="Arial" w:hAnsi="Arial" w:cs="Arial"/>
        </w:rPr>
        <w:t>In this study, t</w:t>
      </w:r>
      <w:r w:rsidR="00DF5D6B" w:rsidRPr="00A93942">
        <w:rPr>
          <w:rFonts w:ascii="Arial" w:hAnsi="Arial" w:cs="Arial"/>
        </w:rPr>
        <w:t>his is supported by the significantly lower levels of CTX</w:t>
      </w:r>
      <w:r w:rsidR="00491342">
        <w:rPr>
          <w:rFonts w:ascii="Arial" w:hAnsi="Arial" w:cs="Arial"/>
        </w:rPr>
        <w:t xml:space="preserve"> and NTX/Cr</w:t>
      </w:r>
      <w:r w:rsidR="00DF5D6B" w:rsidRPr="00A93942">
        <w:rPr>
          <w:rFonts w:ascii="Arial" w:hAnsi="Arial" w:cs="Arial"/>
        </w:rPr>
        <w:t xml:space="preserve"> in women with osteopenia </w:t>
      </w:r>
      <w:r w:rsidR="00392D34" w:rsidRPr="00A93942">
        <w:rPr>
          <w:rFonts w:ascii="Arial" w:hAnsi="Arial" w:cs="Arial"/>
        </w:rPr>
        <w:t xml:space="preserve">at baseline </w:t>
      </w:r>
      <w:r w:rsidR="00DF5D6B" w:rsidRPr="00A93942">
        <w:rPr>
          <w:rFonts w:ascii="Arial" w:hAnsi="Arial" w:cs="Arial"/>
        </w:rPr>
        <w:t>compared to those with osteoporosis at baseline</w:t>
      </w:r>
      <w:r w:rsidR="006D6C43" w:rsidRPr="00A93942">
        <w:rPr>
          <w:rFonts w:ascii="Arial" w:hAnsi="Arial" w:cs="Arial"/>
        </w:rPr>
        <w:t xml:space="preserve"> of the same age</w:t>
      </w:r>
      <w:r w:rsidR="00B00EC8">
        <w:rPr>
          <w:rFonts w:ascii="Arial" w:hAnsi="Arial" w:cs="Arial"/>
          <w:color w:val="FF0000"/>
        </w:rPr>
        <w:t>.</w:t>
      </w:r>
      <w:r w:rsidR="00DF5D6B" w:rsidRPr="00A93942">
        <w:rPr>
          <w:rFonts w:ascii="Arial" w:hAnsi="Arial" w:cs="Arial"/>
          <w:color w:val="FF0000"/>
        </w:rPr>
        <w:t xml:space="preserve"> </w:t>
      </w:r>
    </w:p>
    <w:p w:rsidR="00067351" w:rsidRDefault="00D07A4D" w:rsidP="003B725E">
      <w:pPr>
        <w:spacing w:line="360" w:lineRule="auto"/>
        <w:jc w:val="both"/>
        <w:rPr>
          <w:rFonts w:ascii="Arial" w:hAnsi="Arial" w:cs="Arial"/>
        </w:rPr>
      </w:pPr>
      <w:r w:rsidRPr="00A93942">
        <w:rPr>
          <w:rFonts w:ascii="Arial" w:hAnsi="Arial" w:cs="Arial"/>
        </w:rPr>
        <w:t xml:space="preserve">This </w:t>
      </w:r>
      <w:r w:rsidR="00E16D4D" w:rsidRPr="00A93942">
        <w:rPr>
          <w:rFonts w:ascii="Arial" w:hAnsi="Arial" w:cs="Arial"/>
        </w:rPr>
        <w:t xml:space="preserve">overall </w:t>
      </w:r>
      <w:r w:rsidRPr="00A93942">
        <w:rPr>
          <w:rFonts w:ascii="Arial" w:hAnsi="Arial" w:cs="Arial"/>
        </w:rPr>
        <w:t>reduction in bone turnov</w:t>
      </w:r>
      <w:r w:rsidR="00000992" w:rsidRPr="00A93942">
        <w:rPr>
          <w:rFonts w:ascii="Arial" w:hAnsi="Arial" w:cs="Arial"/>
        </w:rPr>
        <w:t>e</w:t>
      </w:r>
      <w:r w:rsidR="00942746">
        <w:rPr>
          <w:rFonts w:ascii="Arial" w:hAnsi="Arial" w:cs="Arial"/>
        </w:rPr>
        <w:t xml:space="preserve">r is sustained over </w:t>
      </w:r>
      <w:r w:rsidR="006D6C43" w:rsidRPr="00A93942">
        <w:rPr>
          <w:rFonts w:ascii="Arial" w:hAnsi="Arial" w:cs="Arial"/>
        </w:rPr>
        <w:t xml:space="preserve">all of the </w:t>
      </w:r>
      <w:r w:rsidR="00E16D4D" w:rsidRPr="00A93942">
        <w:rPr>
          <w:rFonts w:ascii="Arial" w:hAnsi="Arial" w:cs="Arial"/>
        </w:rPr>
        <w:t>treatment</w:t>
      </w:r>
      <w:r w:rsidRPr="00A93942">
        <w:rPr>
          <w:rFonts w:ascii="Arial" w:hAnsi="Arial" w:cs="Arial"/>
        </w:rPr>
        <w:t xml:space="preserve"> period</w:t>
      </w:r>
      <w:r w:rsidR="00E16D4D" w:rsidRPr="00A93942">
        <w:rPr>
          <w:rFonts w:ascii="Arial" w:hAnsi="Arial" w:cs="Arial"/>
        </w:rPr>
        <w:t>s</w:t>
      </w:r>
      <w:r w:rsidRPr="00A93942">
        <w:rPr>
          <w:rFonts w:ascii="Arial" w:hAnsi="Arial" w:cs="Arial"/>
        </w:rPr>
        <w:t xml:space="preserve"> </w:t>
      </w:r>
      <w:r w:rsidR="006D6C43" w:rsidRPr="00A93942">
        <w:rPr>
          <w:rFonts w:ascii="Arial" w:hAnsi="Arial" w:cs="Arial"/>
        </w:rPr>
        <w:t>with antiresorptive</w:t>
      </w:r>
      <w:r w:rsidR="00CC7F47" w:rsidRPr="00A93942">
        <w:rPr>
          <w:rFonts w:ascii="Arial" w:hAnsi="Arial" w:cs="Arial"/>
        </w:rPr>
        <w:t>s</w:t>
      </w:r>
      <w:r w:rsidR="006D6C43" w:rsidRPr="00A93942">
        <w:rPr>
          <w:rFonts w:ascii="Arial" w:hAnsi="Arial" w:cs="Arial"/>
        </w:rPr>
        <w:t xml:space="preserve"> </w:t>
      </w:r>
      <w:r w:rsidRPr="00A93942">
        <w:rPr>
          <w:rFonts w:ascii="Arial" w:hAnsi="Arial" w:cs="Arial"/>
        </w:rPr>
        <w:t xml:space="preserve">and </w:t>
      </w:r>
      <w:r w:rsidR="00CC7F47" w:rsidRPr="00A93942">
        <w:rPr>
          <w:rFonts w:ascii="Arial" w:hAnsi="Arial" w:cs="Arial"/>
        </w:rPr>
        <w:t>this may be associated with the reduction in bone loss and fracture risk</w:t>
      </w:r>
      <w:r w:rsidR="007B40D7">
        <w:rPr>
          <w:rFonts w:ascii="Arial" w:hAnsi="Arial" w:cs="Arial"/>
        </w:rPr>
        <w:t xml:space="preserve"> </w:t>
      </w:r>
      <w:r w:rsidR="007B40D7">
        <w:rPr>
          <w:rFonts w:ascii="Arial" w:hAnsi="Arial" w:cs="Arial"/>
        </w:rPr>
        <w:fldChar w:fldCharType="begin">
          <w:fldData xml:space="preserve">PEVuZE5vdGU+PENpdGU+PEF1dGhvcj5WYXNpa2FyYW48L0F1dGhvcj48WWVhcj4yMDExPC9ZZWFy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NTMxLTg8L3BhZ2VzPjx2b2x1bWU+MTE8L3ZvbHVtZT48bnVtYmVyPjEwPC9udW1iZXI+PGVkaXRp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PEVuZE5vdGU+PENpdGU+PEF1dGhvcj5WYXNpa2FyYW48L0F1dGhvcj48WWVhcj4yMDExPC9ZZWFy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NTMxLTg8L3BhZ2VzPjx2b2x1bWU+MTE8L3ZvbHVtZT48bnVtYmVyPjEwPC9udW1iZXI+PGVkaXRp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B40D7">
        <w:rPr>
          <w:rFonts w:ascii="Arial" w:hAnsi="Arial" w:cs="Arial"/>
        </w:rPr>
      </w:r>
      <w:r w:rsidR="007B40D7">
        <w:rPr>
          <w:rFonts w:ascii="Arial" w:hAnsi="Arial" w:cs="Arial"/>
        </w:rPr>
        <w:fldChar w:fldCharType="separate"/>
      </w:r>
      <w:r w:rsidR="000D155C">
        <w:rPr>
          <w:rFonts w:ascii="Arial" w:hAnsi="Arial" w:cs="Arial"/>
          <w:noProof/>
        </w:rPr>
        <w:t>(</w:t>
      </w:r>
      <w:hyperlink w:anchor="_ENREF_319" w:tooltip="Vasikaran, 2011 #518" w:history="1">
        <w:r w:rsidR="003B725E">
          <w:rPr>
            <w:rFonts w:ascii="Arial" w:hAnsi="Arial" w:cs="Arial"/>
            <w:noProof/>
          </w:rPr>
          <w:t>319</w:t>
        </w:r>
      </w:hyperlink>
      <w:proofErr w:type="gramStart"/>
      <w:r w:rsidR="000D155C">
        <w:rPr>
          <w:rFonts w:ascii="Arial" w:hAnsi="Arial" w:cs="Arial"/>
          <w:noProof/>
        </w:rPr>
        <w:t xml:space="preserve">, </w:t>
      </w:r>
      <w:hyperlink w:anchor="_ENREF_364" w:tooltip="Garnero, 1996 #163" w:history="1">
        <w:r w:rsidR="003B725E">
          <w:rPr>
            <w:rFonts w:ascii="Arial" w:hAnsi="Arial" w:cs="Arial"/>
            <w:noProof/>
          </w:rPr>
          <w:t>364</w:t>
        </w:r>
      </w:hyperlink>
      <w:r w:rsidR="000D155C">
        <w:rPr>
          <w:rFonts w:ascii="Arial" w:hAnsi="Arial" w:cs="Arial"/>
          <w:noProof/>
        </w:rPr>
        <w:t>,</w:t>
      </w:r>
      <w:proofErr w:type="gramEnd"/>
      <w:r w:rsidR="000D155C">
        <w:rPr>
          <w:rFonts w:ascii="Arial" w:hAnsi="Arial" w:cs="Arial"/>
          <w:noProof/>
        </w:rPr>
        <w:t xml:space="preserve"> </w:t>
      </w:r>
      <w:hyperlink w:anchor="_ENREF_390" w:tooltip="van Daele, 1996 #301" w:history="1">
        <w:r w:rsidR="003B725E">
          <w:rPr>
            <w:rFonts w:ascii="Arial" w:hAnsi="Arial" w:cs="Arial"/>
            <w:noProof/>
          </w:rPr>
          <w:t>390</w:t>
        </w:r>
      </w:hyperlink>
      <w:r w:rsidR="000D155C">
        <w:rPr>
          <w:rFonts w:ascii="Arial" w:hAnsi="Arial" w:cs="Arial"/>
          <w:noProof/>
        </w:rPr>
        <w:t>)</w:t>
      </w:r>
      <w:r w:rsidR="007B40D7">
        <w:rPr>
          <w:rFonts w:ascii="Arial" w:hAnsi="Arial" w:cs="Arial"/>
        </w:rPr>
        <w:fldChar w:fldCharType="end"/>
      </w:r>
      <w:r w:rsidR="00A5622B">
        <w:rPr>
          <w:rFonts w:ascii="Arial" w:hAnsi="Arial" w:cs="Arial"/>
        </w:rPr>
        <w:t>.</w:t>
      </w:r>
    </w:p>
    <w:p w:rsidR="0001534F" w:rsidRPr="00A93942" w:rsidRDefault="00067351" w:rsidP="003B725E">
      <w:pPr>
        <w:spacing w:line="360" w:lineRule="auto"/>
        <w:jc w:val="both"/>
        <w:rPr>
          <w:rFonts w:ascii="Arial" w:hAnsi="Arial" w:cs="Arial"/>
        </w:rPr>
      </w:pPr>
      <w:r>
        <w:rPr>
          <w:rFonts w:ascii="Arial" w:hAnsi="Arial" w:cs="Arial"/>
        </w:rPr>
        <w:t>F</w:t>
      </w:r>
      <w:r w:rsidR="00CB29F4" w:rsidRPr="00A93942">
        <w:rPr>
          <w:rFonts w:ascii="Arial" w:hAnsi="Arial" w:cs="Arial"/>
        </w:rPr>
        <w:t>urthermore these reductions in bone turnover</w:t>
      </w:r>
      <w:r w:rsidR="00F33824">
        <w:rPr>
          <w:rFonts w:ascii="Arial" w:hAnsi="Arial" w:cs="Arial"/>
        </w:rPr>
        <w:t xml:space="preserve"> with these antiresorptives</w:t>
      </w:r>
      <w:r w:rsidR="00CB29F4" w:rsidRPr="00A93942">
        <w:rPr>
          <w:rFonts w:ascii="Arial" w:hAnsi="Arial" w:cs="Arial"/>
        </w:rPr>
        <w:t xml:space="preserve"> are more rapid than changes in BMD and have been shown to</w:t>
      </w:r>
      <w:r w:rsidR="00F33824">
        <w:rPr>
          <w:rFonts w:ascii="Arial" w:hAnsi="Arial" w:cs="Arial"/>
        </w:rPr>
        <w:t xml:space="preserve"> be related to </w:t>
      </w:r>
      <w:r w:rsidR="00CB29F4" w:rsidRPr="00A93942">
        <w:rPr>
          <w:rFonts w:ascii="Arial" w:hAnsi="Arial" w:cs="Arial"/>
        </w:rPr>
        <w:t>vertebral fracture risk</w:t>
      </w:r>
      <w:r w:rsidR="00F33824">
        <w:rPr>
          <w:rFonts w:ascii="Arial" w:hAnsi="Arial" w:cs="Arial"/>
        </w:rPr>
        <w:t xml:space="preserve"> reductions</w:t>
      </w:r>
      <w:r w:rsidR="00CB29F4" w:rsidRPr="00A93942">
        <w:rPr>
          <w:rFonts w:ascii="Arial" w:hAnsi="Arial" w:cs="Arial"/>
        </w:rPr>
        <w:t xml:space="preserve"> similar to changes in BMD </w:t>
      </w:r>
      <w:r w:rsidR="00A5622B">
        <w:rPr>
          <w:rFonts w:ascii="Arial" w:hAnsi="Arial" w:cs="Arial"/>
        </w:rPr>
        <w:fldChar w:fldCharType="begin">
          <w:fldData xml:space="preserve">PEVuZE5vdGU+PENpdGU+PEF1dGhvcj5TYXJrYXI8L0F1dGhvcj48WWVhcj4yMDA0PC9ZZWFyPjxS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YmJyLTE+PC9wZXJpb2RpY2FsPjxwYWdlcz4zOTQtNDAxPC9wYWdlcz48dm9sdW1lPjE5PC92b2x1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MDUxLTY8L3BhZ2VzPjx2b2x1bWU+MTg8L3ZvbHVtZT48bnVtYmVyPjY8L251bWJlcj48ZWRpdGlv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IEJvbmUgYW5kIE1pbmVyYWwgUmVzZWFyY2g8L2FiYnItMT48L3BlcmlvZGljYWw+PHBhZ2VzPjEy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PEVuZE5vdGU+PENpdGU+PEF1dGhvcj5TYXJrYXI8L0F1dGhvcj48WWVhcj4yMDA0PC9ZZWFyPjxS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YmJyLTE+PC9wZXJpb2RpY2FsPjxwYWdlcz4zOTQtNDAxPC9wYWdlcz48dm9sdW1lPjE5PC92b2x1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MDUxLTY8L3BhZ2VzPjx2b2x1bWU+MTg8L3ZvbHVtZT48bnVtYmVyPjY8L251bWJlcj48ZWRpdGlv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IEJvbmUgYW5kIE1pbmVyYWwgUmVzZWFyY2g8L2FiYnItMT48L3BlcmlvZGljYWw+PHBhZ2VzPjEy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A5622B">
        <w:rPr>
          <w:rFonts w:ascii="Arial" w:hAnsi="Arial" w:cs="Arial"/>
        </w:rPr>
      </w:r>
      <w:r w:rsidR="00A5622B">
        <w:rPr>
          <w:rFonts w:ascii="Arial" w:hAnsi="Arial" w:cs="Arial"/>
        </w:rPr>
        <w:fldChar w:fldCharType="separate"/>
      </w:r>
      <w:r w:rsidR="000D155C">
        <w:rPr>
          <w:rFonts w:ascii="Arial" w:hAnsi="Arial" w:cs="Arial"/>
          <w:noProof/>
        </w:rPr>
        <w:t>(</w:t>
      </w:r>
      <w:hyperlink w:anchor="_ENREF_310" w:tooltip="Eastell, 2003 #170" w:history="1">
        <w:r w:rsidR="003B725E">
          <w:rPr>
            <w:rFonts w:ascii="Arial" w:hAnsi="Arial" w:cs="Arial"/>
            <w:noProof/>
          </w:rPr>
          <w:t>310</w:t>
        </w:r>
      </w:hyperlink>
      <w:r w:rsidR="000D155C">
        <w:rPr>
          <w:rFonts w:ascii="Arial" w:hAnsi="Arial" w:cs="Arial"/>
          <w:noProof/>
        </w:rPr>
        <w:t xml:space="preserve">, </w:t>
      </w:r>
      <w:hyperlink w:anchor="_ENREF_420" w:tooltip="Sarkar, 2004 #480" w:history="1">
        <w:r w:rsidR="003B725E">
          <w:rPr>
            <w:rFonts w:ascii="Arial" w:hAnsi="Arial" w:cs="Arial"/>
            <w:noProof/>
          </w:rPr>
          <w:t>420-422</w:t>
        </w:r>
      </w:hyperlink>
      <w:r w:rsidR="000D155C">
        <w:rPr>
          <w:rFonts w:ascii="Arial" w:hAnsi="Arial" w:cs="Arial"/>
          <w:noProof/>
        </w:rPr>
        <w:t>)</w:t>
      </w:r>
      <w:r w:rsidR="00A5622B">
        <w:rPr>
          <w:rFonts w:ascii="Arial" w:hAnsi="Arial" w:cs="Arial"/>
        </w:rPr>
        <w:fldChar w:fldCharType="end"/>
      </w:r>
      <w:r w:rsidR="00A5622B">
        <w:rPr>
          <w:rFonts w:ascii="Arial" w:hAnsi="Arial" w:cs="Arial"/>
        </w:rPr>
        <w:t>.</w:t>
      </w:r>
      <w:r w:rsidR="00CC7F47" w:rsidRPr="00A93942">
        <w:rPr>
          <w:rFonts w:ascii="Arial" w:hAnsi="Arial" w:cs="Arial"/>
        </w:rPr>
        <w:t xml:space="preserve"> </w:t>
      </w:r>
      <w:r w:rsidR="00D07A4D" w:rsidRPr="00A93942">
        <w:rPr>
          <w:rFonts w:ascii="Arial" w:hAnsi="Arial" w:cs="Arial"/>
        </w:rPr>
        <w:t xml:space="preserve"> </w:t>
      </w:r>
    </w:p>
    <w:p w:rsidR="0031571D" w:rsidRDefault="001B70F0" w:rsidP="00844C20">
      <w:pPr>
        <w:spacing w:line="360" w:lineRule="auto"/>
        <w:jc w:val="both"/>
        <w:rPr>
          <w:rFonts w:ascii="Arial" w:hAnsi="Arial" w:cs="Arial"/>
        </w:rPr>
      </w:pPr>
      <w:r w:rsidRPr="00A93942">
        <w:rPr>
          <w:rFonts w:ascii="Arial" w:hAnsi="Arial" w:cs="Arial"/>
        </w:rPr>
        <w:t>The effects of antiresorptives on BTMs is dependent on the potency, binding affinity to the hydroxyapatite (in the case of nitro</w:t>
      </w:r>
      <w:r w:rsidR="00262039" w:rsidRPr="00A93942">
        <w:rPr>
          <w:rFonts w:ascii="Arial" w:hAnsi="Arial" w:cs="Arial"/>
        </w:rPr>
        <w:t xml:space="preserve">gen-containing bisphosphonates), route of administration </w:t>
      </w:r>
      <w:r w:rsidRPr="00A93942">
        <w:rPr>
          <w:rFonts w:ascii="Arial" w:hAnsi="Arial" w:cs="Arial"/>
        </w:rPr>
        <w:t xml:space="preserve">and the dosing regimens. </w:t>
      </w:r>
      <w:r w:rsidR="00377B98" w:rsidRPr="00A93942">
        <w:rPr>
          <w:rFonts w:ascii="Arial" w:hAnsi="Arial" w:cs="Arial"/>
        </w:rPr>
        <w:t>T</w:t>
      </w:r>
      <w:r w:rsidRPr="00A93942">
        <w:rPr>
          <w:rFonts w:ascii="Arial" w:hAnsi="Arial" w:cs="Arial"/>
        </w:rPr>
        <w:t>his was</w:t>
      </w:r>
      <w:r w:rsidR="00377B98" w:rsidRPr="00A93942">
        <w:rPr>
          <w:rFonts w:ascii="Arial" w:hAnsi="Arial" w:cs="Arial"/>
        </w:rPr>
        <w:t xml:space="preserve"> the first head-to-head clinical trial to examine the effects of </w:t>
      </w:r>
      <w:r w:rsidR="00262039" w:rsidRPr="00A93942">
        <w:rPr>
          <w:rFonts w:ascii="Arial" w:hAnsi="Arial" w:cs="Arial"/>
        </w:rPr>
        <w:t xml:space="preserve">orally-administered </w:t>
      </w:r>
      <w:r w:rsidR="00377B98" w:rsidRPr="00A93942">
        <w:rPr>
          <w:rFonts w:ascii="Arial" w:hAnsi="Arial" w:cs="Arial"/>
        </w:rPr>
        <w:t xml:space="preserve">ibandronate, alendronate and risedronate on bone turnover markers in postmenopausal women with osteoporosis relative to healthy premenopausal women. </w:t>
      </w:r>
      <w:r w:rsidR="0031571D">
        <w:rPr>
          <w:rFonts w:ascii="Arial" w:hAnsi="Arial" w:cs="Arial"/>
        </w:rPr>
        <w:t xml:space="preserve">This allows direct fair comparisons to be made with regards to the magnitude of change they exert and duration of effect. </w:t>
      </w:r>
    </w:p>
    <w:p w:rsidR="004C778E" w:rsidRDefault="00421A2E" w:rsidP="003B725E">
      <w:pPr>
        <w:spacing w:line="360" w:lineRule="auto"/>
        <w:jc w:val="both"/>
        <w:rPr>
          <w:rFonts w:ascii="Arial" w:hAnsi="Arial" w:cs="Arial"/>
        </w:rPr>
      </w:pPr>
      <w:r w:rsidRPr="00A93942">
        <w:rPr>
          <w:rFonts w:ascii="Arial" w:hAnsi="Arial" w:cs="Arial"/>
        </w:rPr>
        <w:t>The ma</w:t>
      </w:r>
      <w:r w:rsidR="003938D9" w:rsidRPr="00A93942">
        <w:rPr>
          <w:rFonts w:ascii="Arial" w:hAnsi="Arial" w:cs="Arial"/>
        </w:rPr>
        <w:t xml:space="preserve">gnitude of change in bone resorption within the first week of ibandronate treatment was significantly greater than that observed with alendronate or </w:t>
      </w:r>
      <w:r w:rsidR="00727E2B" w:rsidRPr="00A93942">
        <w:rPr>
          <w:rFonts w:ascii="Arial" w:hAnsi="Arial" w:cs="Arial"/>
        </w:rPr>
        <w:t xml:space="preserve">risedronate. </w:t>
      </w:r>
      <w:r w:rsidR="00B64F52" w:rsidRPr="00A93942">
        <w:rPr>
          <w:rFonts w:ascii="Arial" w:hAnsi="Arial" w:cs="Arial"/>
        </w:rPr>
        <w:t>In addition, with ibandronate treatment</w:t>
      </w:r>
      <w:r w:rsidR="004C778E">
        <w:rPr>
          <w:rFonts w:ascii="Arial" w:hAnsi="Arial" w:cs="Arial"/>
        </w:rPr>
        <w:t xml:space="preserve"> a rapid and maximal</w:t>
      </w:r>
      <w:r w:rsidR="00404DF7" w:rsidRPr="00A93942">
        <w:rPr>
          <w:rFonts w:ascii="Arial" w:hAnsi="Arial" w:cs="Arial"/>
        </w:rPr>
        <w:t xml:space="preserve"> suppression</w:t>
      </w:r>
      <w:r w:rsidR="00B64F52" w:rsidRPr="00A93942">
        <w:rPr>
          <w:rFonts w:ascii="Arial" w:hAnsi="Arial" w:cs="Arial"/>
        </w:rPr>
        <w:t xml:space="preserve"> </w:t>
      </w:r>
      <w:r w:rsidR="00404DF7" w:rsidRPr="00A93942">
        <w:rPr>
          <w:rFonts w:ascii="Arial" w:hAnsi="Arial" w:cs="Arial"/>
        </w:rPr>
        <w:t xml:space="preserve">occurred </w:t>
      </w:r>
      <w:r w:rsidR="00B64F52" w:rsidRPr="00A93942">
        <w:rPr>
          <w:rFonts w:ascii="Arial" w:hAnsi="Arial" w:cs="Arial"/>
        </w:rPr>
        <w:t xml:space="preserve">in bone </w:t>
      </w:r>
      <w:r w:rsidR="00233A90" w:rsidRPr="00A93942">
        <w:rPr>
          <w:rFonts w:ascii="Arial" w:hAnsi="Arial" w:cs="Arial"/>
        </w:rPr>
        <w:t>resorption</w:t>
      </w:r>
      <w:r w:rsidR="00B64F52" w:rsidRPr="00A93942">
        <w:rPr>
          <w:rFonts w:ascii="Arial" w:hAnsi="Arial" w:cs="Arial"/>
        </w:rPr>
        <w:t xml:space="preserve"> </w:t>
      </w:r>
      <w:r w:rsidR="00404DF7" w:rsidRPr="00A93942">
        <w:rPr>
          <w:rFonts w:ascii="Arial" w:hAnsi="Arial" w:cs="Arial"/>
        </w:rPr>
        <w:t xml:space="preserve">i.e. after only </w:t>
      </w:r>
      <w:r w:rsidR="00233A90" w:rsidRPr="00A93942">
        <w:rPr>
          <w:rFonts w:ascii="Arial" w:hAnsi="Arial" w:cs="Arial"/>
        </w:rPr>
        <w:t>one</w:t>
      </w:r>
      <w:r w:rsidR="002C17A0" w:rsidRPr="00A93942">
        <w:rPr>
          <w:rFonts w:ascii="Arial" w:hAnsi="Arial" w:cs="Arial"/>
        </w:rPr>
        <w:t xml:space="preserve"> week of the first administration</w:t>
      </w:r>
      <w:r w:rsidR="00404DF7" w:rsidRPr="00A93942">
        <w:rPr>
          <w:rFonts w:ascii="Arial" w:hAnsi="Arial" w:cs="Arial"/>
        </w:rPr>
        <w:t>. This rapid and large suppression was comparable to others</w:t>
      </w:r>
      <w:r w:rsidR="00C80054">
        <w:rPr>
          <w:rFonts w:ascii="Arial" w:hAnsi="Arial" w:cs="Arial"/>
        </w:rPr>
        <w:t xml:space="preserve"> </w:t>
      </w:r>
      <w:r w:rsidR="00C80054">
        <w:rPr>
          <w:rFonts w:ascii="Arial" w:hAnsi="Arial" w:cs="Arial"/>
        </w:rPr>
        <w:fldChar w:fldCharType="begin">
          <w:fldData xml:space="preserve">PEVuZE5vdGU+PENpdGU+PEF1dGhvcj5CaW5rbGV5PC9BdXRob3I+PFllYXI+MjAwOTwvWWVhcj48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b2RpY2FsPjxwYWdlcz4xNTk1LTYwMTwvcGFnZXM+PHZvbHVtZT4yMDwvdm9sdW1lPjxudW1iZXI+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=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PEVuZE5vdGU+PENpdGU+PEF1dGhvcj5CaW5rbGV5PC9BdXRob3I+PFllYXI+MjAwOTwvWWVhcj48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=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C80054">
        <w:rPr>
          <w:rFonts w:ascii="Arial" w:hAnsi="Arial" w:cs="Arial"/>
        </w:rPr>
      </w:r>
      <w:r w:rsidR="00C80054">
        <w:rPr>
          <w:rFonts w:ascii="Arial" w:hAnsi="Arial" w:cs="Arial"/>
        </w:rPr>
        <w:fldChar w:fldCharType="separate"/>
      </w:r>
      <w:r w:rsidR="000D155C">
        <w:rPr>
          <w:rFonts w:ascii="Arial" w:hAnsi="Arial" w:cs="Arial"/>
          <w:noProof/>
        </w:rPr>
        <w:t>(</w:t>
      </w:r>
      <w:hyperlink w:anchor="_ENREF_423" w:tooltip="Binkley, 2009 #483" w:history="1">
        <w:r w:rsidR="003B725E">
          <w:rPr>
            <w:rFonts w:ascii="Arial" w:hAnsi="Arial" w:cs="Arial"/>
            <w:noProof/>
          </w:rPr>
          <w:t>423</w:t>
        </w:r>
      </w:hyperlink>
      <w:r w:rsidR="000D155C">
        <w:rPr>
          <w:rFonts w:ascii="Arial" w:hAnsi="Arial" w:cs="Arial"/>
          <w:noProof/>
        </w:rPr>
        <w:t xml:space="preserve">, </w:t>
      </w:r>
      <w:hyperlink w:anchor="_ENREF_424" w:tooltip="Sebba, 2008 #484" w:history="1">
        <w:r w:rsidR="003B725E">
          <w:rPr>
            <w:rFonts w:ascii="Arial" w:hAnsi="Arial" w:cs="Arial"/>
            <w:noProof/>
          </w:rPr>
          <w:t>424</w:t>
        </w:r>
      </w:hyperlink>
      <w:r w:rsidR="000D155C">
        <w:rPr>
          <w:rFonts w:ascii="Arial" w:hAnsi="Arial" w:cs="Arial"/>
          <w:noProof/>
        </w:rPr>
        <w:t>)</w:t>
      </w:r>
      <w:r w:rsidR="00C80054">
        <w:rPr>
          <w:rFonts w:ascii="Arial" w:hAnsi="Arial" w:cs="Arial"/>
        </w:rPr>
        <w:fldChar w:fldCharType="end"/>
      </w:r>
      <w:r w:rsidR="006D69F3">
        <w:rPr>
          <w:rFonts w:ascii="Arial" w:hAnsi="Arial" w:cs="Arial"/>
        </w:rPr>
        <w:t xml:space="preserve"> and is partly</w:t>
      </w:r>
      <w:r w:rsidR="00CA32B1" w:rsidRPr="00A93942">
        <w:rPr>
          <w:rFonts w:ascii="Arial" w:hAnsi="Arial" w:cs="Arial"/>
        </w:rPr>
        <w:t xml:space="preserve"> due to the once-monthly high-oral dose administered as </w:t>
      </w:r>
      <w:r w:rsidR="00F819E4" w:rsidRPr="00A93942">
        <w:rPr>
          <w:rFonts w:ascii="Arial" w:hAnsi="Arial" w:cs="Arial"/>
        </w:rPr>
        <w:t>demonstrated</w:t>
      </w:r>
      <w:r w:rsidR="00CA32B1" w:rsidRPr="00A93942">
        <w:rPr>
          <w:rFonts w:ascii="Arial" w:hAnsi="Arial" w:cs="Arial"/>
        </w:rPr>
        <w:t xml:space="preserve"> in the Monthly Oral Pilot Study (MOPS) which was an ibandronate dose-ranging trial in postmenopausal women</w:t>
      </w:r>
      <w:r w:rsidR="00C80054">
        <w:rPr>
          <w:rFonts w:ascii="Arial" w:hAnsi="Arial" w:cs="Arial"/>
        </w:rPr>
        <w:t xml:space="preserve"> </w:t>
      </w:r>
      <w:r w:rsidR="00CA32B1" w:rsidRPr="00A93942">
        <w:rPr>
          <w:rFonts w:ascii="Arial" w:hAnsi="Arial" w:cs="Arial"/>
        </w:rPr>
        <w:t xml:space="preserve"> </w:t>
      </w:r>
      <w:r w:rsidR="003077D2">
        <w:rPr>
          <w:rFonts w:ascii="Arial" w:hAnsi="Arial" w:cs="Arial"/>
        </w:rPr>
        <w:fldChar w:fldCharType="begin"/>
      </w:r>
      <w:r w:rsidR="000D155C">
        <w:rPr>
          <w:rFonts w:ascii="Arial" w:hAnsi="Arial" w:cs="Arial"/>
        </w:rPr>
        <w:instrText xml:space="preserve"> ADDIN EN.CITE &lt;EndNote&gt;&lt;Cite&gt;&lt;Author&gt;Reginster&lt;/Author&gt;&lt;Year&gt;2005&lt;/Year&gt;&lt;RecNum&gt;485&lt;/RecNum&gt;&lt;DisplayText&gt;(425)&lt;/DisplayText&gt;&lt;record&gt;&lt;rec-number&gt;485&lt;/rec-number&gt;&lt;foreign-keys&gt;&lt;key app="EN" db-id="p9a5ttsvyvde9me5aw2x05fp5p55axf0wr90" timestamp="1436350768"&gt;485&lt;/key&gt;&lt;/foreign-keys&gt;&lt;ref-type name="Journal Article"&gt;17&lt;/ref-type&gt;&lt;contributors&gt;&lt;authors&gt;&lt;author&gt;Reginster, J. Y.&lt;/author&gt;&lt;/authors&gt;&lt;/contributors&gt;&lt;auth-address&gt;Unite d&amp;apos;Exploration du Metabolisme de l&amp;apos;Os et du Cartilage, CHU Centre Ville, Liege, Belgium. jyreginster@ulg.ac.be&lt;/auth-address&gt;&lt;titles&gt;&lt;title&gt;Oral ibandronate: a less frequently administered therapeutic option for postmenopausal osteoporosis&lt;/title&gt;&lt;secondary-title&gt;Expert Opin Pharmacother&lt;/secondary-title&gt;&lt;/titles&gt;&lt;periodical&gt;&lt;full-title&gt;Expert Opin Pharmacother&lt;/full-title&gt;&lt;abbr-1&gt;Expert opinion on pharmacotherapy&lt;/abbr-1&gt;&lt;/periodical&gt;&lt;pages&gt;2301-13&lt;/pages&gt;&lt;volume&gt;6&lt;/volume&gt;&lt;number&gt;13&lt;/number&gt;&lt;edition&gt;2005/10/13&lt;/edition&gt;&lt;keywords&gt;&lt;keyword&gt;Administration, Oral&lt;/keyword&gt;&lt;keyword&gt;Animals&lt;/keyword&gt;&lt;keyword&gt;Bone Density/drug effects&lt;/keyword&gt;&lt;keyword&gt;Bone Density Conservation Agents/ administration &amp;amp; dosage/pharmacokinetics&lt;/keyword&gt;&lt;keyword&gt;Diphosphonates/ administration &amp;amp; dosage/pharmacokinetics&lt;/keyword&gt;&lt;keyword&gt;Drug Administration Schedule&lt;/keyword&gt;&lt;keyword&gt;Drug Evaluation, Preclinical&lt;/keyword&gt;&lt;keyword&gt;Female&lt;/keyword&gt;&lt;keyword&gt;Fractures, Bone/etiology/ prevention &amp;amp; control&lt;/keyword&gt;&lt;keyword&gt;Humans&lt;/keyword&gt;&lt;keyword&gt;Osteoporosis, Postmenopausal/complications/ drug therapy&lt;/keyword&gt;&lt;keyword&gt;Patient Compliance&lt;/keyword&gt;&lt;keyword&gt;Randomized Controlled Trials as Topic&lt;/keyword&gt;&lt;/keywords&gt;&lt;dates&gt;&lt;year&gt;2005&lt;/year&gt;&lt;pub-dates&gt;&lt;date&gt;Oct&lt;/date&gt;&lt;/pub-dates&gt;&lt;/dates&gt;&lt;isbn&gt;1744-7666 (Electronic)&amp;#xD;1465-6566 (Linking)&lt;/isbn&gt;&lt;accession-num&gt;16218890&lt;/accession-num&gt;&lt;urls&gt;&lt;/urls&gt;&lt;electronic-resource-num&gt;10.1517/14656566.6.13.2301&lt;/electronic-resource-num&gt;&lt;remote-database-provider&gt;NLM&lt;/remote-database-provider&gt;&lt;language&gt;eng&lt;/language&gt;&lt;/record&gt;&lt;/Cite&gt;&lt;/EndNote&gt;</w:instrText>
      </w:r>
      <w:r w:rsidR="003077D2">
        <w:rPr>
          <w:rFonts w:ascii="Arial" w:hAnsi="Arial" w:cs="Arial"/>
        </w:rPr>
        <w:fldChar w:fldCharType="separate"/>
      </w:r>
      <w:r w:rsidR="000D155C">
        <w:rPr>
          <w:rFonts w:ascii="Arial" w:hAnsi="Arial" w:cs="Arial"/>
          <w:noProof/>
        </w:rPr>
        <w:t>(</w:t>
      </w:r>
      <w:hyperlink w:anchor="_ENREF_425" w:tooltip="Reginster, 2005 #485" w:history="1">
        <w:r w:rsidR="003B725E">
          <w:rPr>
            <w:rFonts w:ascii="Arial" w:hAnsi="Arial" w:cs="Arial"/>
            <w:noProof/>
          </w:rPr>
          <w:t>425</w:t>
        </w:r>
      </w:hyperlink>
      <w:r w:rsidR="000D155C">
        <w:rPr>
          <w:rFonts w:ascii="Arial" w:hAnsi="Arial" w:cs="Arial"/>
          <w:noProof/>
        </w:rPr>
        <w:t>)</w:t>
      </w:r>
      <w:r w:rsidR="003077D2">
        <w:rPr>
          <w:rFonts w:ascii="Arial" w:hAnsi="Arial" w:cs="Arial"/>
        </w:rPr>
        <w:fldChar w:fldCharType="end"/>
      </w:r>
      <w:r w:rsidR="00CA32B1" w:rsidRPr="00A93942">
        <w:rPr>
          <w:rFonts w:ascii="Arial" w:hAnsi="Arial" w:cs="Arial"/>
        </w:rPr>
        <w:t xml:space="preserve">. </w:t>
      </w:r>
      <w:r w:rsidR="002C17A0" w:rsidRPr="00A93942">
        <w:rPr>
          <w:rFonts w:ascii="Arial" w:hAnsi="Arial" w:cs="Arial"/>
        </w:rPr>
        <w:t xml:space="preserve"> </w:t>
      </w:r>
      <w:r w:rsidR="00404DF7" w:rsidRPr="00A93942">
        <w:rPr>
          <w:rFonts w:ascii="Arial" w:hAnsi="Arial" w:cs="Arial"/>
        </w:rPr>
        <w:t>Significant r</w:t>
      </w:r>
      <w:r w:rsidR="00233A90" w:rsidRPr="00A93942">
        <w:rPr>
          <w:rFonts w:ascii="Arial" w:hAnsi="Arial" w:cs="Arial"/>
        </w:rPr>
        <w:t xml:space="preserve">eductions in bone resorption was also observed after one week of treatment </w:t>
      </w:r>
      <w:r w:rsidR="00233A90" w:rsidRPr="00A93942">
        <w:rPr>
          <w:rFonts w:ascii="Arial" w:hAnsi="Arial" w:cs="Arial"/>
        </w:rPr>
        <w:lastRenderedPageBreak/>
        <w:t>with alendronate, risedronate and raloxifene but this was a more gradual decline r</w:t>
      </w:r>
      <w:r w:rsidR="004C778E">
        <w:rPr>
          <w:rFonts w:ascii="Arial" w:hAnsi="Arial" w:cs="Arial"/>
        </w:rPr>
        <w:t>ather than maximal</w:t>
      </w:r>
      <w:r w:rsidR="006D6C43" w:rsidRPr="00A93942">
        <w:rPr>
          <w:rFonts w:ascii="Arial" w:hAnsi="Arial" w:cs="Arial"/>
        </w:rPr>
        <w:t xml:space="preserve"> suppression. </w:t>
      </w:r>
      <w:r w:rsidR="00D85AB6" w:rsidRPr="00A93942">
        <w:rPr>
          <w:rFonts w:ascii="Arial" w:hAnsi="Arial" w:cs="Arial"/>
        </w:rPr>
        <w:t xml:space="preserve">For all of the 5 BTMs measured, the </w:t>
      </w:r>
      <w:r w:rsidR="004C778E">
        <w:rPr>
          <w:rFonts w:ascii="Arial" w:hAnsi="Arial" w:cs="Arial"/>
        </w:rPr>
        <w:t xml:space="preserve">overall </w:t>
      </w:r>
      <w:r w:rsidR="00D85AB6" w:rsidRPr="00A93942">
        <w:rPr>
          <w:rFonts w:ascii="Arial" w:hAnsi="Arial" w:cs="Arial"/>
        </w:rPr>
        <w:t xml:space="preserve">reduction in bone turnover was greater with ibandronate and alendronate than risedronate and least with </w:t>
      </w:r>
      <w:r w:rsidR="00F43AE4" w:rsidRPr="00A93942">
        <w:rPr>
          <w:rFonts w:ascii="Arial" w:hAnsi="Arial" w:cs="Arial"/>
        </w:rPr>
        <w:t>ra</w:t>
      </w:r>
      <w:r w:rsidR="00155B24" w:rsidRPr="00A93942">
        <w:rPr>
          <w:rFonts w:ascii="Arial" w:hAnsi="Arial" w:cs="Arial"/>
        </w:rPr>
        <w:t>loxifene.</w:t>
      </w:r>
      <w:r w:rsidR="004C778E">
        <w:rPr>
          <w:rFonts w:ascii="Arial" w:hAnsi="Arial" w:cs="Arial"/>
        </w:rPr>
        <w:t xml:space="preserve"> </w:t>
      </w:r>
      <w:r w:rsidR="00DF0E0E">
        <w:rPr>
          <w:rFonts w:ascii="Arial" w:hAnsi="Arial" w:cs="Arial"/>
        </w:rPr>
        <w:t xml:space="preserve">This may be because ibandronate and alendronate </w:t>
      </w:r>
      <w:r w:rsidR="0055547F">
        <w:rPr>
          <w:rFonts w:ascii="Arial" w:hAnsi="Arial" w:cs="Arial"/>
        </w:rPr>
        <w:t>have a higher uptake and</w:t>
      </w:r>
      <w:r w:rsidR="00DF0E0E">
        <w:rPr>
          <w:rFonts w:ascii="Arial" w:hAnsi="Arial" w:cs="Arial"/>
        </w:rPr>
        <w:t xml:space="preserve"> binding affinity to the bone mineral</w:t>
      </w:r>
      <w:r w:rsidR="0055547F">
        <w:rPr>
          <w:rFonts w:ascii="Arial" w:hAnsi="Arial" w:cs="Arial"/>
        </w:rPr>
        <w:t xml:space="preserve"> than risedronate and thus greater reductions in bone turnover</w:t>
      </w:r>
      <w:r w:rsidR="0031571D">
        <w:rPr>
          <w:rFonts w:ascii="Arial" w:hAnsi="Arial" w:cs="Arial"/>
        </w:rPr>
        <w:t xml:space="preserve"> are observed</w:t>
      </w:r>
      <w:r w:rsidR="00DF0E0E">
        <w:rPr>
          <w:rFonts w:ascii="Arial" w:hAnsi="Arial" w:cs="Arial"/>
        </w:rPr>
        <w:t xml:space="preserve">. </w:t>
      </w:r>
      <w:r w:rsidR="0031571D">
        <w:rPr>
          <w:rFonts w:ascii="Arial" w:hAnsi="Arial" w:cs="Arial"/>
        </w:rPr>
        <w:t xml:space="preserve">Preclinical date supports </w:t>
      </w:r>
      <w:r w:rsidR="0083359F">
        <w:rPr>
          <w:rFonts w:ascii="Arial" w:hAnsi="Arial" w:cs="Arial"/>
        </w:rPr>
        <w:t>the lesser binding affinity</w:t>
      </w:r>
      <w:r w:rsidR="00A32679">
        <w:rPr>
          <w:rFonts w:ascii="Arial" w:hAnsi="Arial" w:cs="Arial"/>
        </w:rPr>
        <w:t xml:space="preserve"> </w:t>
      </w:r>
      <w:r w:rsidR="00A32679">
        <w:rPr>
          <w:rFonts w:ascii="Arial" w:hAnsi="Arial" w:cs="Arial"/>
        </w:rPr>
        <w:fldChar w:fldCharType="begin"/>
      </w:r>
      <w:r w:rsidR="008E761B">
        <w:rPr>
          <w:rFonts w:ascii="Arial" w:hAnsi="Arial" w:cs="Arial"/>
        </w:rPr>
        <w:instrText xml:space="preserve"> ADDIN EN.CITE &lt;EndNote&gt;&lt;Cite&gt;&lt;Author&gt;Nancollas&lt;/Author&gt;&lt;Year&gt;2006&lt;/Year&gt;&lt;RecNum&gt;486&lt;/RecNum&gt;&lt;DisplayText&gt;(242)&lt;/DisplayText&gt;&lt;record&gt;&lt;rec-number&gt;486&lt;/rec-number&gt;&lt;foreign-keys&gt;&lt;key app="EN" db-id="p9a5ttsvyvde9me5aw2x05fp5p55axf0wr90" timestamp="1436352386"&gt;486&lt;/key&gt;&lt;/foreign-keys&gt;&lt;ref-type name="Journal Article"&gt;17&lt;/ref-type&gt;&lt;contributors&gt;&lt;authors&gt;&lt;author&gt;Nancollas, G. H.&lt;/author&gt;&lt;author&gt;Tang, R.&lt;/author&gt;&lt;author&gt;Phipps, R. J.&lt;/author&gt;&lt;author&gt;Henneman, Z.&lt;/author&gt;&lt;author&gt;Gulde, S.&lt;/author&gt;&lt;author&gt;Wu, W.&lt;/author&gt;&lt;author&gt;Mangood, A.&lt;/author&gt;&lt;author&gt;Russell, R. G.&lt;/author&gt;&lt;author&gt;Ebetino, F. H.&lt;/author&gt;&lt;/authors&gt;&lt;/contributors&gt;&lt;auth-address&gt;Department of Chemistry, Natural Sciences Complex, University at Buffalo, The State University of New York, Buffalo, NY 14260, USA.&lt;/auth-address&gt;&lt;titles&gt;&lt;title&gt;Novel insights into actions of bisphosphonates on bone: differences in interactions with hydroxyapatite&lt;/title&gt;&lt;secondary-title&gt;Bone&lt;/secondary-title&gt;&lt;/titles&gt;&lt;periodical&gt;&lt;full-title&gt;Bone&lt;/full-title&gt;&lt;abbr-1&gt;Bone&lt;/abbr-1&gt;&lt;/periodical&gt;&lt;pages&gt;617-27&lt;/pages&gt;&lt;volume&gt;38&lt;/volume&gt;&lt;number&gt;5&lt;/number&gt;&lt;edition&gt;2005/07/28&lt;/edition&gt;&lt;keywords&gt;&lt;keyword&gt;Bone Density Conservation Agents/ chemistry/ pharmacology&lt;/keyword&gt;&lt;keyword&gt;Bone and Bones/ drug effects&lt;/keyword&gt;&lt;keyword&gt;Crystallization&lt;/keyword&gt;&lt;keyword&gt;Diphosphonates/ chemistry/ pharmacology&lt;/keyword&gt;&lt;keyword&gt;Durapatite/pharmacology&lt;/keyword&gt;&lt;keyword&gt;Humans&lt;/keyword&gt;&lt;keyword&gt;Stress, Mechanical&lt;/keyword&gt;&lt;/keywords&gt;&lt;dates&gt;&lt;year&gt;2006&lt;/year&gt;&lt;pub-dates&gt;&lt;date&gt;May&lt;/date&gt;&lt;/pub-dates&gt;&lt;/dates&gt;&lt;isbn&gt;8756-3282 (Print)&amp;#xD;1873-2763 (Linking)&lt;/isbn&gt;&lt;accession-num&gt;16046206&lt;/accession-num&gt;&lt;urls&gt;&lt;/urls&gt;&lt;electronic-resource-num&gt;10.1016/j.bone.2005.05.003&lt;/electronic-resource-num&gt;&lt;remote-database-provider&gt;NLM&lt;/remote-database-provider&gt;&lt;language&gt;eng&lt;/language&gt;&lt;/record&gt;&lt;/Cite&gt;&lt;/EndNote&gt;</w:instrText>
      </w:r>
      <w:r w:rsidR="00A32679">
        <w:rPr>
          <w:rFonts w:ascii="Arial" w:hAnsi="Arial" w:cs="Arial"/>
        </w:rPr>
        <w:fldChar w:fldCharType="separate"/>
      </w:r>
      <w:r w:rsidR="008E761B">
        <w:rPr>
          <w:rFonts w:ascii="Arial" w:hAnsi="Arial" w:cs="Arial"/>
          <w:noProof/>
        </w:rPr>
        <w:t>(</w:t>
      </w:r>
      <w:hyperlink w:anchor="_ENREF_242" w:tooltip="Nancollas, 2006 #486" w:history="1">
        <w:r w:rsidR="003B725E">
          <w:rPr>
            <w:rFonts w:ascii="Arial" w:hAnsi="Arial" w:cs="Arial"/>
            <w:noProof/>
          </w:rPr>
          <w:t>242</w:t>
        </w:r>
      </w:hyperlink>
      <w:r w:rsidR="008E761B">
        <w:rPr>
          <w:rFonts w:ascii="Arial" w:hAnsi="Arial" w:cs="Arial"/>
          <w:noProof/>
        </w:rPr>
        <w:t>)</w:t>
      </w:r>
      <w:r w:rsidR="00A32679">
        <w:rPr>
          <w:rFonts w:ascii="Arial" w:hAnsi="Arial" w:cs="Arial"/>
        </w:rPr>
        <w:fldChar w:fldCharType="end"/>
      </w:r>
      <w:r w:rsidR="00A32679">
        <w:rPr>
          <w:rFonts w:ascii="Arial" w:hAnsi="Arial" w:cs="Arial"/>
        </w:rPr>
        <w:t xml:space="preserve"> </w:t>
      </w:r>
      <w:r w:rsidR="0083359F">
        <w:rPr>
          <w:rFonts w:ascii="Arial" w:hAnsi="Arial" w:cs="Arial"/>
        </w:rPr>
        <w:t>and this may explain the lesser reduction in bone turnover, but it remains to be as effective in reducing the risk of fracture.</w:t>
      </w:r>
      <w:r w:rsidR="0031571D">
        <w:rPr>
          <w:rFonts w:ascii="Arial" w:hAnsi="Arial" w:cs="Arial"/>
        </w:rPr>
        <w:t xml:space="preserve"> </w:t>
      </w:r>
      <w:r w:rsidR="00155B24" w:rsidRPr="00A93942">
        <w:rPr>
          <w:rFonts w:ascii="Arial" w:hAnsi="Arial" w:cs="Arial"/>
        </w:rPr>
        <w:t xml:space="preserve">The magnitude of change </w:t>
      </w:r>
      <w:r w:rsidR="006D69F3">
        <w:rPr>
          <w:rFonts w:ascii="Arial" w:hAnsi="Arial" w:cs="Arial"/>
        </w:rPr>
        <w:t xml:space="preserve">I observed </w:t>
      </w:r>
      <w:r w:rsidR="00155B24" w:rsidRPr="00A93942">
        <w:rPr>
          <w:rFonts w:ascii="Arial" w:hAnsi="Arial" w:cs="Arial"/>
        </w:rPr>
        <w:t xml:space="preserve">in bone resorption </w:t>
      </w:r>
      <w:r w:rsidR="00F43AE4" w:rsidRPr="00A93942">
        <w:rPr>
          <w:rFonts w:ascii="Arial" w:hAnsi="Arial" w:cs="Arial"/>
        </w:rPr>
        <w:t xml:space="preserve">with </w:t>
      </w:r>
      <w:r w:rsidR="00155B24" w:rsidRPr="00A93942">
        <w:rPr>
          <w:rFonts w:ascii="Arial" w:hAnsi="Arial" w:cs="Arial"/>
        </w:rPr>
        <w:t xml:space="preserve">alendronate and </w:t>
      </w:r>
      <w:r w:rsidR="00F43AE4" w:rsidRPr="00A93942">
        <w:rPr>
          <w:rFonts w:ascii="Arial" w:hAnsi="Arial" w:cs="Arial"/>
        </w:rPr>
        <w:t>risedronate treatment</w:t>
      </w:r>
      <w:r w:rsidR="00155B24" w:rsidRPr="00A93942">
        <w:rPr>
          <w:rFonts w:ascii="Arial" w:hAnsi="Arial" w:cs="Arial"/>
        </w:rPr>
        <w:t xml:space="preserve">s after 12 months </w:t>
      </w:r>
      <w:r w:rsidR="00F43AE4" w:rsidRPr="00A93942">
        <w:rPr>
          <w:rFonts w:ascii="Arial" w:hAnsi="Arial" w:cs="Arial"/>
        </w:rPr>
        <w:t xml:space="preserve">was </w:t>
      </w:r>
      <w:r w:rsidR="00155B24" w:rsidRPr="00A93942">
        <w:rPr>
          <w:rFonts w:ascii="Arial" w:hAnsi="Arial" w:cs="Arial"/>
        </w:rPr>
        <w:t>greater than previously reported in the FACT c</w:t>
      </w:r>
      <w:r w:rsidR="00A32679">
        <w:rPr>
          <w:rFonts w:ascii="Arial" w:hAnsi="Arial" w:cs="Arial"/>
        </w:rPr>
        <w:t xml:space="preserve">linical trial by Rosen CJ et al, 2005 </w:t>
      </w:r>
      <w:r w:rsidR="00A32679">
        <w:rPr>
          <w:rFonts w:ascii="Arial" w:hAnsi="Arial" w:cs="Arial"/>
        </w:rPr>
        <w:fldChar w:fldCharType="begin">
          <w:fldData xml:space="preserve">PEVuZE5vdGU+PENpdGU+PEF1dGhvcj5Sb3NlbjwvQXV0aG9yPjxZZWFyPjIwMDU8L1llYXI+PFJl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NDEtNTE8L3BhZ2VzPjx2b2x1bWU+MjA8L3ZvbHVtZT48bnVtYmVyPjE8L251bWJlcj48ZWRpdGlv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PEVuZE5vdGU+PENpdGU+PEF1dGhvcj5Sb3NlbjwvQXV0aG9yPjxZZWFyPjIwMDU8L1llYXI+PFJl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LTE+PC9wZXJpb2RpY2FsPjxhbHQtcGVyaW9kaWNhbD48ZnVsbC10aXRsZT5KIEJvbmUgTWluZXIg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A32679">
        <w:rPr>
          <w:rFonts w:ascii="Arial" w:hAnsi="Arial" w:cs="Arial"/>
        </w:rPr>
      </w:r>
      <w:r w:rsidR="00A32679">
        <w:rPr>
          <w:rFonts w:ascii="Arial" w:hAnsi="Arial" w:cs="Arial"/>
        </w:rPr>
        <w:fldChar w:fldCharType="separate"/>
      </w:r>
      <w:r w:rsidR="000D155C">
        <w:rPr>
          <w:rFonts w:ascii="Arial" w:hAnsi="Arial" w:cs="Arial"/>
          <w:noProof/>
        </w:rPr>
        <w:t>(</w:t>
      </w:r>
      <w:hyperlink w:anchor="_ENREF_406" w:tooltip="Rosen, 2005 #197" w:history="1">
        <w:r w:rsidR="003B725E">
          <w:rPr>
            <w:rFonts w:ascii="Arial" w:hAnsi="Arial" w:cs="Arial"/>
            <w:noProof/>
          </w:rPr>
          <w:t>406</w:t>
        </w:r>
      </w:hyperlink>
      <w:r w:rsidR="000D155C">
        <w:rPr>
          <w:rFonts w:ascii="Arial" w:hAnsi="Arial" w:cs="Arial"/>
          <w:noProof/>
        </w:rPr>
        <w:t>)</w:t>
      </w:r>
      <w:r w:rsidR="00A32679">
        <w:rPr>
          <w:rFonts w:ascii="Arial" w:hAnsi="Arial" w:cs="Arial"/>
        </w:rPr>
        <w:fldChar w:fldCharType="end"/>
      </w:r>
      <w:r w:rsidR="00155B24" w:rsidRPr="00A93942">
        <w:rPr>
          <w:rFonts w:ascii="Arial" w:hAnsi="Arial" w:cs="Arial"/>
        </w:rPr>
        <w:t>.</w:t>
      </w:r>
      <w:r w:rsidR="006D69F3">
        <w:rPr>
          <w:rFonts w:ascii="Arial" w:hAnsi="Arial" w:cs="Arial"/>
        </w:rPr>
        <w:t xml:space="preserve"> In contrast, t</w:t>
      </w:r>
      <w:r w:rsidR="00F65493" w:rsidRPr="00A93942">
        <w:rPr>
          <w:rFonts w:ascii="Arial" w:hAnsi="Arial" w:cs="Arial"/>
        </w:rPr>
        <w:t>he magnitude of change</w:t>
      </w:r>
      <w:r w:rsidR="006B16E3" w:rsidRPr="00A93942">
        <w:rPr>
          <w:rFonts w:ascii="Arial" w:hAnsi="Arial" w:cs="Arial"/>
        </w:rPr>
        <w:t xml:space="preserve"> in PINP was comparable with the findings in FACT.</w:t>
      </w:r>
    </w:p>
    <w:p w:rsidR="00C61FE0" w:rsidRPr="00A93942" w:rsidRDefault="002A2FC5" w:rsidP="003B725E">
      <w:pPr>
        <w:spacing w:line="360" w:lineRule="auto"/>
        <w:jc w:val="both"/>
        <w:rPr>
          <w:rFonts w:ascii="Arial" w:hAnsi="Arial" w:cs="Arial"/>
        </w:rPr>
      </w:pPr>
      <w:r w:rsidRPr="004A7F9C">
        <w:rPr>
          <w:rFonts w:ascii="Arial" w:hAnsi="Arial" w:cs="Arial"/>
        </w:rPr>
        <w:t>Raloxifene treatment significantly reduced bone resorption and this was sustained throughout the 48 weeks period.</w:t>
      </w:r>
      <w:r w:rsidR="00F1313A" w:rsidRPr="004A7F9C">
        <w:rPr>
          <w:rFonts w:ascii="Arial" w:hAnsi="Arial" w:cs="Arial"/>
        </w:rPr>
        <w:t xml:space="preserve"> </w:t>
      </w:r>
      <w:r w:rsidR="00CB22FB" w:rsidRPr="004A7F9C">
        <w:rPr>
          <w:rFonts w:ascii="Arial" w:hAnsi="Arial" w:cs="Arial"/>
        </w:rPr>
        <w:t>This may be due</w:t>
      </w:r>
      <w:r w:rsidR="00393B5C">
        <w:rPr>
          <w:rFonts w:ascii="Arial" w:hAnsi="Arial" w:cs="Arial"/>
        </w:rPr>
        <w:t xml:space="preserve"> to</w:t>
      </w:r>
      <w:r w:rsidR="00CB22FB" w:rsidRPr="004A7F9C">
        <w:rPr>
          <w:rFonts w:ascii="Arial" w:hAnsi="Arial" w:cs="Arial"/>
        </w:rPr>
        <w:t xml:space="preserve"> raloxifene stimulating the production of OPG by the pre-osteoblast and inhibiting the production of IL-6 as demonstrated by previous i</w:t>
      </w:r>
      <w:r w:rsidR="000B19A6" w:rsidRPr="004A7F9C">
        <w:rPr>
          <w:rFonts w:ascii="Arial" w:hAnsi="Arial" w:cs="Arial"/>
        </w:rPr>
        <w:t>n vitro and in</w:t>
      </w:r>
      <w:r w:rsidR="00CB22FB" w:rsidRPr="004A7F9C">
        <w:rPr>
          <w:rFonts w:ascii="Arial" w:hAnsi="Arial" w:cs="Arial"/>
        </w:rPr>
        <w:t xml:space="preserve"> </w:t>
      </w:r>
      <w:r w:rsidR="000B19A6" w:rsidRPr="004A7F9C">
        <w:rPr>
          <w:rFonts w:ascii="Arial" w:hAnsi="Arial" w:cs="Arial"/>
        </w:rPr>
        <w:t>vivo studies</w:t>
      </w:r>
      <w:r w:rsidR="00CB22FB" w:rsidRPr="004A7F9C">
        <w:rPr>
          <w:rFonts w:ascii="Arial" w:hAnsi="Arial" w:cs="Arial"/>
        </w:rPr>
        <w:t>.</w:t>
      </w:r>
      <w:r w:rsidR="000B19A6" w:rsidRPr="004A7F9C">
        <w:rPr>
          <w:rFonts w:ascii="Arial" w:hAnsi="Arial" w:cs="Arial"/>
        </w:rPr>
        <w:t xml:space="preserve"> The action of OPG may mediate the inhibition of osteoclastogenesis and </w:t>
      </w:r>
      <w:r w:rsidR="00CB22FB" w:rsidRPr="004A7F9C">
        <w:rPr>
          <w:rFonts w:ascii="Arial" w:hAnsi="Arial" w:cs="Arial"/>
        </w:rPr>
        <w:t xml:space="preserve">suppression of </w:t>
      </w:r>
      <w:r w:rsidR="000B19A6" w:rsidRPr="004A7F9C">
        <w:rPr>
          <w:rFonts w:ascii="Arial" w:hAnsi="Arial" w:cs="Arial"/>
        </w:rPr>
        <w:t xml:space="preserve">bone resorption </w:t>
      </w:r>
      <w:r w:rsidR="00A32679">
        <w:rPr>
          <w:rFonts w:ascii="Arial" w:hAnsi="Arial" w:cs="Arial"/>
        </w:rPr>
        <w:fldChar w:fldCharType="begin"/>
      </w:r>
      <w:r w:rsidR="000D155C">
        <w:rPr>
          <w:rFonts w:ascii="Arial" w:hAnsi="Arial" w:cs="Arial"/>
        </w:rPr>
        <w:instrText xml:space="preserve"> ADDIN EN.CITE &lt;EndNote&gt;&lt;Cite&gt;&lt;Author&gt;Taranta&lt;/Author&gt;&lt;Year&gt;2002&lt;/Year&gt;&lt;RecNum&gt;487&lt;/RecNum&gt;&lt;DisplayText&gt;(426)&lt;/DisplayText&gt;&lt;record&gt;&lt;rec-number&gt;487&lt;/rec-number&gt;&lt;foreign-keys&gt;&lt;key app="EN" db-id="p9a5ttsvyvde9me5aw2x05fp5p55axf0wr90" timestamp="1436352733"&gt;487&lt;/key&gt;&lt;/foreign-keys&gt;&lt;ref-type name="Journal Article"&gt;17&lt;/ref-type&gt;&lt;contributors&gt;&lt;authors&gt;&lt;author&gt;Taranta, A.&lt;/author&gt;&lt;author&gt;Brama, M.&lt;/author&gt;&lt;author&gt;Teti, A.&lt;/author&gt;&lt;author&gt;De luca, V.&lt;/author&gt;&lt;author&gt;Scandurra, R.&lt;/author&gt;&lt;author&gt;Spera, G.&lt;/author&gt;&lt;author&gt;Agnusdei, D.&lt;/author&gt;&lt;author&gt;Termine, J. D.&lt;/author&gt;&lt;author&gt;Migliaccio, S.&lt;/author&gt;&lt;/authors&gt;&lt;/contributors&gt;&lt;auth-address&gt;Istituto Dermopatico dell&amp;apos;Immacolata, Rome, Italy.&lt;/auth-address&gt;&lt;titles&gt;&lt;title&gt;The selective estrogen receptor modulator raloxifene regulates osteoclast and osteoblast activity in vitro&lt;/title&gt;&lt;secondary-title&gt;Bone&lt;/secondary-title&gt;&lt;/titles&gt;&lt;periodical&gt;&lt;full-title&gt;Bone&lt;/full-title&gt;&lt;abbr-1&gt;Bone&lt;/abbr-1&gt;&lt;/periodical&gt;&lt;pages&gt;368-76&lt;/pages&gt;&lt;volume&gt;30&lt;/volume&gt;&lt;number&gt;2&lt;/number&gt;&lt;edition&gt;2002/02/22&lt;/edition&gt;&lt;keywords&gt;&lt;keyword&gt;Animals&lt;/keyword&gt;&lt;keyword&gt;Cell Division/drug effects&lt;/keyword&gt;&lt;keyword&gt;Cytokines/genetics&lt;/keyword&gt;&lt;keyword&gt;Estradiol/metabolism&lt;/keyword&gt;&lt;keyword&gt;Estrogen Antagonists/ pharmacology&lt;/keyword&gt;&lt;keyword&gt;Female&lt;/keyword&gt;&lt;keyword&gt;Gene Expression/drug effects&lt;/keyword&gt;&lt;keyword&gt;In Vitro Techniques&lt;/keyword&gt;&lt;keyword&gt;Mice&lt;/keyword&gt;&lt;keyword&gt;Mice, Inbred Strains&lt;/keyword&gt;&lt;keyword&gt;Osteoblasts/ drug effects/physiology&lt;/keyword&gt;&lt;keyword&gt;Osteoclasts/ drug effects/physiology&lt;/keyword&gt;&lt;keyword&gt;Raloxifene/ pharmacology&lt;/keyword&gt;&lt;keyword&gt;Receptors, Estrogen/antagonists &amp;amp; inhibitors/ metabolism&lt;/keyword&gt;&lt;/keywords&gt;&lt;dates&gt;&lt;year&gt;2002&lt;/year&gt;&lt;pub-dates&gt;&lt;date&gt;Feb&lt;/date&gt;&lt;/pub-dates&gt;&lt;/dates&gt;&lt;isbn&gt;8756-3282 (Print)&amp;#xD;1873-2763 (Linking)&lt;/isbn&gt;&lt;accession-num&gt;11856644&lt;/accession-num&gt;&lt;urls&gt;&lt;/urls&gt;&lt;remote-database-provider&gt;NLM&lt;/remote-database-provider&gt;&lt;language&gt;eng&lt;/language&gt;&lt;/record&gt;&lt;/Cite&gt;&lt;/EndNote&gt;</w:instrText>
      </w:r>
      <w:r w:rsidR="00A32679">
        <w:rPr>
          <w:rFonts w:ascii="Arial" w:hAnsi="Arial" w:cs="Arial"/>
        </w:rPr>
        <w:fldChar w:fldCharType="separate"/>
      </w:r>
      <w:r w:rsidR="000D155C">
        <w:rPr>
          <w:rFonts w:ascii="Arial" w:hAnsi="Arial" w:cs="Arial"/>
          <w:noProof/>
        </w:rPr>
        <w:t>(</w:t>
      </w:r>
      <w:hyperlink w:anchor="_ENREF_426" w:tooltip="Taranta, 2002 #487" w:history="1">
        <w:r w:rsidR="003B725E">
          <w:rPr>
            <w:rFonts w:ascii="Arial" w:hAnsi="Arial" w:cs="Arial"/>
            <w:noProof/>
          </w:rPr>
          <w:t>426</w:t>
        </w:r>
      </w:hyperlink>
      <w:r w:rsidR="000D155C">
        <w:rPr>
          <w:rFonts w:ascii="Arial" w:hAnsi="Arial" w:cs="Arial"/>
          <w:noProof/>
        </w:rPr>
        <w:t>)</w:t>
      </w:r>
      <w:r w:rsidR="00A32679">
        <w:rPr>
          <w:rFonts w:ascii="Arial" w:hAnsi="Arial" w:cs="Arial"/>
        </w:rPr>
        <w:fldChar w:fldCharType="end"/>
      </w:r>
      <w:r w:rsidR="000B19A6" w:rsidRPr="004A7F9C">
        <w:rPr>
          <w:rFonts w:ascii="Arial" w:hAnsi="Arial" w:cs="Arial"/>
        </w:rPr>
        <w:t xml:space="preserve"> and increased osteoclast apoptosis </w:t>
      </w:r>
      <w:r w:rsidR="00A32679">
        <w:rPr>
          <w:rFonts w:ascii="Arial" w:hAnsi="Arial" w:cs="Arial"/>
        </w:rPr>
        <w:fldChar w:fldCharType="begin">
          <w:fldData xml:space="preserve">PEVuZE5vdGU+PENpdGU+PEF1dGhvcj5NZXNzYWxsaTwvQXV0aG9yPjxZZWFyPjIwMDc8L1llYXI+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PEVuZE5vdGU+PENpdGU+PEF1dGhvcj5NZXNzYWxsaTwvQXV0aG9yPjxZZWFyPjIwMDc8L1llYXI+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A32679">
        <w:rPr>
          <w:rFonts w:ascii="Arial" w:hAnsi="Arial" w:cs="Arial"/>
        </w:rPr>
      </w:r>
      <w:r w:rsidR="00A32679">
        <w:rPr>
          <w:rFonts w:ascii="Arial" w:hAnsi="Arial" w:cs="Arial"/>
        </w:rPr>
        <w:fldChar w:fldCharType="separate"/>
      </w:r>
      <w:r w:rsidR="000D155C">
        <w:rPr>
          <w:rFonts w:ascii="Arial" w:hAnsi="Arial" w:cs="Arial"/>
          <w:noProof/>
        </w:rPr>
        <w:t>(</w:t>
      </w:r>
      <w:hyperlink w:anchor="_ENREF_427" w:tooltip="Messalli, 2007 #488" w:history="1">
        <w:r w:rsidR="003B725E">
          <w:rPr>
            <w:rFonts w:ascii="Arial" w:hAnsi="Arial" w:cs="Arial"/>
            <w:noProof/>
          </w:rPr>
          <w:t>427</w:t>
        </w:r>
      </w:hyperlink>
      <w:r w:rsidR="000D155C">
        <w:rPr>
          <w:rFonts w:ascii="Arial" w:hAnsi="Arial" w:cs="Arial"/>
          <w:noProof/>
        </w:rPr>
        <w:t xml:space="preserve">, </w:t>
      </w:r>
      <w:hyperlink w:anchor="_ENREF_428" w:tooltip="Viereck, 2003 #489" w:history="1">
        <w:r w:rsidR="003B725E">
          <w:rPr>
            <w:rFonts w:ascii="Arial" w:hAnsi="Arial" w:cs="Arial"/>
            <w:noProof/>
          </w:rPr>
          <w:t>428</w:t>
        </w:r>
      </w:hyperlink>
      <w:r w:rsidR="000D155C">
        <w:rPr>
          <w:rFonts w:ascii="Arial" w:hAnsi="Arial" w:cs="Arial"/>
          <w:noProof/>
        </w:rPr>
        <w:t>)</w:t>
      </w:r>
      <w:r w:rsidR="00A32679">
        <w:rPr>
          <w:rFonts w:ascii="Arial" w:hAnsi="Arial" w:cs="Arial"/>
        </w:rPr>
        <w:fldChar w:fldCharType="end"/>
      </w:r>
      <w:r w:rsidR="00A32679">
        <w:rPr>
          <w:rFonts w:ascii="Arial" w:hAnsi="Arial" w:cs="Arial"/>
        </w:rPr>
        <w:t>.</w:t>
      </w:r>
      <w:r w:rsidR="000B19A6" w:rsidRPr="004A7F9C">
        <w:rPr>
          <w:rFonts w:ascii="Arial" w:hAnsi="Arial" w:cs="Arial"/>
        </w:rPr>
        <w:t xml:space="preserve"> </w:t>
      </w:r>
      <w:r w:rsidR="00D840DA" w:rsidRPr="004A7F9C">
        <w:rPr>
          <w:rFonts w:ascii="Arial" w:hAnsi="Arial" w:cs="Arial"/>
        </w:rPr>
        <w:t xml:space="preserve">The reduction in CTX </w:t>
      </w:r>
      <w:r w:rsidR="00F1313A" w:rsidRPr="004A7F9C">
        <w:rPr>
          <w:rFonts w:ascii="Arial" w:hAnsi="Arial" w:cs="Arial"/>
        </w:rPr>
        <w:t xml:space="preserve">(-44%) </w:t>
      </w:r>
      <w:r w:rsidR="00CB22FB" w:rsidRPr="004A7F9C">
        <w:rPr>
          <w:rFonts w:ascii="Arial" w:hAnsi="Arial" w:cs="Arial"/>
        </w:rPr>
        <w:t xml:space="preserve">observed </w:t>
      </w:r>
      <w:r w:rsidR="00D840DA" w:rsidRPr="004A7F9C">
        <w:rPr>
          <w:rFonts w:ascii="Arial" w:hAnsi="Arial" w:cs="Arial"/>
        </w:rPr>
        <w:t xml:space="preserve">after 6 months of treatment was greater than was previously reported by Messalli EM </w:t>
      </w:r>
      <w:r w:rsidR="00E04F2D">
        <w:rPr>
          <w:rFonts w:ascii="Arial" w:hAnsi="Arial" w:cs="Arial"/>
        </w:rPr>
        <w:t xml:space="preserve">et al 2007, </w:t>
      </w:r>
      <w:r w:rsidR="00F1313A" w:rsidRPr="004A7F9C">
        <w:rPr>
          <w:rFonts w:ascii="Arial" w:hAnsi="Arial" w:cs="Arial"/>
        </w:rPr>
        <w:t>(-13%)</w:t>
      </w:r>
      <w:r w:rsidR="00D840DA" w:rsidRPr="004A7F9C">
        <w:rPr>
          <w:rFonts w:ascii="Arial" w:hAnsi="Arial" w:cs="Arial"/>
        </w:rPr>
        <w:t xml:space="preserve"> in healthy postmenopausal women i.e. with</w:t>
      </w:r>
      <w:r w:rsidR="00F1313A" w:rsidRPr="004A7F9C">
        <w:rPr>
          <w:rFonts w:ascii="Arial" w:hAnsi="Arial" w:cs="Arial"/>
        </w:rPr>
        <w:t xml:space="preserve"> a BMD T-score greater than -1</w:t>
      </w:r>
      <w:r w:rsidR="00E04F2D">
        <w:rPr>
          <w:rFonts w:ascii="Arial" w:hAnsi="Arial" w:cs="Arial"/>
        </w:rPr>
        <w:t xml:space="preserve">, </w:t>
      </w:r>
      <w:r w:rsidR="00E04F2D">
        <w:rPr>
          <w:rFonts w:ascii="Arial" w:hAnsi="Arial" w:cs="Arial"/>
        </w:rPr>
        <w:fldChar w:fldCharType="begin">
          <w:fldData xml:space="preserve">PEVuZE5vdGU+PENpdGU+PEF1dGhvcj5NZXNzYWxsaTwvQXV0aG9yPjxZZWFyPjIwMDc8L1llYXI+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PEVuZE5vdGU+PENpdGU+PEF1dGhvcj5NZXNzYWxsaTwvQXV0aG9yPjxZZWFyPjIwMDc8L1llYXI+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04F2D">
        <w:rPr>
          <w:rFonts w:ascii="Arial" w:hAnsi="Arial" w:cs="Arial"/>
        </w:rPr>
      </w:r>
      <w:r w:rsidR="00E04F2D">
        <w:rPr>
          <w:rFonts w:ascii="Arial" w:hAnsi="Arial" w:cs="Arial"/>
        </w:rPr>
        <w:fldChar w:fldCharType="separate"/>
      </w:r>
      <w:r w:rsidR="000D155C">
        <w:rPr>
          <w:rFonts w:ascii="Arial" w:hAnsi="Arial" w:cs="Arial"/>
          <w:noProof/>
        </w:rPr>
        <w:t>(</w:t>
      </w:r>
      <w:hyperlink w:anchor="_ENREF_427" w:tooltip="Messalli, 2007 #488" w:history="1">
        <w:r w:rsidR="003B725E">
          <w:rPr>
            <w:rFonts w:ascii="Arial" w:hAnsi="Arial" w:cs="Arial"/>
            <w:noProof/>
          </w:rPr>
          <w:t>427</w:t>
        </w:r>
      </w:hyperlink>
      <w:r w:rsidR="000D155C">
        <w:rPr>
          <w:rFonts w:ascii="Arial" w:hAnsi="Arial" w:cs="Arial"/>
          <w:noProof/>
        </w:rPr>
        <w:t>)</w:t>
      </w:r>
      <w:r w:rsidR="00E04F2D">
        <w:rPr>
          <w:rFonts w:ascii="Arial" w:hAnsi="Arial" w:cs="Arial"/>
        </w:rPr>
        <w:fldChar w:fldCharType="end"/>
      </w:r>
      <w:r w:rsidR="00F1313A" w:rsidRPr="004A7F9C">
        <w:rPr>
          <w:rFonts w:ascii="Arial" w:hAnsi="Arial" w:cs="Arial"/>
        </w:rPr>
        <w:t>. Overall, t</w:t>
      </w:r>
      <w:r w:rsidR="00762020" w:rsidRPr="004A7F9C">
        <w:rPr>
          <w:rFonts w:ascii="Arial" w:hAnsi="Arial" w:cs="Arial"/>
        </w:rPr>
        <w:t>he magnitude of change in the BTMs was less in the</w:t>
      </w:r>
      <w:r w:rsidR="00762020">
        <w:rPr>
          <w:rFonts w:ascii="Arial" w:hAnsi="Arial" w:cs="Arial"/>
        </w:rPr>
        <w:t xml:space="preserve"> postmenopausal women receiving raloxifene treatment </w:t>
      </w:r>
      <w:r w:rsidR="00D840DA">
        <w:rPr>
          <w:rFonts w:ascii="Arial" w:hAnsi="Arial" w:cs="Arial"/>
        </w:rPr>
        <w:t>than those receiving bisphosphonates.</w:t>
      </w:r>
      <w:r w:rsidR="000B19A6">
        <w:rPr>
          <w:rFonts w:ascii="Arial" w:hAnsi="Arial" w:cs="Arial"/>
        </w:rPr>
        <w:t xml:space="preserve"> </w:t>
      </w:r>
    </w:p>
    <w:p w:rsidR="00AB4095" w:rsidRDefault="006A2F3D" w:rsidP="003B725E">
      <w:pPr>
        <w:spacing w:line="360" w:lineRule="auto"/>
        <w:jc w:val="both"/>
        <w:rPr>
          <w:rFonts w:ascii="Arial" w:hAnsi="Arial" w:cs="Arial"/>
        </w:rPr>
      </w:pPr>
      <w:r w:rsidRPr="00A93942">
        <w:rPr>
          <w:rFonts w:ascii="Arial" w:hAnsi="Arial" w:cs="Arial"/>
        </w:rPr>
        <w:t>In a clinical setting, the change in BTMs with antiresorptive treatments from b</w:t>
      </w:r>
      <w:r w:rsidR="00AE58D6" w:rsidRPr="00A93942">
        <w:rPr>
          <w:rFonts w:ascii="Arial" w:hAnsi="Arial" w:cs="Arial"/>
        </w:rPr>
        <w:t xml:space="preserve">aseline levels prior </w:t>
      </w:r>
      <w:r w:rsidR="00F819E4" w:rsidRPr="00A93942">
        <w:rPr>
          <w:rFonts w:ascii="Arial" w:hAnsi="Arial" w:cs="Arial"/>
        </w:rPr>
        <w:t xml:space="preserve">to </w:t>
      </w:r>
      <w:r w:rsidR="00AE58D6" w:rsidRPr="00A93942">
        <w:rPr>
          <w:rFonts w:ascii="Arial" w:hAnsi="Arial" w:cs="Arial"/>
        </w:rPr>
        <w:t xml:space="preserve">treatment can be used to monitor and assess the response to treatments </w:t>
      </w:r>
      <w:r w:rsidR="00920CA4" w:rsidRPr="00A93942">
        <w:rPr>
          <w:rFonts w:ascii="Arial" w:hAnsi="Arial" w:cs="Arial"/>
        </w:rPr>
        <w:fldChar w:fldCharType="begin">
          <w:fldData xml:space="preserve">PEVuZE5vdGU+PENpdGU+PEF1dGhvcj5FYXN0ZWxsPC9BdXRob3I+PFllYXI+MjAwODwvWWVhcj48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PEVuZE5vdGU+PENpdGU+PEF1dGhvcj5FYXN0ZWxsPC9BdXRob3I+PFllYXI+MjAwODwvWWVhcj48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920CA4" w:rsidRPr="00A93942">
        <w:rPr>
          <w:rFonts w:ascii="Arial" w:hAnsi="Arial" w:cs="Arial"/>
        </w:rPr>
      </w:r>
      <w:r w:rsidR="00920CA4" w:rsidRPr="00A93942">
        <w:rPr>
          <w:rFonts w:ascii="Arial" w:hAnsi="Arial" w:cs="Arial"/>
        </w:rPr>
        <w:fldChar w:fldCharType="separate"/>
      </w:r>
      <w:r w:rsidR="000D155C">
        <w:rPr>
          <w:rFonts w:ascii="Arial" w:hAnsi="Arial" w:cs="Arial"/>
          <w:noProof/>
        </w:rPr>
        <w:t>(</w:t>
      </w:r>
      <w:hyperlink w:anchor="_ENREF_429" w:tooltip="Eastell, 2008 #229" w:history="1">
        <w:r w:rsidR="003B725E">
          <w:rPr>
            <w:rFonts w:ascii="Arial" w:hAnsi="Arial" w:cs="Arial"/>
            <w:noProof/>
          </w:rPr>
          <w:t>429</w:t>
        </w:r>
      </w:hyperlink>
      <w:r w:rsidR="000D155C">
        <w:rPr>
          <w:rFonts w:ascii="Arial" w:hAnsi="Arial" w:cs="Arial"/>
          <w:noProof/>
        </w:rPr>
        <w:t>)</w:t>
      </w:r>
      <w:r w:rsidR="00920CA4" w:rsidRPr="00A93942">
        <w:rPr>
          <w:rFonts w:ascii="Arial" w:hAnsi="Arial" w:cs="Arial"/>
        </w:rPr>
        <w:fldChar w:fldCharType="end"/>
      </w:r>
      <w:r w:rsidR="00A93942">
        <w:rPr>
          <w:rFonts w:ascii="Arial" w:hAnsi="Arial" w:cs="Arial"/>
        </w:rPr>
        <w:t xml:space="preserve">. Here I have used </w:t>
      </w:r>
      <w:r w:rsidR="00A93942" w:rsidRPr="00A93942">
        <w:rPr>
          <w:rFonts w:ascii="Arial" w:hAnsi="Arial" w:cs="Arial"/>
        </w:rPr>
        <w:t>a method which assesses the BTMs response to treatment relative to healthy premenopausal women.</w:t>
      </w:r>
      <w:r w:rsidR="00F83F88">
        <w:rPr>
          <w:rFonts w:ascii="Arial" w:hAnsi="Arial" w:cs="Arial"/>
        </w:rPr>
        <w:t xml:space="preserve"> </w:t>
      </w:r>
      <w:r w:rsidR="00764B0C">
        <w:rPr>
          <w:rFonts w:ascii="Arial" w:hAnsi="Arial" w:cs="Arial"/>
        </w:rPr>
        <w:t xml:space="preserve">Generally, BTM levels were significantly higher in the majority of postmenopausal with osteoporosis or osteopenia than the mean levels of healthy premenopausal women. After one week of </w:t>
      </w:r>
      <w:r w:rsidR="00393B5C">
        <w:rPr>
          <w:rFonts w:ascii="Arial" w:hAnsi="Arial" w:cs="Arial"/>
        </w:rPr>
        <w:t>treatment,</w:t>
      </w:r>
      <w:r w:rsidR="00764B0C">
        <w:rPr>
          <w:rFonts w:ascii="Arial" w:hAnsi="Arial" w:cs="Arial"/>
        </w:rPr>
        <w:t xml:space="preserve"> the </w:t>
      </w:r>
      <w:r w:rsidR="009B3AA6">
        <w:rPr>
          <w:rFonts w:ascii="Arial" w:hAnsi="Arial" w:cs="Arial"/>
        </w:rPr>
        <w:t>majority of these women had a CTX and NTX/Cr concentration below the mean levels</w:t>
      </w:r>
      <w:r w:rsidR="00E778CC">
        <w:rPr>
          <w:rFonts w:ascii="Arial" w:hAnsi="Arial" w:cs="Arial"/>
        </w:rPr>
        <w:t>.</w:t>
      </w:r>
      <w:r w:rsidR="007B287A">
        <w:rPr>
          <w:rFonts w:ascii="Arial" w:hAnsi="Arial" w:cs="Arial"/>
        </w:rPr>
        <w:t xml:space="preserve"> This portion was greater in the women treated with the bisphosphonates than those receiving raloxifene and is consistent with other findings </w:t>
      </w:r>
      <w:r w:rsidR="009F293A">
        <w:rPr>
          <w:rFonts w:ascii="Arial" w:hAnsi="Arial" w:cs="Arial"/>
        </w:rPr>
        <w:fldChar w:fldCharType="begin"/>
      </w:r>
      <w:r w:rsidR="008E761B">
        <w:rPr>
          <w:rFonts w:ascii="Arial" w:hAnsi="Arial" w:cs="Arial"/>
        </w:rPr>
        <w:instrText xml:space="preserve"> ADDIN EN.CITE &lt;EndNote&gt;&lt;Cite&gt;&lt;Author&gt;Eastell&lt;/Author&gt;&lt;Year&gt;2011&lt;/Year&gt;&lt;RecNum&gt;210&lt;/RecNum&gt;&lt;DisplayText&gt;(277)&lt;/DisplayText&gt;&lt;record&gt;&lt;rec-number&gt;210&lt;/rec-number&gt;&lt;foreign-keys&gt;&lt;key app="EN" db-id="p9a5ttsvyvde9me5aw2x05fp5p55axf0wr90" timestamp="1417715021"&gt;210&lt;/key&gt;&lt;/foreign-keys&gt;&lt;ref-type name="Journal Article"&gt;17&lt;/ref-type&gt;&lt;contributors&gt;&lt;authors&gt;&lt;author&gt;Eastell, R.&lt;/author&gt;&lt;author&gt;Walsh, J. S.&lt;/author&gt;&lt;author&gt;Watts, N. B.&lt;/author&gt;&lt;author&gt;Siris, E.&lt;/author&gt;&lt;/authors&gt;&lt;/contributors&gt;&lt;auth-address&gt;National Institute for Health Research Biomedical Research Unit for Bone Disease, Centre for Biomedical Research, Northern General Hospital, Sheffield, South Yorkshire, England, UK. r.eastell@sheffield.ac.uk&lt;/auth-address&gt;&lt;titles&gt;&lt;title&gt;Bisphosphonates for postmenopausal osteoporosis&lt;/title&gt;&lt;secondary-title&gt;Bone&lt;/secondary-title&gt;&lt;alt-title&gt;Bone&lt;/alt-title&gt;&lt;/titles&gt;&lt;periodical&gt;&lt;full-title&gt;Bone&lt;/full-title&gt;&lt;abbr-1&gt;Bone&lt;/abbr-1&gt;&lt;/periodical&gt;&lt;alt-periodical&gt;&lt;full-title&gt;Bone&lt;/full-title&gt;&lt;abbr-1&gt;Bone&lt;/abbr-1&gt;&lt;/alt-periodical&gt;&lt;pages&gt;82-8&lt;/pages&gt;&lt;volume&gt;49&lt;/volume&gt;&lt;number&gt;1&lt;/number&gt;&lt;edition&gt;2011/02/26&lt;/edition&gt;&lt;keywords&gt;&lt;keyword&gt;Biological Markers/metabolism&lt;/keyword&gt;&lt;keyword&gt;Diphosphonates/ therapeutic use&lt;/keyword&gt;&lt;keyword&gt;Fractures, Bone/ complications/drug therapy&lt;/keyword&gt;&lt;keyword&gt;Humans&lt;/keyword&gt;&lt;keyword&gt;Osteoporosis, Postmenopausal/complications/ drug therapy/etiology/physiopathology&lt;/keyword&gt;&lt;keyword&gt;Treatment Outcome&lt;/keyword&gt;&lt;/keywords&gt;&lt;dates&gt;&lt;year&gt;2011&lt;/year&gt;&lt;pub-dates&gt;&lt;date&gt;Jul&lt;/date&gt;&lt;/pub-dates&gt;&lt;/dates&gt;&lt;isbn&gt;1873-2763 (Electronic)&amp;#xD;1873-2763 (Linking)&lt;/isbn&gt;&lt;accession-num&gt;21349354&lt;/accession-num&gt;&lt;urls&gt;&lt;/urls&gt;&lt;electronic-resource-num&gt;10.1016/j.bone.2011.02.011&lt;/electronic-resource-num&gt;&lt;remote-database-provider&gt;NLM&lt;/remote-database-provider&gt;&lt;language&gt;eng&lt;/language&gt;&lt;/record&gt;&lt;/Cite&gt;&lt;/EndNote&gt;</w:instrText>
      </w:r>
      <w:r w:rsidR="009F293A">
        <w:rPr>
          <w:rFonts w:ascii="Arial" w:hAnsi="Arial" w:cs="Arial"/>
        </w:rPr>
        <w:fldChar w:fldCharType="separate"/>
      </w:r>
      <w:r w:rsidR="008E761B">
        <w:rPr>
          <w:rFonts w:ascii="Arial" w:hAnsi="Arial" w:cs="Arial"/>
          <w:noProof/>
        </w:rPr>
        <w:t>(</w:t>
      </w:r>
      <w:hyperlink w:anchor="_ENREF_277" w:tooltip="Eastell, 2011 #210" w:history="1">
        <w:r w:rsidR="003B725E">
          <w:rPr>
            <w:rFonts w:ascii="Arial" w:hAnsi="Arial" w:cs="Arial"/>
            <w:noProof/>
          </w:rPr>
          <w:t>277</w:t>
        </w:r>
      </w:hyperlink>
      <w:r w:rsidR="008E761B">
        <w:rPr>
          <w:rFonts w:ascii="Arial" w:hAnsi="Arial" w:cs="Arial"/>
          <w:noProof/>
        </w:rPr>
        <w:t>)</w:t>
      </w:r>
      <w:r w:rsidR="009F293A">
        <w:rPr>
          <w:rFonts w:ascii="Arial" w:hAnsi="Arial" w:cs="Arial"/>
        </w:rPr>
        <w:fldChar w:fldCharType="end"/>
      </w:r>
      <w:r w:rsidR="007B287A">
        <w:rPr>
          <w:rFonts w:ascii="Arial" w:hAnsi="Arial" w:cs="Arial"/>
        </w:rPr>
        <w:t xml:space="preserve">. </w:t>
      </w:r>
      <w:r w:rsidR="00E778CC">
        <w:rPr>
          <w:rFonts w:ascii="Arial" w:hAnsi="Arial" w:cs="Arial"/>
        </w:rPr>
        <w:t>With regards to the bone formation markers</w:t>
      </w:r>
      <w:r w:rsidR="000B0D44">
        <w:rPr>
          <w:rFonts w:ascii="Arial" w:hAnsi="Arial" w:cs="Arial"/>
        </w:rPr>
        <w:t xml:space="preserve"> it was after 12 weeks of bisphosphonate treatment that the majority of women had a PINP and osteocalcin but not bone ALP concentrations below the mean levels of healthy premenopausal women. </w:t>
      </w:r>
      <w:r w:rsidR="00067351">
        <w:rPr>
          <w:rFonts w:ascii="Arial" w:hAnsi="Arial" w:cs="Arial"/>
        </w:rPr>
        <w:t xml:space="preserve">In the women receiving </w:t>
      </w:r>
      <w:r w:rsidR="00393B5C">
        <w:rPr>
          <w:rFonts w:ascii="Arial" w:hAnsi="Arial" w:cs="Arial"/>
        </w:rPr>
        <w:t>raloxifene</w:t>
      </w:r>
      <w:r w:rsidR="00067351">
        <w:rPr>
          <w:rFonts w:ascii="Arial" w:hAnsi="Arial" w:cs="Arial"/>
        </w:rPr>
        <w:t xml:space="preserve"> treatment</w:t>
      </w:r>
      <w:r w:rsidR="000B0D44">
        <w:rPr>
          <w:rFonts w:ascii="Arial" w:hAnsi="Arial" w:cs="Arial"/>
        </w:rPr>
        <w:t xml:space="preserve"> the </w:t>
      </w:r>
      <w:r w:rsidR="00067351">
        <w:rPr>
          <w:rFonts w:ascii="Arial" w:hAnsi="Arial" w:cs="Arial"/>
        </w:rPr>
        <w:t xml:space="preserve">concentration of </w:t>
      </w:r>
      <w:r w:rsidR="000B0D44">
        <w:rPr>
          <w:rFonts w:ascii="Arial" w:hAnsi="Arial" w:cs="Arial"/>
        </w:rPr>
        <w:t>bone format</w:t>
      </w:r>
      <w:r w:rsidR="00067351">
        <w:rPr>
          <w:rFonts w:ascii="Arial" w:hAnsi="Arial" w:cs="Arial"/>
        </w:rPr>
        <w:t xml:space="preserve">ion markers remained above </w:t>
      </w:r>
      <w:r w:rsidR="000B0D44">
        <w:rPr>
          <w:rFonts w:ascii="Arial" w:hAnsi="Arial" w:cs="Arial"/>
        </w:rPr>
        <w:t>the premenopausal reference mean</w:t>
      </w:r>
      <w:r w:rsidR="005757DD">
        <w:rPr>
          <w:rFonts w:ascii="Arial" w:hAnsi="Arial" w:cs="Arial"/>
        </w:rPr>
        <w:t xml:space="preserve"> is a high portion. </w:t>
      </w:r>
    </w:p>
    <w:p w:rsidR="009F293A" w:rsidRDefault="00AB4095" w:rsidP="003B725E">
      <w:pPr>
        <w:spacing w:line="360" w:lineRule="auto"/>
        <w:jc w:val="both"/>
        <w:rPr>
          <w:rFonts w:ascii="Arial" w:hAnsi="Arial" w:cs="Arial"/>
        </w:rPr>
      </w:pPr>
      <w:r>
        <w:rPr>
          <w:rFonts w:ascii="Arial" w:hAnsi="Arial" w:cs="Arial"/>
        </w:rPr>
        <w:t xml:space="preserve">There are a couple of other </w:t>
      </w:r>
      <w:r w:rsidR="005757DD">
        <w:rPr>
          <w:rFonts w:ascii="Arial" w:hAnsi="Arial" w:cs="Arial"/>
        </w:rPr>
        <w:t>important finding</w:t>
      </w:r>
      <w:r>
        <w:rPr>
          <w:rFonts w:ascii="Arial" w:hAnsi="Arial" w:cs="Arial"/>
        </w:rPr>
        <w:t xml:space="preserve">s in this chapter. Firstly, </w:t>
      </w:r>
      <w:r w:rsidR="005757DD">
        <w:rPr>
          <w:rFonts w:ascii="Arial" w:hAnsi="Arial" w:cs="Arial"/>
        </w:rPr>
        <w:t>at</w:t>
      </w:r>
      <w:r>
        <w:rPr>
          <w:rFonts w:ascii="Arial" w:hAnsi="Arial" w:cs="Arial"/>
        </w:rPr>
        <w:t xml:space="preserve"> baseline</w:t>
      </w:r>
      <w:r w:rsidR="005757DD">
        <w:rPr>
          <w:rFonts w:ascii="Arial" w:hAnsi="Arial" w:cs="Arial"/>
        </w:rPr>
        <w:t xml:space="preserve"> BTM levels were higher than the premenopausal reference range in only about 20% of the </w:t>
      </w:r>
      <w:r w:rsidR="005757DD">
        <w:rPr>
          <w:rFonts w:ascii="Arial" w:hAnsi="Arial" w:cs="Arial"/>
        </w:rPr>
        <w:lastRenderedPageBreak/>
        <w:t>postmenopausal women with osteoporosis.</w:t>
      </w:r>
      <w:r w:rsidR="00745E6E">
        <w:rPr>
          <w:rFonts w:ascii="Arial" w:hAnsi="Arial" w:cs="Arial"/>
        </w:rPr>
        <w:t xml:space="preserve"> The clinical significance of this is that BTMs cannot be used to diagnose osteoporosis because a large portion of </w:t>
      </w:r>
      <w:r>
        <w:rPr>
          <w:rFonts w:ascii="Arial" w:hAnsi="Arial" w:cs="Arial"/>
        </w:rPr>
        <w:t xml:space="preserve">osteoporotic </w:t>
      </w:r>
      <w:r w:rsidR="00745E6E">
        <w:rPr>
          <w:rFonts w:ascii="Arial" w:hAnsi="Arial" w:cs="Arial"/>
        </w:rPr>
        <w:t>patients would be with</w:t>
      </w:r>
      <w:r>
        <w:rPr>
          <w:rFonts w:ascii="Arial" w:hAnsi="Arial" w:cs="Arial"/>
        </w:rPr>
        <w:t>in</w:t>
      </w:r>
      <w:r w:rsidR="00745E6E">
        <w:rPr>
          <w:rFonts w:ascii="Arial" w:hAnsi="Arial" w:cs="Arial"/>
        </w:rPr>
        <w:t xml:space="preserve"> th</w:t>
      </w:r>
      <w:r>
        <w:rPr>
          <w:rFonts w:ascii="Arial" w:hAnsi="Arial" w:cs="Arial"/>
        </w:rPr>
        <w:t xml:space="preserve">e levels of premenopausal women. Secondly, BTMs were lower than the premenopausal reference in about 50% of patients who received ibandronate and alendronate. </w:t>
      </w:r>
      <w:r w:rsidR="00BE510C">
        <w:rPr>
          <w:rFonts w:ascii="Arial" w:hAnsi="Arial" w:cs="Arial"/>
        </w:rPr>
        <w:t>The possible clinical significance of this was first descri</w:t>
      </w:r>
      <w:r w:rsidR="00E26783">
        <w:rPr>
          <w:rFonts w:ascii="Arial" w:hAnsi="Arial" w:cs="Arial"/>
        </w:rPr>
        <w:t>bed in the Marx report in 2003 (and others since)</w:t>
      </w:r>
      <w:r w:rsidR="0039196B">
        <w:rPr>
          <w:rFonts w:ascii="Arial" w:hAnsi="Arial" w:cs="Arial"/>
        </w:rPr>
        <w:t xml:space="preserve"> </w:t>
      </w:r>
      <w:r w:rsidR="00E26783">
        <w:rPr>
          <w:rFonts w:ascii="Arial" w:hAnsi="Arial" w:cs="Arial"/>
        </w:rPr>
        <w:t xml:space="preserve">demonstrating that </w:t>
      </w:r>
      <w:r w:rsidR="0039196B">
        <w:rPr>
          <w:rFonts w:ascii="Arial" w:hAnsi="Arial" w:cs="Arial"/>
        </w:rPr>
        <w:t>low bone resorption indicates a high risk of developing osteonecrosis of the</w:t>
      </w:r>
      <w:r w:rsidR="00BE510C">
        <w:rPr>
          <w:rFonts w:ascii="Arial" w:hAnsi="Arial" w:cs="Arial"/>
        </w:rPr>
        <w:t xml:space="preserve"> jaw </w:t>
      </w:r>
      <w:r w:rsidR="00BE510C">
        <w:rPr>
          <w:rFonts w:ascii="Arial" w:hAnsi="Arial" w:cs="Arial"/>
        </w:rPr>
        <w:fldChar w:fldCharType="begin">
          <w:fldData xml:space="preserve">PEVuZE5vdGU+PENpdGU+PEF1dGhvcj5NYXJ4PC9BdXRob3I+PFllYXI+MjAwMzwvWWVhcj48UmVj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PEVuZE5vdGU+PENpdGU+PEF1dGhvcj5NYXJ4PC9BdXRob3I+PFllYXI+MjAwMzwvWWVhcj48UmVj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E510C">
        <w:rPr>
          <w:rFonts w:ascii="Arial" w:hAnsi="Arial" w:cs="Arial"/>
        </w:rPr>
      </w:r>
      <w:r w:rsidR="00BE510C">
        <w:rPr>
          <w:rFonts w:ascii="Arial" w:hAnsi="Arial" w:cs="Arial"/>
        </w:rPr>
        <w:fldChar w:fldCharType="separate"/>
      </w:r>
      <w:r w:rsidR="000D155C">
        <w:rPr>
          <w:rFonts w:ascii="Arial" w:hAnsi="Arial" w:cs="Arial"/>
          <w:noProof/>
        </w:rPr>
        <w:t>(</w:t>
      </w:r>
      <w:hyperlink w:anchor="_ENREF_430" w:tooltip="Marx, 2003 #323" w:history="1">
        <w:r w:rsidR="003B725E">
          <w:rPr>
            <w:rFonts w:ascii="Arial" w:hAnsi="Arial" w:cs="Arial"/>
            <w:noProof/>
          </w:rPr>
          <w:t>430</w:t>
        </w:r>
      </w:hyperlink>
      <w:r w:rsidR="000D155C">
        <w:rPr>
          <w:rFonts w:ascii="Arial" w:hAnsi="Arial" w:cs="Arial"/>
          <w:noProof/>
        </w:rPr>
        <w:t xml:space="preserve">, </w:t>
      </w:r>
      <w:hyperlink w:anchor="_ENREF_431" w:tooltip="Pazianas, 2007 #324" w:history="1">
        <w:r w:rsidR="003B725E">
          <w:rPr>
            <w:rFonts w:ascii="Arial" w:hAnsi="Arial" w:cs="Arial"/>
            <w:noProof/>
          </w:rPr>
          <w:t>431</w:t>
        </w:r>
      </w:hyperlink>
      <w:r w:rsidR="000D155C">
        <w:rPr>
          <w:rFonts w:ascii="Arial" w:hAnsi="Arial" w:cs="Arial"/>
          <w:noProof/>
        </w:rPr>
        <w:t>)</w:t>
      </w:r>
      <w:r w:rsidR="00BE510C">
        <w:rPr>
          <w:rFonts w:ascii="Arial" w:hAnsi="Arial" w:cs="Arial"/>
        </w:rPr>
        <w:fldChar w:fldCharType="end"/>
      </w:r>
      <w:r w:rsidR="00BE510C">
        <w:rPr>
          <w:rFonts w:ascii="Arial" w:hAnsi="Arial" w:cs="Arial"/>
        </w:rPr>
        <w:t>.</w:t>
      </w:r>
      <w:r w:rsidR="00E26783">
        <w:rPr>
          <w:rFonts w:ascii="Arial" w:hAnsi="Arial" w:cs="Arial"/>
        </w:rPr>
        <w:t xml:space="preserve"> However there is currently limited evidence that there is a causal link between low dose bisphosphonates in patients with osteoporosis but rather in </w:t>
      </w:r>
      <w:r w:rsidR="00DA6CA2">
        <w:rPr>
          <w:rFonts w:ascii="Arial" w:hAnsi="Arial" w:cs="Arial"/>
        </w:rPr>
        <w:t xml:space="preserve">oncology patients receiving a high dose </w:t>
      </w:r>
      <w:r w:rsidR="00DA6CA2">
        <w:rPr>
          <w:rFonts w:ascii="Arial" w:hAnsi="Arial" w:cs="Arial"/>
        </w:rPr>
        <w:fldChar w:fldCharType="begin">
          <w:fldData xml:space="preserve">PEVuZE5vdGU+PENpdGU+PEF1dGhvcj5LaGFuPC9BdXRob3I+PFllYXI+MjAwOTwvWWVhcj48UmVj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PEVuZE5vdGU+PENpdGU+PEF1dGhvcj5LaGFuPC9BdXRob3I+PFllYXI+MjAwOTwvWWVhcj48UmVj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DA6CA2">
        <w:rPr>
          <w:rFonts w:ascii="Arial" w:hAnsi="Arial" w:cs="Arial"/>
        </w:rPr>
      </w:r>
      <w:r w:rsidR="00DA6CA2">
        <w:rPr>
          <w:rFonts w:ascii="Arial" w:hAnsi="Arial" w:cs="Arial"/>
        </w:rPr>
        <w:fldChar w:fldCharType="separate"/>
      </w:r>
      <w:r w:rsidR="000D155C">
        <w:rPr>
          <w:rFonts w:ascii="Arial" w:hAnsi="Arial" w:cs="Arial"/>
          <w:noProof/>
        </w:rPr>
        <w:t>(</w:t>
      </w:r>
      <w:hyperlink w:anchor="_ENREF_432" w:tooltip="Khan, 2009 #325" w:history="1">
        <w:r w:rsidR="003B725E">
          <w:rPr>
            <w:rFonts w:ascii="Arial" w:hAnsi="Arial" w:cs="Arial"/>
            <w:noProof/>
          </w:rPr>
          <w:t>432</w:t>
        </w:r>
      </w:hyperlink>
      <w:r w:rsidR="000D155C">
        <w:rPr>
          <w:rFonts w:ascii="Arial" w:hAnsi="Arial" w:cs="Arial"/>
          <w:noProof/>
        </w:rPr>
        <w:t>)</w:t>
      </w:r>
      <w:r w:rsidR="00DA6CA2">
        <w:rPr>
          <w:rFonts w:ascii="Arial" w:hAnsi="Arial" w:cs="Arial"/>
        </w:rPr>
        <w:fldChar w:fldCharType="end"/>
      </w:r>
      <w:r w:rsidR="00DA6CA2">
        <w:rPr>
          <w:rFonts w:ascii="Arial" w:hAnsi="Arial" w:cs="Arial"/>
        </w:rPr>
        <w:t xml:space="preserve">. </w:t>
      </w:r>
      <w:r w:rsidR="00B00EC8">
        <w:rPr>
          <w:rFonts w:ascii="Arial" w:hAnsi="Arial" w:cs="Arial"/>
        </w:rPr>
        <w:t>The finding that raloxifene and risedronate suppress bone turnover by a lesser magnitude in comparison to ibandronate and alendronate may</w:t>
      </w:r>
      <w:r w:rsidR="00DA6CA2">
        <w:rPr>
          <w:rFonts w:ascii="Arial" w:hAnsi="Arial" w:cs="Arial"/>
        </w:rPr>
        <w:t xml:space="preserve"> help clinicians in deciding which antiresorptive </w:t>
      </w:r>
      <w:r w:rsidR="00B00EC8">
        <w:rPr>
          <w:rFonts w:ascii="Arial" w:hAnsi="Arial" w:cs="Arial"/>
        </w:rPr>
        <w:t>would be most suitable</w:t>
      </w:r>
      <w:r w:rsidR="00DA6CA2">
        <w:rPr>
          <w:rFonts w:ascii="Arial" w:hAnsi="Arial" w:cs="Arial"/>
        </w:rPr>
        <w:t xml:space="preserve"> for their patients</w:t>
      </w:r>
      <w:r w:rsidR="00B00EC8">
        <w:rPr>
          <w:rFonts w:ascii="Arial" w:hAnsi="Arial" w:cs="Arial"/>
        </w:rPr>
        <w:t>.</w:t>
      </w:r>
      <w:r w:rsidR="00E26783">
        <w:rPr>
          <w:rFonts w:ascii="Arial" w:hAnsi="Arial" w:cs="Arial"/>
        </w:rPr>
        <w:t xml:space="preserve"> </w:t>
      </w:r>
    </w:p>
    <w:p w:rsidR="00F1313A" w:rsidRPr="00F1313A" w:rsidRDefault="008A1169" w:rsidP="00844C20">
      <w:pPr>
        <w:pStyle w:val="Heading2"/>
        <w:jc w:val="both"/>
      </w:pPr>
      <w:bookmarkStart w:id="173" w:name="_Toc425418946"/>
      <w:r>
        <w:t>Conclusion</w:t>
      </w:r>
      <w:bookmarkEnd w:id="173"/>
    </w:p>
    <w:p w:rsidR="008A1169" w:rsidRPr="00001B96" w:rsidRDefault="008A1169" w:rsidP="00844C20">
      <w:pPr>
        <w:spacing w:line="360" w:lineRule="auto"/>
        <w:jc w:val="both"/>
        <w:rPr>
          <w:rFonts w:ascii="Arial" w:hAnsi="Arial" w:cs="Arial"/>
        </w:rPr>
      </w:pPr>
      <w:r w:rsidRPr="00001B96">
        <w:rPr>
          <w:rFonts w:ascii="Arial" w:hAnsi="Arial" w:cs="Arial"/>
        </w:rPr>
        <w:t xml:space="preserve">Treatment of postmenopausal osteoporosis and osteopenia with antiresorptives </w:t>
      </w:r>
      <w:r w:rsidR="00D81A08">
        <w:rPr>
          <w:rFonts w:ascii="Arial" w:hAnsi="Arial" w:cs="Arial"/>
        </w:rPr>
        <w:t>rapidly reduces bone turnover resorption later followed by</w:t>
      </w:r>
      <w:r w:rsidR="00217FA8" w:rsidRPr="00001B96">
        <w:rPr>
          <w:rFonts w:ascii="Arial" w:hAnsi="Arial" w:cs="Arial"/>
        </w:rPr>
        <w:t xml:space="preserve"> formation</w:t>
      </w:r>
      <w:r w:rsidR="0087684A">
        <w:rPr>
          <w:rFonts w:ascii="Arial" w:hAnsi="Arial" w:cs="Arial"/>
        </w:rPr>
        <w:t xml:space="preserve"> </w:t>
      </w:r>
      <w:r w:rsidR="00217FA8" w:rsidRPr="00001B96">
        <w:rPr>
          <w:rFonts w:ascii="Arial" w:hAnsi="Arial" w:cs="Arial"/>
        </w:rPr>
        <w:t xml:space="preserve">and slowing down micro-architectural damage. </w:t>
      </w:r>
      <w:r w:rsidRPr="00001B96">
        <w:rPr>
          <w:rFonts w:ascii="Arial" w:hAnsi="Arial" w:cs="Arial"/>
        </w:rPr>
        <w:t>The effects of antiresorptive t</w:t>
      </w:r>
      <w:r w:rsidR="00D81A08">
        <w:rPr>
          <w:rFonts w:ascii="Arial" w:hAnsi="Arial" w:cs="Arial"/>
        </w:rPr>
        <w:t>reatments are greater and more rapid</w:t>
      </w:r>
      <w:r w:rsidRPr="00001B96">
        <w:rPr>
          <w:rFonts w:ascii="Arial" w:hAnsi="Arial" w:cs="Arial"/>
        </w:rPr>
        <w:t xml:space="preserve"> on the bone resorption markers than on the bone formation markers. PINP and CTX are the two BTMs that are particularly responsive to ibandronate, alendronate, risedronate and raloxifene.</w:t>
      </w:r>
      <w:r w:rsidR="00217FA8" w:rsidRPr="00001B96">
        <w:rPr>
          <w:rFonts w:ascii="Arial" w:hAnsi="Arial" w:cs="Arial"/>
        </w:rPr>
        <w:t xml:space="preserve"> These effects are of varying magnitude and duration depending on the dose, route of administration and potency of the treatment. </w:t>
      </w:r>
      <w:r w:rsidR="007E7F2D">
        <w:rPr>
          <w:rFonts w:ascii="Arial" w:hAnsi="Arial" w:cs="Arial"/>
        </w:rPr>
        <w:t>An approach was used to identify the portion of responders which can prove to be clinically useful for the management and monitoring of postmenopausal women with a low BMD.</w:t>
      </w:r>
    </w:p>
    <w:p w:rsidR="00291FB9" w:rsidRPr="00001B96" w:rsidRDefault="00291FB9" w:rsidP="00844C20">
      <w:pPr>
        <w:spacing w:line="360" w:lineRule="auto"/>
        <w:jc w:val="both"/>
        <w:rPr>
          <w:rFonts w:ascii="Arial" w:hAnsi="Arial" w:cs="Arial"/>
        </w:rPr>
      </w:pPr>
      <w:r w:rsidRPr="00001B96">
        <w:rPr>
          <w:rFonts w:ascii="Arial" w:hAnsi="Arial" w:cs="Arial"/>
        </w:rPr>
        <w:t>Investigating</w:t>
      </w:r>
      <w:r w:rsidR="00A65E85" w:rsidRPr="00001B96">
        <w:rPr>
          <w:rFonts w:ascii="Arial" w:hAnsi="Arial" w:cs="Arial"/>
        </w:rPr>
        <w:t xml:space="preserve"> the</w:t>
      </w:r>
      <w:r w:rsidR="00C61FE0" w:rsidRPr="00001B96">
        <w:rPr>
          <w:rFonts w:ascii="Arial" w:hAnsi="Arial" w:cs="Arial"/>
        </w:rPr>
        <w:t>se</w:t>
      </w:r>
      <w:r w:rsidR="00A65E85" w:rsidRPr="00001B96">
        <w:rPr>
          <w:rFonts w:ascii="Arial" w:hAnsi="Arial" w:cs="Arial"/>
        </w:rPr>
        <w:t xml:space="preserve"> effect</w:t>
      </w:r>
      <w:r w:rsidR="00C61FE0" w:rsidRPr="00001B96">
        <w:rPr>
          <w:rFonts w:ascii="Arial" w:hAnsi="Arial" w:cs="Arial"/>
        </w:rPr>
        <w:t>s</w:t>
      </w:r>
      <w:r w:rsidR="00001B96" w:rsidRPr="00001B96">
        <w:rPr>
          <w:rFonts w:ascii="Arial" w:hAnsi="Arial" w:cs="Arial"/>
        </w:rPr>
        <w:t xml:space="preserve"> of antiresorptives allowed me to then</w:t>
      </w:r>
      <w:r w:rsidR="00A65E85" w:rsidRPr="00001B96">
        <w:rPr>
          <w:rFonts w:ascii="Arial" w:hAnsi="Arial" w:cs="Arial"/>
        </w:rPr>
        <w:t xml:space="preserve"> </w:t>
      </w:r>
      <w:r w:rsidRPr="00001B96">
        <w:rPr>
          <w:rFonts w:ascii="Arial" w:hAnsi="Arial" w:cs="Arial"/>
        </w:rPr>
        <w:t>explore</w:t>
      </w:r>
      <w:r w:rsidR="00C61FE0" w:rsidRPr="00001B96">
        <w:rPr>
          <w:rFonts w:ascii="Arial" w:hAnsi="Arial" w:cs="Arial"/>
        </w:rPr>
        <w:t xml:space="preserve"> their mechanisms of action </w:t>
      </w:r>
      <w:r w:rsidRPr="00001B96">
        <w:rPr>
          <w:rFonts w:ascii="Arial" w:hAnsi="Arial" w:cs="Arial"/>
        </w:rPr>
        <w:t>further</w:t>
      </w:r>
      <w:r w:rsidR="00001B96" w:rsidRPr="00001B96">
        <w:rPr>
          <w:rFonts w:ascii="Arial" w:hAnsi="Arial" w:cs="Arial"/>
        </w:rPr>
        <w:t>. This will help</w:t>
      </w:r>
      <w:r w:rsidRPr="00001B96">
        <w:rPr>
          <w:rFonts w:ascii="Arial" w:hAnsi="Arial" w:cs="Arial"/>
        </w:rPr>
        <w:t xml:space="preserve"> understand </w:t>
      </w:r>
      <w:r w:rsidR="00001B96" w:rsidRPr="00001B96">
        <w:rPr>
          <w:rFonts w:ascii="Arial" w:hAnsi="Arial" w:cs="Arial"/>
        </w:rPr>
        <w:t>how novel therapeutic targets may effect levels of bone turnover or identify other therapeutic targets that may</w:t>
      </w:r>
      <w:r w:rsidR="00A23430">
        <w:rPr>
          <w:rFonts w:ascii="Arial" w:hAnsi="Arial" w:cs="Arial"/>
        </w:rPr>
        <w:t xml:space="preserve"> </w:t>
      </w:r>
      <w:r w:rsidR="00001B96" w:rsidRPr="00001B96">
        <w:rPr>
          <w:rFonts w:ascii="Arial" w:hAnsi="Arial" w:cs="Arial"/>
        </w:rPr>
        <w:t>be more effective.</w:t>
      </w:r>
    </w:p>
    <w:p w:rsidR="00685609" w:rsidRDefault="00F45046" w:rsidP="00844C20">
      <w:pPr>
        <w:spacing w:line="360" w:lineRule="auto"/>
        <w:jc w:val="both"/>
        <w:rPr>
          <w:rFonts w:ascii="Arial" w:hAnsi="Arial" w:cs="Arial"/>
        </w:rPr>
      </w:pPr>
      <w:r w:rsidRPr="00A93942">
        <w:rPr>
          <w:rFonts w:ascii="Arial" w:hAnsi="Arial" w:cs="Arial"/>
        </w:rPr>
        <w:t xml:space="preserve">                                                                                                                                                                                                                                                                                                                                                                                                                                                                                                                                                                                                                                                                                                                                                                                                                                                                                                                                                                                                                                                                                                     </w:t>
      </w:r>
      <w:r w:rsidR="00A93942">
        <w:rPr>
          <w:rFonts w:ascii="Arial" w:hAnsi="Arial" w:cs="Arial"/>
        </w:rPr>
        <w:t xml:space="preserve">               </w:t>
      </w:r>
      <w:bookmarkStart w:id="174" w:name="_Toc425418947"/>
    </w:p>
    <w:p w:rsidR="00685609" w:rsidRPr="00685609" w:rsidRDefault="00685609" w:rsidP="00685609">
      <w:pPr>
        <w:spacing w:line="360" w:lineRule="auto"/>
        <w:rPr>
          <w:rFonts w:ascii="Arial" w:hAnsi="Arial" w:cs="Arial"/>
        </w:rPr>
      </w:pPr>
    </w:p>
    <w:p w:rsidR="00541235" w:rsidRDefault="006F5036" w:rsidP="00844C20">
      <w:pPr>
        <w:pStyle w:val="Heading1"/>
        <w:jc w:val="both"/>
      </w:pPr>
      <w:r>
        <w:t>Chapter 6: The mechanisms of action of bisphosphonates on bone turnover</w:t>
      </w:r>
      <w:r w:rsidR="008013D7">
        <w:t xml:space="preserve"> and bone balance in postmenopausal women with osteoporosis</w:t>
      </w:r>
      <w:bookmarkEnd w:id="174"/>
    </w:p>
    <w:p w:rsidR="00C02DB7" w:rsidRPr="00C02DB7" w:rsidRDefault="00C02DB7" w:rsidP="00844C20">
      <w:pPr>
        <w:pStyle w:val="Heading2"/>
        <w:jc w:val="both"/>
      </w:pPr>
      <w:bookmarkStart w:id="175" w:name="_Toc425418948"/>
      <w:r>
        <w:t>Introduction</w:t>
      </w:r>
      <w:bookmarkEnd w:id="175"/>
    </w:p>
    <w:p w:rsidR="007977FD" w:rsidRDefault="007977FD" w:rsidP="00844C20">
      <w:pPr>
        <w:pStyle w:val="Heading3"/>
        <w:jc w:val="both"/>
      </w:pPr>
      <w:bookmarkStart w:id="176" w:name="_Toc425418949"/>
      <w:r>
        <w:t>Osteoclast precursor cells</w:t>
      </w:r>
      <w:bookmarkEnd w:id="176"/>
    </w:p>
    <w:p w:rsidR="00142D19" w:rsidRDefault="00D802BB" w:rsidP="003B725E">
      <w:pPr>
        <w:spacing w:line="360" w:lineRule="auto"/>
        <w:jc w:val="both"/>
        <w:rPr>
          <w:rFonts w:ascii="Arial" w:hAnsi="Arial" w:cs="Arial"/>
        </w:rPr>
      </w:pPr>
      <w:r>
        <w:rPr>
          <w:rFonts w:ascii="Arial" w:hAnsi="Arial" w:cs="Arial"/>
        </w:rPr>
        <w:t>In postmenopausal osteoporosis a</w:t>
      </w:r>
      <w:r w:rsidR="0009175B" w:rsidRPr="00C02DB7">
        <w:rPr>
          <w:rFonts w:ascii="Arial" w:hAnsi="Arial" w:cs="Arial"/>
        </w:rPr>
        <w:t xml:space="preserve">ccelerated bone loss is mainly due to an increase in the activation frequency i.e. the remodelling rate at BMU level </w:t>
      </w:r>
      <w:r w:rsidR="0009175B" w:rsidRPr="00C02DB7">
        <w:rPr>
          <w:rFonts w:ascii="Arial" w:hAnsi="Arial" w:cs="Arial"/>
        </w:rPr>
        <w:fldChar w:fldCharType="begin">
          <w:fldData xml:space="preserve">PEVuZE5vdGU+PENpdGU+PEF1dGhvcj5Db21wc3RvbjwvQXV0aG9yPjxZZWFyPjIwMDc8L1llYXI+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IFJlc2VhcmNoPC9hYmJyLTE+PC9hbHQtcGVyaW9kaWNhbD48cGFnZXM+MTAzMS02PC9wYWdlcz48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</w:fldData>
        </w:fldChar>
      </w:r>
      <w:r w:rsidR="005A347B">
        <w:rPr>
          <w:rFonts w:ascii="Arial" w:hAnsi="Arial" w:cs="Arial"/>
        </w:rPr>
        <w:instrText xml:space="preserve"> ADDIN EN.CITE </w:instrText>
      </w:r>
      <w:r w:rsidR="005A347B">
        <w:rPr>
          <w:rFonts w:ascii="Arial" w:hAnsi="Arial" w:cs="Arial"/>
        </w:rPr>
        <w:fldChar w:fldCharType="begin">
          <w:fldData xml:space="preserve">PEVuZE5vdGU+PENpdGU+PEF1dGhvcj5Db21wc3RvbjwvQXV0aG9yPjxZZWFyPjIwMDc8L1llYXI+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IFJlc2VhcmNoPC9hYmJyLTE+PC9hbHQtcGVyaW9kaWNhbD48cGFnZXM+MTAzMS02PC9wYWdlcz48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</w:fldData>
        </w:fldChar>
      </w:r>
      <w:r w:rsidR="005A347B">
        <w:rPr>
          <w:rFonts w:ascii="Arial" w:hAnsi="Arial" w:cs="Arial"/>
        </w:rPr>
        <w:instrText xml:space="preserve"> ADDIN EN.CITE.DATA </w:instrText>
      </w:r>
      <w:r w:rsidR="005A347B">
        <w:rPr>
          <w:rFonts w:ascii="Arial" w:hAnsi="Arial" w:cs="Arial"/>
        </w:rPr>
      </w:r>
      <w:r w:rsidR="005A347B">
        <w:rPr>
          <w:rFonts w:ascii="Arial" w:hAnsi="Arial" w:cs="Arial"/>
        </w:rPr>
        <w:fldChar w:fldCharType="end"/>
      </w:r>
      <w:r w:rsidR="0009175B" w:rsidRPr="00C02DB7">
        <w:rPr>
          <w:rFonts w:ascii="Arial" w:hAnsi="Arial" w:cs="Arial"/>
        </w:rPr>
      </w:r>
      <w:r w:rsidR="0009175B" w:rsidRPr="00C02DB7">
        <w:rPr>
          <w:rFonts w:ascii="Arial" w:hAnsi="Arial" w:cs="Arial"/>
        </w:rPr>
        <w:fldChar w:fldCharType="separate"/>
      </w:r>
      <w:r w:rsidR="005A347B">
        <w:rPr>
          <w:rFonts w:ascii="Arial" w:hAnsi="Arial" w:cs="Arial"/>
          <w:noProof/>
        </w:rPr>
        <w:t>(</w:t>
      </w:r>
      <w:hyperlink w:anchor="_ENREF_126" w:tooltip="Eriksen, 1986 #203" w:history="1">
        <w:r w:rsidR="003B725E">
          <w:rPr>
            <w:rFonts w:ascii="Arial" w:hAnsi="Arial" w:cs="Arial"/>
            <w:noProof/>
          </w:rPr>
          <w:t>126</w:t>
        </w:r>
      </w:hyperlink>
      <w:r w:rsidR="005A347B">
        <w:rPr>
          <w:rFonts w:ascii="Arial" w:hAnsi="Arial" w:cs="Arial"/>
          <w:noProof/>
        </w:rPr>
        <w:t xml:space="preserve">, </w:t>
      </w:r>
      <w:hyperlink w:anchor="_ENREF_157" w:tooltip="Compston, 2007 #106" w:history="1">
        <w:r w:rsidR="003B725E">
          <w:rPr>
            <w:rFonts w:ascii="Arial" w:hAnsi="Arial" w:cs="Arial"/>
            <w:noProof/>
          </w:rPr>
          <w:t>157</w:t>
        </w:r>
      </w:hyperlink>
      <w:r w:rsidR="005A347B">
        <w:rPr>
          <w:rFonts w:ascii="Arial" w:hAnsi="Arial" w:cs="Arial"/>
          <w:noProof/>
        </w:rPr>
        <w:t>)</w:t>
      </w:r>
      <w:r w:rsidR="0009175B" w:rsidRPr="00C02DB7">
        <w:rPr>
          <w:rFonts w:ascii="Arial" w:hAnsi="Arial" w:cs="Arial"/>
        </w:rPr>
        <w:fldChar w:fldCharType="end"/>
      </w:r>
      <w:r w:rsidR="0009175B" w:rsidRPr="00C02DB7">
        <w:rPr>
          <w:rFonts w:ascii="Arial" w:hAnsi="Arial" w:cs="Arial"/>
        </w:rPr>
        <w:t>.</w:t>
      </w:r>
      <w:r w:rsidR="002C0A9C">
        <w:rPr>
          <w:rFonts w:ascii="Arial" w:hAnsi="Arial" w:cs="Arial"/>
        </w:rPr>
        <w:t xml:space="preserve"> In the previous chapter I have shown that treatment with bisphosphonates reduce</w:t>
      </w:r>
      <w:r w:rsidR="00074AED">
        <w:rPr>
          <w:rFonts w:ascii="Arial" w:hAnsi="Arial" w:cs="Arial"/>
        </w:rPr>
        <w:t>s</w:t>
      </w:r>
      <w:r w:rsidR="002C0A9C">
        <w:rPr>
          <w:rFonts w:ascii="Arial" w:hAnsi="Arial" w:cs="Arial"/>
        </w:rPr>
        <w:t xml:space="preserve"> bone resorption by </w:t>
      </w:r>
      <w:r w:rsidR="002C0A9C">
        <w:rPr>
          <w:rFonts w:ascii="Arial" w:hAnsi="Arial" w:cs="Arial"/>
        </w:rPr>
        <w:lastRenderedPageBreak/>
        <w:t xml:space="preserve">large magnitudes. </w:t>
      </w:r>
      <w:r w:rsidR="003830E5">
        <w:rPr>
          <w:rFonts w:ascii="Arial" w:hAnsi="Arial" w:cs="Arial"/>
        </w:rPr>
        <w:t xml:space="preserve">Assessments of histomorphometry parameters on bone biopsies from postmenopausal women with osteoporosis </w:t>
      </w:r>
      <w:r w:rsidR="00060814">
        <w:rPr>
          <w:rFonts w:ascii="Arial" w:hAnsi="Arial" w:cs="Arial"/>
        </w:rPr>
        <w:t xml:space="preserve">receiving bisphosphonates </w:t>
      </w:r>
      <w:r w:rsidR="002C0A9C">
        <w:rPr>
          <w:rFonts w:ascii="Arial" w:hAnsi="Arial" w:cs="Arial"/>
        </w:rPr>
        <w:t xml:space="preserve">have shown that </w:t>
      </w:r>
      <w:r w:rsidR="00060814">
        <w:rPr>
          <w:rFonts w:ascii="Arial" w:hAnsi="Arial" w:cs="Arial"/>
        </w:rPr>
        <w:t xml:space="preserve">the </w:t>
      </w:r>
      <w:r w:rsidR="002C0A9C">
        <w:rPr>
          <w:rFonts w:ascii="Arial" w:hAnsi="Arial" w:cs="Arial"/>
        </w:rPr>
        <w:t>reduction</w:t>
      </w:r>
      <w:r w:rsidR="00060814">
        <w:rPr>
          <w:rFonts w:ascii="Arial" w:hAnsi="Arial" w:cs="Arial"/>
        </w:rPr>
        <w:t xml:space="preserve"> in turnover is associated with a reduction in the</w:t>
      </w:r>
      <w:r w:rsidR="002C0A9C">
        <w:rPr>
          <w:rFonts w:ascii="Arial" w:hAnsi="Arial" w:cs="Arial"/>
        </w:rPr>
        <w:t xml:space="preserve"> activation frequency</w:t>
      </w:r>
      <w:r w:rsidR="003830E5">
        <w:rPr>
          <w:rFonts w:ascii="Arial" w:hAnsi="Arial" w:cs="Arial"/>
        </w:rPr>
        <w:t xml:space="preserve"> </w:t>
      </w:r>
      <w:r w:rsidR="003830E5">
        <w:rPr>
          <w:rFonts w:ascii="Arial" w:hAnsi="Arial" w:cs="Arial"/>
        </w:rPr>
        <w:fldChar w:fldCharType="begin">
          <w:fldData xml:space="preserve">PEVuZE5vdGU+PENpdGU+PEF1dGhvcj5DaGFwdXJsYXQ8L0F1dGhvcj48WWVhcj4yMDA3PC9ZZWFy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ZXJhbCBSZXNlYXJjaDwvYWJici0xPjwvcGVyaW9kaWNhbD48YWx0LXBlcmlvZGljYWw+PGZ1bGwt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PEVuZE5vdGU+PENpdGU+PEF1dGhvcj5DaGFwdXJsYXQ8L0F1dGhvcj48WWVhcj4yMDA3PC9ZZWFy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3830E5">
        <w:rPr>
          <w:rFonts w:ascii="Arial" w:hAnsi="Arial" w:cs="Arial"/>
        </w:rPr>
      </w:r>
      <w:r w:rsidR="003830E5">
        <w:rPr>
          <w:rFonts w:ascii="Arial" w:hAnsi="Arial" w:cs="Arial"/>
        </w:rPr>
        <w:fldChar w:fldCharType="separate"/>
      </w:r>
      <w:r w:rsidR="000D155C">
        <w:rPr>
          <w:rFonts w:ascii="Arial" w:hAnsi="Arial" w:cs="Arial"/>
          <w:noProof/>
        </w:rPr>
        <w:t>(</w:t>
      </w:r>
      <w:hyperlink w:anchor="_ENREF_433" w:tooltip="Chapurlat, 2007 #234" w:history="1">
        <w:r w:rsidR="003B725E">
          <w:rPr>
            <w:rFonts w:ascii="Arial" w:hAnsi="Arial" w:cs="Arial"/>
            <w:noProof/>
          </w:rPr>
          <w:t>433</w:t>
        </w:r>
      </w:hyperlink>
      <w:r w:rsidR="000D155C">
        <w:rPr>
          <w:rFonts w:ascii="Arial" w:hAnsi="Arial" w:cs="Arial"/>
          <w:noProof/>
        </w:rPr>
        <w:t>)</w:t>
      </w:r>
      <w:r w:rsidR="003830E5">
        <w:rPr>
          <w:rFonts w:ascii="Arial" w:hAnsi="Arial" w:cs="Arial"/>
        </w:rPr>
        <w:fldChar w:fldCharType="end"/>
      </w:r>
      <w:r w:rsidR="002C0A9C">
        <w:rPr>
          <w:rFonts w:ascii="Arial" w:hAnsi="Arial" w:cs="Arial"/>
        </w:rPr>
        <w:t xml:space="preserve">. </w:t>
      </w:r>
      <w:r w:rsidR="000757F0">
        <w:rPr>
          <w:rFonts w:ascii="Arial" w:hAnsi="Arial" w:cs="Arial"/>
        </w:rPr>
        <w:t xml:space="preserve">Ibandronate, alendronate and risedronate do this by </w:t>
      </w:r>
      <w:r w:rsidR="0009175B" w:rsidRPr="00C02DB7">
        <w:rPr>
          <w:rFonts w:ascii="Arial" w:hAnsi="Arial" w:cs="Arial"/>
        </w:rPr>
        <w:t>bind</w:t>
      </w:r>
      <w:r w:rsidR="000757F0">
        <w:rPr>
          <w:rFonts w:ascii="Arial" w:hAnsi="Arial" w:cs="Arial"/>
        </w:rPr>
        <w:t>ing</w:t>
      </w:r>
      <w:r w:rsidR="0009175B" w:rsidRPr="00C02DB7">
        <w:rPr>
          <w:rFonts w:ascii="Arial" w:hAnsi="Arial" w:cs="Arial"/>
        </w:rPr>
        <w:t xml:space="preserve"> to the hydroxyapatite on the bone surface </w:t>
      </w:r>
      <w:r w:rsidR="0009175B" w:rsidRPr="00C02DB7">
        <w:rPr>
          <w:rFonts w:ascii="Arial" w:hAnsi="Arial" w:cs="Arial"/>
        </w:rPr>
        <w:fldChar w:fldCharType="begin">
          <w:fldData xml:space="preserve">PEVuZE5vdGU+PENpdGU+PEF1dGhvcj5OYW5jb2xsYXM8L0F1dGhvcj48WWVhcj4yMDA2PC9ZZWFy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IEJvbmUgYW5kIE1pbmVyYWwgUmVzZWFyY2g8L2FiYnItMT48L3BlcmlvZGljYWw+PGFsdC1wZXJp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YWx0LXBlcmlvZGljYWw+PHBhZ2VzPjgyLTg8L3BhZ2VzPjx2b2x1bWU+NDk8L3ZvbHVtZT48bnVt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PEVuZE5vdGU+PENpdGU+PEF1dGhvcj5OYW5jb2xsYXM8L0F1dGhvcj48WWVhcj4yMDA2PC9ZZWFy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09175B" w:rsidRPr="00C02DB7">
        <w:rPr>
          <w:rFonts w:ascii="Arial" w:hAnsi="Arial" w:cs="Arial"/>
        </w:rPr>
      </w:r>
      <w:r w:rsidR="0009175B" w:rsidRPr="00C02DB7">
        <w:rPr>
          <w:rFonts w:ascii="Arial" w:hAnsi="Arial" w:cs="Arial"/>
        </w:rPr>
        <w:fldChar w:fldCharType="separate"/>
      </w:r>
      <w:r w:rsidR="000D155C">
        <w:rPr>
          <w:rFonts w:ascii="Arial" w:hAnsi="Arial" w:cs="Arial"/>
          <w:noProof/>
        </w:rPr>
        <w:t>(</w:t>
      </w:r>
      <w:hyperlink w:anchor="_ENREF_242" w:tooltip="Nancollas, 2006 #486" w:history="1">
        <w:r w:rsidR="003B725E">
          <w:rPr>
            <w:rFonts w:ascii="Arial" w:hAnsi="Arial" w:cs="Arial"/>
            <w:noProof/>
          </w:rPr>
          <w:t>242</w:t>
        </w:r>
      </w:hyperlink>
      <w:r w:rsidR="000D155C">
        <w:rPr>
          <w:rFonts w:ascii="Arial" w:hAnsi="Arial" w:cs="Arial"/>
          <w:noProof/>
        </w:rPr>
        <w:t xml:space="preserve">, </w:t>
      </w:r>
      <w:hyperlink w:anchor="_ENREF_256" w:tooltip="Frith, 2001 #208" w:history="1">
        <w:r w:rsidR="003B725E">
          <w:rPr>
            <w:rFonts w:ascii="Arial" w:hAnsi="Arial" w:cs="Arial"/>
            <w:noProof/>
          </w:rPr>
          <w:t>256</w:t>
        </w:r>
      </w:hyperlink>
      <w:r w:rsidR="000D155C">
        <w:rPr>
          <w:rFonts w:ascii="Arial" w:hAnsi="Arial" w:cs="Arial"/>
          <w:noProof/>
        </w:rPr>
        <w:t xml:space="preserve">, </w:t>
      </w:r>
      <w:hyperlink w:anchor="_ENREF_260" w:tooltip="Luckman, 1998 #209" w:history="1">
        <w:r w:rsidR="003B725E">
          <w:rPr>
            <w:rFonts w:ascii="Arial" w:hAnsi="Arial" w:cs="Arial"/>
            <w:noProof/>
          </w:rPr>
          <w:t>260</w:t>
        </w:r>
      </w:hyperlink>
      <w:r w:rsidR="000D155C">
        <w:rPr>
          <w:rFonts w:ascii="Arial" w:hAnsi="Arial" w:cs="Arial"/>
          <w:noProof/>
        </w:rPr>
        <w:t xml:space="preserve">, </w:t>
      </w:r>
      <w:hyperlink w:anchor="_ENREF_264" w:tooltip="Rogers, 2003 #207" w:history="1">
        <w:r w:rsidR="003B725E">
          <w:rPr>
            <w:rFonts w:ascii="Arial" w:hAnsi="Arial" w:cs="Arial"/>
            <w:noProof/>
          </w:rPr>
          <w:t>264</w:t>
        </w:r>
      </w:hyperlink>
      <w:r w:rsidR="000D155C">
        <w:rPr>
          <w:rFonts w:ascii="Arial" w:hAnsi="Arial" w:cs="Arial"/>
          <w:noProof/>
        </w:rPr>
        <w:t xml:space="preserve">, </w:t>
      </w:r>
      <w:hyperlink w:anchor="_ENREF_277" w:tooltip="Eastell, 2011 #210" w:history="1">
        <w:r w:rsidR="003B725E">
          <w:rPr>
            <w:rFonts w:ascii="Arial" w:hAnsi="Arial" w:cs="Arial"/>
            <w:noProof/>
          </w:rPr>
          <w:t>277</w:t>
        </w:r>
      </w:hyperlink>
      <w:r w:rsidR="000D155C">
        <w:rPr>
          <w:rFonts w:ascii="Arial" w:hAnsi="Arial" w:cs="Arial"/>
          <w:noProof/>
        </w:rPr>
        <w:t xml:space="preserve">, </w:t>
      </w:r>
      <w:hyperlink w:anchor="_ENREF_434" w:tooltip="Leu, 2006 #205" w:history="1">
        <w:r w:rsidR="003B725E">
          <w:rPr>
            <w:rFonts w:ascii="Arial" w:hAnsi="Arial" w:cs="Arial"/>
            <w:noProof/>
          </w:rPr>
          <w:t>434</w:t>
        </w:r>
      </w:hyperlink>
      <w:r w:rsidR="000D155C">
        <w:rPr>
          <w:rFonts w:ascii="Arial" w:hAnsi="Arial" w:cs="Arial"/>
          <w:noProof/>
        </w:rPr>
        <w:t xml:space="preserve">, </w:t>
      </w:r>
      <w:hyperlink w:anchor="_ENREF_435" w:tooltip="Thompson, 2006 #206" w:history="1">
        <w:r w:rsidR="003B725E">
          <w:rPr>
            <w:rFonts w:ascii="Arial" w:hAnsi="Arial" w:cs="Arial"/>
            <w:noProof/>
          </w:rPr>
          <w:t>435</w:t>
        </w:r>
      </w:hyperlink>
      <w:r w:rsidR="000D155C">
        <w:rPr>
          <w:rFonts w:ascii="Arial" w:hAnsi="Arial" w:cs="Arial"/>
          <w:noProof/>
        </w:rPr>
        <w:t>)</w:t>
      </w:r>
      <w:r w:rsidR="0009175B" w:rsidRPr="00C02DB7">
        <w:rPr>
          <w:rFonts w:ascii="Arial" w:hAnsi="Arial" w:cs="Arial"/>
        </w:rPr>
        <w:fldChar w:fldCharType="end"/>
      </w:r>
      <w:r w:rsidR="0009175B" w:rsidRPr="00C02DB7">
        <w:rPr>
          <w:rFonts w:ascii="Arial" w:hAnsi="Arial" w:cs="Arial"/>
        </w:rPr>
        <w:t xml:space="preserve">. </w:t>
      </w:r>
      <w:r w:rsidR="002C0A9C">
        <w:rPr>
          <w:rFonts w:ascii="Arial" w:hAnsi="Arial" w:cs="Arial"/>
        </w:rPr>
        <w:t xml:space="preserve">However it is not clear how they reduce the activation frequency. </w:t>
      </w:r>
      <w:r w:rsidR="000757F0">
        <w:rPr>
          <w:rFonts w:ascii="Arial" w:hAnsi="Arial" w:cs="Arial"/>
        </w:rPr>
        <w:t xml:space="preserve">In vitro studies have suggested that a </w:t>
      </w:r>
      <w:r w:rsidR="002C0A9C">
        <w:rPr>
          <w:rFonts w:ascii="Arial" w:hAnsi="Arial" w:cs="Arial"/>
        </w:rPr>
        <w:t xml:space="preserve">possible mechanism is that they do this by </w:t>
      </w:r>
      <w:r w:rsidR="0009175B" w:rsidRPr="00C02DB7">
        <w:rPr>
          <w:rFonts w:ascii="Arial" w:hAnsi="Arial" w:cs="Arial"/>
        </w:rPr>
        <w:t>reducing the population of osteoclast precursor cells</w:t>
      </w:r>
      <w:r w:rsidR="0087191F">
        <w:rPr>
          <w:rFonts w:ascii="Arial" w:hAnsi="Arial" w:cs="Arial"/>
        </w:rPr>
        <w:t>, (Figure</w:t>
      </w:r>
      <w:r w:rsidR="00236636">
        <w:rPr>
          <w:rFonts w:ascii="Arial" w:hAnsi="Arial" w:cs="Arial"/>
        </w:rPr>
        <w:t xml:space="preserve"> 49</w:t>
      </w:r>
      <w:r w:rsidR="00836FA5">
        <w:rPr>
          <w:rFonts w:ascii="Arial" w:hAnsi="Arial" w:cs="Arial"/>
        </w:rPr>
        <w:t>)</w:t>
      </w:r>
      <w:r w:rsidR="0009175B" w:rsidRPr="00C02DB7">
        <w:rPr>
          <w:rFonts w:ascii="Arial" w:hAnsi="Arial" w:cs="Arial"/>
        </w:rPr>
        <w:t xml:space="preserve">. </w:t>
      </w:r>
      <w:r w:rsidR="006C17D0">
        <w:rPr>
          <w:rFonts w:ascii="Arial" w:hAnsi="Arial" w:cs="Arial"/>
        </w:rPr>
        <w:t>T</w:t>
      </w:r>
      <w:r w:rsidR="00714747">
        <w:rPr>
          <w:rFonts w:ascii="Arial" w:hAnsi="Arial" w:cs="Arial"/>
        </w:rPr>
        <w:t>he antiresorptive action of bisphosphonates occurs by inhibiting the formation of mature osteoclasts by acting on osteoclast precursor cells</w:t>
      </w:r>
      <w:r w:rsidR="00E04F2D">
        <w:rPr>
          <w:rFonts w:ascii="Arial" w:hAnsi="Arial" w:cs="Arial"/>
        </w:rPr>
        <w:t xml:space="preserve"> </w:t>
      </w:r>
      <w:r w:rsidR="00E04F2D">
        <w:rPr>
          <w:rFonts w:ascii="Arial" w:hAnsi="Arial" w:cs="Arial"/>
        </w:rPr>
        <w:fldChar w:fldCharType="begin">
          <w:fldData xml:space="preserve">PEVuZE5vdGU+PENpdGU+PEF1dGhvcj5Cb29uZWthbXA8L0F1dGhvcj48WWVhcj4xOTg2PC9ZZWFy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PEVuZE5vdGU+PENpdGU+PEF1dGhvcj5Cb29uZWthbXA8L0F1dGhvcj48WWVhcj4xOTg2PC9ZZWFy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04F2D">
        <w:rPr>
          <w:rFonts w:ascii="Arial" w:hAnsi="Arial" w:cs="Arial"/>
        </w:rPr>
      </w:r>
      <w:r w:rsidR="00E04F2D">
        <w:rPr>
          <w:rFonts w:ascii="Arial" w:hAnsi="Arial" w:cs="Arial"/>
        </w:rPr>
        <w:fldChar w:fldCharType="separate"/>
      </w:r>
      <w:r w:rsidR="000D155C">
        <w:rPr>
          <w:rFonts w:ascii="Arial" w:hAnsi="Arial" w:cs="Arial"/>
          <w:noProof/>
        </w:rPr>
        <w:t>(</w:t>
      </w:r>
      <w:hyperlink w:anchor="_ENREF_436" w:tooltip="Boonekamp, 1986 #490" w:history="1">
        <w:r w:rsidR="003B725E">
          <w:rPr>
            <w:rFonts w:ascii="Arial" w:hAnsi="Arial" w:cs="Arial"/>
            <w:noProof/>
          </w:rPr>
          <w:t>436</w:t>
        </w:r>
      </w:hyperlink>
      <w:r w:rsidR="000D155C">
        <w:rPr>
          <w:rFonts w:ascii="Arial" w:hAnsi="Arial" w:cs="Arial"/>
          <w:noProof/>
        </w:rPr>
        <w:t xml:space="preserve">, </w:t>
      </w:r>
      <w:hyperlink w:anchor="_ENREF_437" w:tooltip="Rodan, 2002 #491" w:history="1">
        <w:r w:rsidR="003B725E">
          <w:rPr>
            <w:rFonts w:ascii="Arial" w:hAnsi="Arial" w:cs="Arial"/>
            <w:noProof/>
          </w:rPr>
          <w:t>437</w:t>
        </w:r>
      </w:hyperlink>
      <w:r w:rsidR="000D155C">
        <w:rPr>
          <w:rFonts w:ascii="Arial" w:hAnsi="Arial" w:cs="Arial"/>
          <w:noProof/>
        </w:rPr>
        <w:t>)</w:t>
      </w:r>
      <w:r w:rsidR="00E04F2D">
        <w:rPr>
          <w:rFonts w:ascii="Arial" w:hAnsi="Arial" w:cs="Arial"/>
        </w:rPr>
        <w:fldChar w:fldCharType="end"/>
      </w:r>
      <w:r w:rsidR="00E04F2D">
        <w:rPr>
          <w:rFonts w:ascii="Arial" w:hAnsi="Arial" w:cs="Arial"/>
        </w:rPr>
        <w:t xml:space="preserve">. </w:t>
      </w:r>
      <w:r w:rsidR="00714747">
        <w:rPr>
          <w:rFonts w:ascii="Arial" w:hAnsi="Arial" w:cs="Arial"/>
        </w:rPr>
        <w:t xml:space="preserve">Others have suggested that bisphosphonates act solely and directly on the mature osteoclasts themselves </w:t>
      </w:r>
      <w:r w:rsidR="00E04F2D">
        <w:rPr>
          <w:rFonts w:ascii="Arial" w:hAnsi="Arial" w:cs="Arial"/>
        </w:rPr>
        <w:fldChar w:fldCharType="begin">
          <w:fldData xml:space="preserve">PEVuZE5vdGU+PENpdGU+PEF1dGhvcj52YW4gQmVlazwvQXV0aG9yPjxZZWFyPjE5OTc8L1llYXI+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PEVuZE5vdGU+PENpdGU+PEF1dGhvcj52YW4gQmVlazwvQXV0aG9yPjxZZWFyPjE5OTc8L1llYXI+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04F2D">
        <w:rPr>
          <w:rFonts w:ascii="Arial" w:hAnsi="Arial" w:cs="Arial"/>
        </w:rPr>
      </w:r>
      <w:r w:rsidR="00E04F2D">
        <w:rPr>
          <w:rFonts w:ascii="Arial" w:hAnsi="Arial" w:cs="Arial"/>
        </w:rPr>
        <w:fldChar w:fldCharType="separate"/>
      </w:r>
      <w:r w:rsidR="000D155C">
        <w:rPr>
          <w:rFonts w:ascii="Arial" w:hAnsi="Arial" w:cs="Arial"/>
          <w:noProof/>
        </w:rPr>
        <w:t>(</w:t>
      </w:r>
      <w:hyperlink w:anchor="_ENREF_438" w:tooltip="van Beek, 1997 #492" w:history="1">
        <w:r w:rsidR="003B725E">
          <w:rPr>
            <w:rFonts w:ascii="Arial" w:hAnsi="Arial" w:cs="Arial"/>
            <w:noProof/>
          </w:rPr>
          <w:t>438</w:t>
        </w:r>
      </w:hyperlink>
      <w:r w:rsidR="000D155C">
        <w:rPr>
          <w:rFonts w:ascii="Arial" w:hAnsi="Arial" w:cs="Arial"/>
          <w:noProof/>
        </w:rPr>
        <w:t>)</w:t>
      </w:r>
      <w:r w:rsidR="00E04F2D">
        <w:rPr>
          <w:rFonts w:ascii="Arial" w:hAnsi="Arial" w:cs="Arial"/>
        </w:rPr>
        <w:fldChar w:fldCharType="end"/>
      </w:r>
      <w:r w:rsidR="000757F0">
        <w:rPr>
          <w:rFonts w:ascii="Arial" w:hAnsi="Arial" w:cs="Arial"/>
        </w:rPr>
        <w:t xml:space="preserve"> and reduce their ability to bind to the hydroxyapatite </w:t>
      </w:r>
      <w:r w:rsidR="000757F0">
        <w:rPr>
          <w:rFonts w:ascii="Arial" w:hAnsi="Arial" w:cs="Arial"/>
        </w:rPr>
        <w:fldChar w:fldCharType="begin"/>
      </w:r>
      <w:r w:rsidR="000D155C">
        <w:rPr>
          <w:rFonts w:ascii="Arial" w:hAnsi="Arial" w:cs="Arial"/>
        </w:rPr>
        <w:instrText xml:space="preserve"> ADDIN EN.CITE &lt;EndNote&gt;&lt;Cite&gt;&lt;Author&gt;Colucci&lt;/Author&gt;&lt;Year&gt;1998&lt;/Year&gt;&lt;RecNum&gt;235&lt;/RecNum&gt;&lt;DisplayText&gt;(439)&lt;/DisplayText&gt;&lt;record&gt;&lt;rec-number&gt;235&lt;/rec-number&gt;&lt;foreign-keys&gt;&lt;key app="EN" db-id="p9a5ttsvyvde9me5aw2x05fp5p55axf0wr90" timestamp="1422625378"&gt;235&lt;/key&gt;&lt;/foreign-keys&gt;&lt;ref-type name="Journal Article"&gt;17&lt;/ref-type&gt;&lt;contributors&gt;&lt;authors&gt;&lt;author&gt;Colucci, S.&lt;/author&gt;&lt;author&gt;Minielli, V.&lt;/author&gt;&lt;author&gt;Zambonin, G.&lt;/author&gt;&lt;author&gt;Cirulli, N.&lt;/author&gt;&lt;author&gt;Mori, G.&lt;/author&gt;&lt;author&gt;Serra, M.&lt;/author&gt;&lt;author&gt;Patella, V.&lt;/author&gt;&lt;author&gt;Zambonin Zallone, A.&lt;/author&gt;&lt;author&gt;Grano, M.&lt;/author&gt;&lt;/authors&gt;&lt;/contributors&gt;&lt;auth-address&gt;Istituto di Anatomia Umana Normale P.zza G. Cesare, 70124 Bari, Italy.&lt;/auth-address&gt;&lt;titles&gt;&lt;title&gt;Alendronate reduces adhesion of human osteoclast-like cells to bone and bone protein-coated surfaces&lt;/title&gt;&lt;secondary-title&gt;Calcif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international&lt;/abbr-1&gt;&lt;/alt-periodical&gt;&lt;pages&gt;230-5&lt;/pages&gt;&lt;volume&gt;63&lt;/volume&gt;&lt;number&gt;3&lt;/number&gt;&lt;edition&gt;1998/08/14&lt;/edition&gt;&lt;keywords&gt;&lt;keyword&gt;Alendronate/*pharmacology&lt;/keyword&gt;&lt;keyword&gt;Bone and Bones/*metabolism&lt;/keyword&gt;&lt;keyword&gt;Calcium/metabolism&lt;/keyword&gt;&lt;keyword&gt;Cell Adhesion/*drug effects&lt;/keyword&gt;&lt;keyword&gt;Extracellular Matrix Proteins/metabolism&lt;/keyword&gt;&lt;keyword&gt;Fluorescent Antibody Technique, Indirect&lt;/keyword&gt;&lt;keyword&gt;Humans&lt;/keyword&gt;&lt;keyword&gt;Osteoclasts/drug effects/*metabolism&lt;/keyword&gt;&lt;keyword&gt;Tumor Cells, Cultured&lt;/keyword&gt;&lt;/keywords&gt;&lt;dates&gt;&lt;year&gt;1998&lt;/year&gt;&lt;pub-dates&gt;&lt;date&gt;Sep&lt;/date&gt;&lt;/pub-dates&gt;&lt;/dates&gt;&lt;isbn&gt;0171-967X (Print)&amp;#xD;0171-967x&lt;/isbn&gt;&lt;accession-num&gt;9701627&lt;/accession-num&gt;&lt;urls&gt;&lt;/urls&gt;&lt;remote-database-provider&gt;NLM&lt;/remote-database-provider&gt;&lt;language&gt;eng&lt;/language&gt;&lt;/record&gt;&lt;/Cite&gt;&lt;/EndNote&gt;</w:instrText>
      </w:r>
      <w:r w:rsidR="000757F0">
        <w:rPr>
          <w:rFonts w:ascii="Arial" w:hAnsi="Arial" w:cs="Arial"/>
        </w:rPr>
        <w:fldChar w:fldCharType="separate"/>
      </w:r>
      <w:r w:rsidR="000D155C">
        <w:rPr>
          <w:rFonts w:ascii="Arial" w:hAnsi="Arial" w:cs="Arial"/>
          <w:noProof/>
        </w:rPr>
        <w:t>(</w:t>
      </w:r>
      <w:hyperlink w:anchor="_ENREF_439" w:tooltip="Colucci, 1998 #235" w:history="1">
        <w:r w:rsidR="003B725E">
          <w:rPr>
            <w:rFonts w:ascii="Arial" w:hAnsi="Arial" w:cs="Arial"/>
            <w:noProof/>
          </w:rPr>
          <w:t>439</w:t>
        </w:r>
      </w:hyperlink>
      <w:r w:rsidR="000D155C">
        <w:rPr>
          <w:rFonts w:ascii="Arial" w:hAnsi="Arial" w:cs="Arial"/>
          <w:noProof/>
        </w:rPr>
        <w:t>)</w:t>
      </w:r>
      <w:r w:rsidR="000757F0">
        <w:rPr>
          <w:rFonts w:ascii="Arial" w:hAnsi="Arial" w:cs="Arial"/>
        </w:rPr>
        <w:fldChar w:fldCharType="end"/>
      </w:r>
      <w:r w:rsidR="006C17D0">
        <w:rPr>
          <w:rFonts w:ascii="Arial" w:hAnsi="Arial" w:cs="Arial"/>
        </w:rPr>
        <w:t xml:space="preserve">. </w:t>
      </w:r>
      <w:r w:rsidR="0009175B" w:rsidRPr="00C02DB7">
        <w:rPr>
          <w:rFonts w:ascii="Arial" w:hAnsi="Arial" w:cs="Arial"/>
        </w:rPr>
        <w:t xml:space="preserve">A previous study has shown that alendronate reduced the population of osteoclast precursor cells from peripheral blood. These were identified by their expression of CD14/CD11b and were decreased after 12 months of treatment in osteoporotic women </w:t>
      </w:r>
      <w:r w:rsidR="00447277" w:rsidRPr="00C02DB7">
        <w:rPr>
          <w:rFonts w:ascii="Arial" w:hAnsi="Arial" w:cs="Arial"/>
        </w:rPr>
        <w:fldChar w:fldCharType="begin">
          <w:fldData xml:space="preserve">PEVuZE5vdGU+PENpdGU+PEF1dGhvcj5EJmFwb3M7QW1lbGlvPC9BdXRob3I+PFllYXI+MjAxMDwv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IFVTQTwvYWJici0xPjwvYWx0LXBlcmlvZGljYWw+PHBhZ2VzPjE3NDEtNTA8L3BhZ2VzPjx2b2x1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PEVuZE5vdGU+PENpdGU+PEF1dGhvcj5EJmFwb3M7QW1lbGlvPC9BdXRob3I+PFllYXI+MjAxMDwv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IFVTQTwvYWJici0xPjwvYWx0LXBlcmlvZGljYWw+PHBhZ2VzPjE3NDEtNTA8L3BhZ2VzPjx2b2x1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447277" w:rsidRPr="00C02DB7">
        <w:rPr>
          <w:rFonts w:ascii="Arial" w:hAnsi="Arial" w:cs="Arial"/>
        </w:rPr>
      </w:r>
      <w:r w:rsidR="00447277" w:rsidRPr="00C02DB7">
        <w:rPr>
          <w:rFonts w:ascii="Arial" w:hAnsi="Arial" w:cs="Arial"/>
        </w:rPr>
        <w:fldChar w:fldCharType="separate"/>
      </w:r>
      <w:r w:rsidR="000D155C">
        <w:rPr>
          <w:rFonts w:ascii="Arial" w:hAnsi="Arial" w:cs="Arial"/>
          <w:noProof/>
        </w:rPr>
        <w:t>(</w:t>
      </w:r>
      <w:hyperlink w:anchor="_ENREF_440" w:tooltip="D'Amelio, 2010 #410" w:history="1">
        <w:r w:rsidR="003B725E">
          <w:rPr>
            <w:rFonts w:ascii="Arial" w:hAnsi="Arial" w:cs="Arial"/>
            <w:noProof/>
          </w:rPr>
          <w:t>440</w:t>
        </w:r>
      </w:hyperlink>
      <w:r w:rsidR="000D155C">
        <w:rPr>
          <w:rFonts w:ascii="Arial" w:hAnsi="Arial" w:cs="Arial"/>
          <w:noProof/>
        </w:rPr>
        <w:t>)</w:t>
      </w:r>
      <w:r w:rsidR="00447277" w:rsidRPr="00C02DB7">
        <w:rPr>
          <w:rFonts w:ascii="Arial" w:hAnsi="Arial" w:cs="Arial"/>
        </w:rPr>
        <w:fldChar w:fldCharType="end"/>
      </w:r>
      <w:r w:rsidR="0009175B" w:rsidRPr="00C02DB7">
        <w:rPr>
          <w:rFonts w:ascii="Arial" w:hAnsi="Arial" w:cs="Arial"/>
        </w:rPr>
        <w:t xml:space="preserve">. A further two studies investigating the effect of zoledronate on osteoclast precursor cells have shown differing findings </w:t>
      </w:r>
      <w:r w:rsidR="00447277" w:rsidRPr="00C02DB7">
        <w:rPr>
          <w:rFonts w:ascii="Arial" w:hAnsi="Arial" w:cs="Arial"/>
        </w:rPr>
        <w:fldChar w:fldCharType="begin">
          <w:fldData xml:space="preserve">PEVuZE5vdGU+PENpdGU+PEF1dGhvcj5EJmFwb3M7QW1lbGlvPC9BdXRob3I+PFllYXI+MjAwODwv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eSBmb3IgQm9uZSBhbmQgTWluZXJhbCBSZXNlYXJjaDwvYWJici0xPjwvcGVyaW9kaWNhbD48YWx0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PEVuZE5vdGU+PENpdGU+PEF1dGhvcj5EJmFwb3M7QW1lbGlvPC9BdXRob3I+PFllYXI+MjAwODwv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eSBmb3IgQm9uZSBhbmQgTWluZXJhbCBSZXNlYXJjaDwvYWJici0xPjwvcGVyaW9kaWNhbD48YWx0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447277" w:rsidRPr="00C02DB7">
        <w:rPr>
          <w:rFonts w:ascii="Arial" w:hAnsi="Arial" w:cs="Arial"/>
        </w:rPr>
      </w:r>
      <w:r w:rsidR="00447277" w:rsidRPr="00C02DB7">
        <w:rPr>
          <w:rFonts w:ascii="Arial" w:hAnsi="Arial" w:cs="Arial"/>
        </w:rPr>
        <w:fldChar w:fldCharType="separate"/>
      </w:r>
      <w:r w:rsidR="000D155C">
        <w:rPr>
          <w:rFonts w:ascii="Arial" w:hAnsi="Arial" w:cs="Arial"/>
          <w:noProof/>
        </w:rPr>
        <w:t>(</w:t>
      </w:r>
      <w:hyperlink w:anchor="_ENREF_441" w:tooltip="D'Amelio, 2008 #412" w:history="1">
        <w:r w:rsidR="003B725E">
          <w:rPr>
            <w:rFonts w:ascii="Arial" w:hAnsi="Arial" w:cs="Arial"/>
            <w:noProof/>
          </w:rPr>
          <w:t>441</w:t>
        </w:r>
      </w:hyperlink>
      <w:r w:rsidR="000D155C">
        <w:rPr>
          <w:rFonts w:ascii="Arial" w:hAnsi="Arial" w:cs="Arial"/>
          <w:noProof/>
        </w:rPr>
        <w:t xml:space="preserve">, </w:t>
      </w:r>
      <w:hyperlink w:anchor="_ENREF_442" w:tooltip="Dalbeth, 2013 #411" w:history="1">
        <w:r w:rsidR="003B725E">
          <w:rPr>
            <w:rFonts w:ascii="Arial" w:hAnsi="Arial" w:cs="Arial"/>
            <w:noProof/>
          </w:rPr>
          <w:t>442</w:t>
        </w:r>
      </w:hyperlink>
      <w:r w:rsidR="000D155C">
        <w:rPr>
          <w:rFonts w:ascii="Arial" w:hAnsi="Arial" w:cs="Arial"/>
          <w:noProof/>
        </w:rPr>
        <w:t>)</w:t>
      </w:r>
      <w:r w:rsidR="00447277" w:rsidRPr="00C02DB7">
        <w:rPr>
          <w:rFonts w:ascii="Arial" w:hAnsi="Arial" w:cs="Arial"/>
        </w:rPr>
        <w:fldChar w:fldCharType="end"/>
      </w:r>
      <w:r w:rsidR="0009175B" w:rsidRPr="00C02DB7">
        <w:rPr>
          <w:rFonts w:ascii="Arial" w:hAnsi="Arial" w:cs="Arial"/>
        </w:rPr>
        <w:t xml:space="preserve">. </w:t>
      </w:r>
      <w:r w:rsidR="009E673B">
        <w:rPr>
          <w:rFonts w:ascii="Arial" w:hAnsi="Arial" w:cs="Arial"/>
        </w:rPr>
        <w:t>There is limited in vivo and clinical trial data investigating the action of bisphosphonates on osteoclast precursor cells in postmenopausal osteoporosis.</w:t>
      </w:r>
      <w:r w:rsidR="009E673B" w:rsidRPr="006C17D0">
        <w:rPr>
          <w:rFonts w:ascii="Arial" w:hAnsi="Arial" w:cs="Arial"/>
        </w:rPr>
        <w:t xml:space="preserve"> </w:t>
      </w:r>
      <w:r w:rsidR="009E673B">
        <w:rPr>
          <w:rFonts w:ascii="Arial" w:hAnsi="Arial" w:cs="Arial"/>
        </w:rPr>
        <w:t>These effects may differ between bisphosphonates and their effects</w:t>
      </w:r>
      <w:r w:rsidR="009E673B" w:rsidRPr="00C02DB7">
        <w:rPr>
          <w:rFonts w:ascii="Arial" w:hAnsi="Arial" w:cs="Arial"/>
        </w:rPr>
        <w:t xml:space="preserve"> on other cell surface markers have not previously been investigated in postmenopausal women with osteoporosis and healthy premenopausal women.</w:t>
      </w:r>
      <w:r w:rsidR="009E673B">
        <w:rPr>
          <w:rFonts w:ascii="Arial" w:hAnsi="Arial" w:cs="Arial"/>
        </w:rPr>
        <w:t xml:space="preserve"> </w:t>
      </w:r>
    </w:p>
    <w:p w:rsidR="007977FD" w:rsidRDefault="007977FD" w:rsidP="00844C20">
      <w:pPr>
        <w:pStyle w:val="Heading3"/>
        <w:jc w:val="both"/>
      </w:pPr>
      <w:bookmarkStart w:id="177" w:name="_Toc425418950"/>
      <w:r>
        <w:t>Circulating cytokines</w:t>
      </w:r>
      <w:bookmarkEnd w:id="177"/>
    </w:p>
    <w:p w:rsidR="00836FA5" w:rsidRDefault="00EF61D5" w:rsidP="003B725E">
      <w:pPr>
        <w:spacing w:line="360" w:lineRule="auto"/>
        <w:jc w:val="both"/>
        <w:rPr>
          <w:rFonts w:ascii="Arial" w:hAnsi="Arial" w:cs="Arial"/>
        </w:rPr>
      </w:pPr>
      <w:r>
        <w:rPr>
          <w:rFonts w:ascii="Arial" w:hAnsi="Arial" w:cs="Arial"/>
        </w:rPr>
        <w:t xml:space="preserve">There are also conflicting </w:t>
      </w:r>
      <w:r w:rsidR="00820FF5">
        <w:rPr>
          <w:rFonts w:ascii="Arial" w:hAnsi="Arial" w:cs="Arial"/>
        </w:rPr>
        <w:t xml:space="preserve">in vitro </w:t>
      </w:r>
      <w:r>
        <w:rPr>
          <w:rFonts w:ascii="Arial" w:hAnsi="Arial" w:cs="Arial"/>
        </w:rPr>
        <w:t>data regarding the effect of bisphosphonates on osteoclastogenic cytokines such as IL-1, TNFα</w:t>
      </w:r>
      <w:r w:rsidR="009D65C7">
        <w:rPr>
          <w:rFonts w:ascii="Arial" w:hAnsi="Arial" w:cs="Arial"/>
        </w:rPr>
        <w:t xml:space="preserve"> and circulating levels</w:t>
      </w:r>
      <w:r w:rsidR="004D522A">
        <w:rPr>
          <w:rFonts w:ascii="Arial" w:hAnsi="Arial" w:cs="Arial"/>
        </w:rPr>
        <w:t xml:space="preserve"> </w:t>
      </w:r>
      <w:r w:rsidR="009D65C7">
        <w:rPr>
          <w:rFonts w:ascii="Arial" w:hAnsi="Arial" w:cs="Arial"/>
        </w:rPr>
        <w:t xml:space="preserve">of </w:t>
      </w:r>
      <w:r w:rsidR="00820FF5">
        <w:rPr>
          <w:rFonts w:ascii="Arial" w:hAnsi="Arial" w:cs="Arial"/>
        </w:rPr>
        <w:t xml:space="preserve">RANKL and OPG </w:t>
      </w:r>
      <w:r w:rsidR="0072775E">
        <w:rPr>
          <w:rFonts w:ascii="Arial" w:hAnsi="Arial" w:cs="Arial"/>
        </w:rPr>
        <w:fldChar w:fldCharType="begin">
          <w:fldData xml:space="preserve">PEVuZE5vdGU+PENpdGU+PEF1dGhvcj5TYXV0eTwvQXV0aG9yPjxZZWFyPjE5OTY8L1llYXI+PFJl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aDwvYWJici0xPjwvcGVyaW9kaWNhbD48cGFnZXM+OTU2LTYyPC9wYWdlcz48dm9sdW1lPjEwPC92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PEVuZE5vdGU+PENpdGU+PEF1dGhvcj5TYXV0eTwvQXV0aG9yPjxZZWFyPjE5OTY8L1llYXI+PFJl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aDwvYWJici0xPjwvcGVyaW9kaWNhbD48cGFnZXM+OTU2LTYyPC9wYWdlcz48dm9sdW1lPjEwPC92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2775E">
        <w:rPr>
          <w:rFonts w:ascii="Arial" w:hAnsi="Arial" w:cs="Arial"/>
        </w:rPr>
      </w:r>
      <w:r w:rsidR="0072775E">
        <w:rPr>
          <w:rFonts w:ascii="Arial" w:hAnsi="Arial" w:cs="Arial"/>
        </w:rPr>
        <w:fldChar w:fldCharType="separate"/>
      </w:r>
      <w:r w:rsidR="000D155C">
        <w:rPr>
          <w:rFonts w:ascii="Arial" w:hAnsi="Arial" w:cs="Arial"/>
          <w:noProof/>
        </w:rPr>
        <w:t>(</w:t>
      </w:r>
      <w:hyperlink w:anchor="_ENREF_443" w:tooltip="Sauty, 1996 #494" w:history="1">
        <w:r w:rsidR="003B725E">
          <w:rPr>
            <w:rFonts w:ascii="Arial" w:hAnsi="Arial" w:cs="Arial"/>
            <w:noProof/>
          </w:rPr>
          <w:t>443-446</w:t>
        </w:r>
      </w:hyperlink>
      <w:r w:rsidR="000D155C">
        <w:rPr>
          <w:rFonts w:ascii="Arial" w:hAnsi="Arial" w:cs="Arial"/>
          <w:noProof/>
        </w:rPr>
        <w:t>)</w:t>
      </w:r>
      <w:r w:rsidR="0072775E">
        <w:rPr>
          <w:rFonts w:ascii="Arial" w:hAnsi="Arial" w:cs="Arial"/>
        </w:rPr>
        <w:fldChar w:fldCharType="end"/>
      </w:r>
      <w:r w:rsidR="00820FF5">
        <w:rPr>
          <w:rFonts w:ascii="Arial" w:hAnsi="Arial" w:cs="Arial"/>
        </w:rPr>
        <w:t xml:space="preserve">). </w:t>
      </w:r>
      <w:r w:rsidR="008B6A17">
        <w:rPr>
          <w:rFonts w:ascii="Arial" w:hAnsi="Arial" w:cs="Arial"/>
        </w:rPr>
        <w:t>RANKL is produced by the osteoblasts and binds to the receptor RANK which is located on the osteoclast precursor cells as well as the mature osteoclast</w:t>
      </w:r>
      <w:r w:rsidR="0072775E">
        <w:rPr>
          <w:rFonts w:ascii="Arial" w:hAnsi="Arial" w:cs="Arial"/>
        </w:rPr>
        <w:t xml:space="preserve"> </w:t>
      </w:r>
      <w:r w:rsidR="0072775E">
        <w:rPr>
          <w:rFonts w:ascii="Arial" w:hAnsi="Arial" w:cs="Arial"/>
        </w:rPr>
        <w:fldChar w:fldCharType="begin">
          <w:fldData xml:space="preserve">PEVuZE5vdGU+PENpdGU+PEF1dGhvcj5FZ2hiYWxpLUZhdG91cmVjaGk8L0F1dGhvcj48WWVhcj4y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YWw+PHBhZ2VzPjEyMjEtMzA8L3BhZ2VzPjx2b2x1bWU+MTExPC92b2x1bWU+PG51bWJlcj44PC9u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PEVuZE5vdGU+PENpdGU+PEF1dGhvcj5FZ2hiYWxpLUZhdG91cmVjaGk8L0F1dGhvcj48WWVhcj4y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YWw+PHBhZ2VzPjEyMjEtMzA8L3BhZ2VzPjx2b2x1bWU+MTExPC92b2x1bWU+PG51bWJlcj44PC9u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72775E">
        <w:rPr>
          <w:rFonts w:ascii="Arial" w:hAnsi="Arial" w:cs="Arial"/>
        </w:rPr>
      </w:r>
      <w:r w:rsidR="0072775E">
        <w:rPr>
          <w:rFonts w:ascii="Arial" w:hAnsi="Arial" w:cs="Arial"/>
        </w:rPr>
        <w:fldChar w:fldCharType="separate"/>
      </w:r>
      <w:r w:rsidR="00EF6236">
        <w:rPr>
          <w:rFonts w:ascii="Arial" w:hAnsi="Arial" w:cs="Arial"/>
          <w:noProof/>
        </w:rPr>
        <w:t>(</w:t>
      </w:r>
      <w:hyperlink w:anchor="_ENREF_59" w:tooltip="Eghbali-Fatourechi, 2003 #47" w:history="1">
        <w:r w:rsidR="003B725E">
          <w:rPr>
            <w:rFonts w:ascii="Arial" w:hAnsi="Arial" w:cs="Arial"/>
            <w:noProof/>
          </w:rPr>
          <w:t>59</w:t>
        </w:r>
      </w:hyperlink>
      <w:r w:rsidR="00EF6236">
        <w:rPr>
          <w:rFonts w:ascii="Arial" w:hAnsi="Arial" w:cs="Arial"/>
          <w:noProof/>
        </w:rPr>
        <w:t>)</w:t>
      </w:r>
      <w:r w:rsidR="0072775E">
        <w:rPr>
          <w:rFonts w:ascii="Arial" w:hAnsi="Arial" w:cs="Arial"/>
        </w:rPr>
        <w:fldChar w:fldCharType="end"/>
      </w:r>
      <w:r w:rsidR="0072775E">
        <w:rPr>
          <w:rFonts w:ascii="Arial" w:hAnsi="Arial" w:cs="Arial"/>
        </w:rPr>
        <w:t>.</w:t>
      </w:r>
      <w:r w:rsidR="008B6A17">
        <w:rPr>
          <w:rFonts w:ascii="Arial" w:hAnsi="Arial" w:cs="Arial"/>
        </w:rPr>
        <w:t xml:space="preserve"> This process stimulates the activation of the osteoclast and it may be that high circulating levels of RANKL may lead to the increased bone resorption</w:t>
      </w:r>
      <w:r w:rsidR="0072775E">
        <w:rPr>
          <w:rFonts w:ascii="Arial" w:hAnsi="Arial" w:cs="Arial"/>
        </w:rPr>
        <w:t xml:space="preserve"> </w:t>
      </w:r>
      <w:r w:rsidR="00B30DF8">
        <w:rPr>
          <w:rFonts w:ascii="Arial" w:hAnsi="Arial" w:cs="Arial"/>
        </w:rPr>
        <w:fldChar w:fldCharType="begin">
          <w:fldData xml:space="preserve">PEVuZE5vdGU+PENpdGU+PEF1dGhvcj5MaTwvQXV0aG9yPjxZZWFyPjIwMDA8L1llYXI+PFJlY051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PEVuZE5vdGU+PENpdGU+PEF1dGhvcj5MaTwvQXV0aG9yPjxZZWFyPjIwMDA8L1llYXI+PFJlY051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30DF8">
        <w:rPr>
          <w:rFonts w:ascii="Arial" w:hAnsi="Arial" w:cs="Arial"/>
        </w:rPr>
      </w:r>
      <w:r w:rsidR="00B30DF8">
        <w:rPr>
          <w:rFonts w:ascii="Arial" w:hAnsi="Arial" w:cs="Arial"/>
        </w:rPr>
        <w:fldChar w:fldCharType="separate"/>
      </w:r>
      <w:r w:rsidR="000D155C">
        <w:rPr>
          <w:rFonts w:ascii="Arial" w:hAnsi="Arial" w:cs="Arial"/>
          <w:noProof/>
        </w:rPr>
        <w:t>(</w:t>
      </w:r>
      <w:hyperlink w:anchor="_ENREF_447" w:tooltip="Li, 2000 #500" w:history="1">
        <w:r w:rsidR="003B725E">
          <w:rPr>
            <w:rFonts w:ascii="Arial" w:hAnsi="Arial" w:cs="Arial"/>
            <w:noProof/>
          </w:rPr>
          <w:t>447</w:t>
        </w:r>
      </w:hyperlink>
      <w:r w:rsidR="000D155C">
        <w:rPr>
          <w:rFonts w:ascii="Arial" w:hAnsi="Arial" w:cs="Arial"/>
          <w:noProof/>
        </w:rPr>
        <w:t>)</w:t>
      </w:r>
      <w:r w:rsidR="00B30DF8">
        <w:rPr>
          <w:rFonts w:ascii="Arial" w:hAnsi="Arial" w:cs="Arial"/>
        </w:rPr>
        <w:fldChar w:fldCharType="end"/>
      </w:r>
      <w:r w:rsidR="00AE2AC3">
        <w:rPr>
          <w:rFonts w:ascii="Arial" w:hAnsi="Arial" w:cs="Arial"/>
        </w:rPr>
        <w:t xml:space="preserve"> </w:t>
      </w:r>
      <w:r w:rsidR="008B6A17">
        <w:rPr>
          <w:rFonts w:ascii="Arial" w:hAnsi="Arial" w:cs="Arial"/>
        </w:rPr>
        <w:t>we see in postmenopausal osteoporosis</w:t>
      </w:r>
      <w:r w:rsidR="00AE2AC3">
        <w:rPr>
          <w:rFonts w:ascii="Arial" w:hAnsi="Arial" w:cs="Arial"/>
        </w:rPr>
        <w:t xml:space="preserve">. Therefore a possible mechanism of action for bisphosphonates may be to </w:t>
      </w:r>
      <w:r w:rsidR="00B8726D">
        <w:rPr>
          <w:rFonts w:ascii="Arial" w:hAnsi="Arial" w:cs="Arial"/>
        </w:rPr>
        <w:t xml:space="preserve">directly </w:t>
      </w:r>
      <w:r w:rsidR="00AE2AC3">
        <w:rPr>
          <w:rFonts w:ascii="Arial" w:hAnsi="Arial" w:cs="Arial"/>
        </w:rPr>
        <w:t xml:space="preserve">reduce circulating levels of RANKL and/or increase levels of OPG, its </w:t>
      </w:r>
      <w:r w:rsidR="00FA249C">
        <w:rPr>
          <w:rFonts w:ascii="Arial" w:hAnsi="Arial" w:cs="Arial"/>
        </w:rPr>
        <w:t xml:space="preserve">soluble </w:t>
      </w:r>
      <w:r w:rsidR="00AE2AC3">
        <w:rPr>
          <w:rFonts w:ascii="Arial" w:hAnsi="Arial" w:cs="Arial"/>
        </w:rPr>
        <w:t>decoy receptor. Thus, reducing the population of osteoclast precursor cells, the activity of mature osteoclasts and hence bone resorption.</w:t>
      </w:r>
      <w:r w:rsidR="008B6A17">
        <w:rPr>
          <w:rFonts w:ascii="Arial" w:hAnsi="Arial" w:cs="Arial"/>
        </w:rPr>
        <w:t xml:space="preserve"> </w:t>
      </w:r>
      <w:r w:rsidR="000D218C">
        <w:rPr>
          <w:rFonts w:ascii="Arial" w:hAnsi="Arial" w:cs="Arial"/>
        </w:rPr>
        <w:t>There are a few clinical studies demonstrating the effects of nitrogen-containing bisphosphonates on RANKL and OPG</w:t>
      </w:r>
      <w:r w:rsidR="00EC5E28">
        <w:rPr>
          <w:rFonts w:ascii="Arial" w:hAnsi="Arial" w:cs="Arial"/>
        </w:rPr>
        <w:t xml:space="preserve"> and their findings are inconsistent</w:t>
      </w:r>
      <w:r w:rsidR="000D218C">
        <w:rPr>
          <w:rFonts w:ascii="Arial" w:hAnsi="Arial" w:cs="Arial"/>
        </w:rPr>
        <w:t xml:space="preserve">. Dundar U et al 2009 demonstrated that in postmenopausal women with osteoporosis receiving 35mg/week of risedronate orally there was a significant decrease in levels of RANKL and an increase in levels of OPG after 3 and 6 months of treatment </w:t>
      </w:r>
      <w:r w:rsidR="00B30DF8">
        <w:rPr>
          <w:rFonts w:ascii="Arial" w:hAnsi="Arial" w:cs="Arial"/>
        </w:rPr>
        <w:fldChar w:fldCharType="begin">
          <w:fldData xml:space="preserve">PEVuZE5vdGU+PENpdGU+PEF1dGhvcj5EdW5kYXI8L0F1dGhvcj48WWVhcj4yMDA5PC9ZZWFyPjxS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==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PEVuZE5vdGU+PENpdGU+PEF1dGhvcj5EdW5kYXI8L0F1dGhvcj48WWVhcj4yMDA5PC9ZZWFyPjxS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==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30DF8">
        <w:rPr>
          <w:rFonts w:ascii="Arial" w:hAnsi="Arial" w:cs="Arial"/>
        </w:rPr>
      </w:r>
      <w:r w:rsidR="00B30DF8">
        <w:rPr>
          <w:rFonts w:ascii="Arial" w:hAnsi="Arial" w:cs="Arial"/>
        </w:rPr>
        <w:fldChar w:fldCharType="separate"/>
      </w:r>
      <w:r w:rsidR="000D155C">
        <w:rPr>
          <w:rFonts w:ascii="Arial" w:hAnsi="Arial" w:cs="Arial"/>
          <w:noProof/>
        </w:rPr>
        <w:t>(</w:t>
      </w:r>
      <w:hyperlink w:anchor="_ENREF_448" w:tooltip="Dundar, 2009 #239" w:history="1">
        <w:r w:rsidR="003B725E">
          <w:rPr>
            <w:rFonts w:ascii="Arial" w:hAnsi="Arial" w:cs="Arial"/>
            <w:noProof/>
          </w:rPr>
          <w:t>448</w:t>
        </w:r>
      </w:hyperlink>
      <w:r w:rsidR="000D155C">
        <w:rPr>
          <w:rFonts w:ascii="Arial" w:hAnsi="Arial" w:cs="Arial"/>
          <w:noProof/>
        </w:rPr>
        <w:t>)</w:t>
      </w:r>
      <w:r w:rsidR="00B30DF8">
        <w:rPr>
          <w:rFonts w:ascii="Arial" w:hAnsi="Arial" w:cs="Arial"/>
        </w:rPr>
        <w:fldChar w:fldCharType="end"/>
      </w:r>
      <w:r w:rsidR="000D218C">
        <w:rPr>
          <w:rFonts w:ascii="Arial" w:hAnsi="Arial" w:cs="Arial"/>
        </w:rPr>
        <w:t xml:space="preserve">.  In contrast and in a similar study design, Dobnig H et al 2006 demonstrated that women receiving either 10mg of alendronate or 5mg of risedronate daily, </w:t>
      </w:r>
      <w:r w:rsidR="00572A36">
        <w:rPr>
          <w:rFonts w:ascii="Arial" w:hAnsi="Arial" w:cs="Arial"/>
        </w:rPr>
        <w:t>decreased levels of</w:t>
      </w:r>
      <w:r w:rsidR="000D218C">
        <w:rPr>
          <w:rFonts w:ascii="Arial" w:hAnsi="Arial" w:cs="Arial"/>
        </w:rPr>
        <w:t xml:space="preserve"> RANKL </w:t>
      </w:r>
      <w:r w:rsidR="00EC5E28">
        <w:rPr>
          <w:rFonts w:ascii="Arial" w:hAnsi="Arial" w:cs="Arial"/>
        </w:rPr>
        <w:t xml:space="preserve">but OPG increased </w:t>
      </w:r>
      <w:r w:rsidR="00EC5E28">
        <w:rPr>
          <w:rFonts w:ascii="Arial" w:hAnsi="Arial" w:cs="Arial"/>
        </w:rPr>
        <w:lastRenderedPageBreak/>
        <w:t>aft</w:t>
      </w:r>
      <w:r w:rsidR="00B30DF8">
        <w:rPr>
          <w:rFonts w:ascii="Arial" w:hAnsi="Arial" w:cs="Arial"/>
        </w:rPr>
        <w:t xml:space="preserve">er 6 and 12 months of treatment, </w:t>
      </w:r>
      <w:r w:rsidR="00B30DF8">
        <w:rPr>
          <w:rFonts w:ascii="Arial" w:hAnsi="Arial" w:cs="Arial"/>
        </w:rPr>
        <w:fldChar w:fldCharType="begin">
          <w:fldData xml:space="preserve">PEVuZE5vdGU+PENpdGU+PEF1dGhvcj5Eb2JuaWc8L0F1dGhvcj48WWVhcj4yMDA2PC9ZZWFyPjxS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PjwvcGVyaW9kaWNhbD48cGFnZXM+NjkzLTcwMzwvcGFnZXM+PHZvbHVtZT4xNzwvdm9sdW1lPjxu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PEVuZE5vdGU+PENpdGU+PEF1dGhvcj5Eb2JuaWc8L0F1dGhvcj48WWVhcj4yMDA2PC9ZZWFyPjxS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30DF8">
        <w:rPr>
          <w:rFonts w:ascii="Arial" w:hAnsi="Arial" w:cs="Arial"/>
        </w:rPr>
      </w:r>
      <w:r w:rsidR="00B30DF8">
        <w:rPr>
          <w:rFonts w:ascii="Arial" w:hAnsi="Arial" w:cs="Arial"/>
        </w:rPr>
        <w:fldChar w:fldCharType="separate"/>
      </w:r>
      <w:r w:rsidR="000D155C">
        <w:rPr>
          <w:rFonts w:ascii="Arial" w:hAnsi="Arial" w:cs="Arial"/>
          <w:noProof/>
        </w:rPr>
        <w:t>(</w:t>
      </w:r>
      <w:hyperlink w:anchor="_ENREF_449" w:tooltip="Dobnig, 2006 #501" w:history="1">
        <w:r w:rsidR="003B725E">
          <w:rPr>
            <w:rFonts w:ascii="Arial" w:hAnsi="Arial" w:cs="Arial"/>
            <w:noProof/>
          </w:rPr>
          <w:t>449</w:t>
        </w:r>
      </w:hyperlink>
      <w:r w:rsidR="000D155C">
        <w:rPr>
          <w:rFonts w:ascii="Arial" w:hAnsi="Arial" w:cs="Arial"/>
          <w:noProof/>
        </w:rPr>
        <w:t>)</w:t>
      </w:r>
      <w:r w:rsidR="00B30DF8">
        <w:rPr>
          <w:rFonts w:ascii="Arial" w:hAnsi="Arial" w:cs="Arial"/>
        </w:rPr>
        <w:fldChar w:fldCharType="end"/>
      </w:r>
      <w:r w:rsidR="00EC5E28">
        <w:rPr>
          <w:rFonts w:ascii="Arial" w:hAnsi="Arial" w:cs="Arial"/>
        </w:rPr>
        <w:t>.</w:t>
      </w:r>
      <w:r w:rsidR="006C17D0">
        <w:rPr>
          <w:rFonts w:ascii="Arial" w:hAnsi="Arial" w:cs="Arial"/>
        </w:rPr>
        <w:t xml:space="preserve"> </w:t>
      </w:r>
      <w:r w:rsidR="00EC5E28">
        <w:rPr>
          <w:rFonts w:ascii="Arial" w:hAnsi="Arial" w:cs="Arial"/>
        </w:rPr>
        <w:t>The last was a clinical trial in which postmenopausal women with osteoporosis were receiving 35mg or risedronate. They demonstrated that there was no effect on OPG but a gradual decrease in RANKL, the latter also occurring in the osteopenic control</w:t>
      </w:r>
      <w:r w:rsidR="00E9679D">
        <w:rPr>
          <w:rFonts w:ascii="Arial" w:hAnsi="Arial" w:cs="Arial"/>
        </w:rPr>
        <w:t>s with</w:t>
      </w:r>
      <w:r w:rsidR="00EC5E28">
        <w:rPr>
          <w:rFonts w:ascii="Arial" w:hAnsi="Arial" w:cs="Arial"/>
        </w:rPr>
        <w:t xml:space="preserve"> no treatment,</w:t>
      </w:r>
      <w:r w:rsidR="00B30DF8">
        <w:rPr>
          <w:rFonts w:ascii="Arial" w:hAnsi="Arial" w:cs="Arial"/>
        </w:rPr>
        <w:t xml:space="preserve"> </w:t>
      </w:r>
      <w:r w:rsidR="00B30DF8">
        <w:rPr>
          <w:rFonts w:ascii="Arial" w:hAnsi="Arial" w:cs="Arial"/>
        </w:rPr>
        <w:fldChar w:fldCharType="begin">
          <w:fldData xml:space="preserve">PEVuZE5vdGU+PENpdGU+PEF1dGhvcj5BbmFzdGFzaWxha2lzPC9BdXRob3I+PFllYXI+MjAwODwv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PEVuZE5vdGU+PENpdGU+PEF1dGhvcj5BbmFzdGFzaWxha2lzPC9BdXRob3I+PFllYXI+MjAwODwv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B30DF8">
        <w:rPr>
          <w:rFonts w:ascii="Arial" w:hAnsi="Arial" w:cs="Arial"/>
        </w:rPr>
      </w:r>
      <w:r w:rsidR="00B30DF8">
        <w:rPr>
          <w:rFonts w:ascii="Arial" w:hAnsi="Arial" w:cs="Arial"/>
        </w:rPr>
        <w:fldChar w:fldCharType="separate"/>
      </w:r>
      <w:r w:rsidR="000D155C">
        <w:rPr>
          <w:rFonts w:ascii="Arial" w:hAnsi="Arial" w:cs="Arial"/>
          <w:noProof/>
        </w:rPr>
        <w:t>(</w:t>
      </w:r>
      <w:hyperlink w:anchor="_ENREF_450" w:tooltip="Anastasilakis, 2008 #236" w:history="1">
        <w:r w:rsidR="003B725E">
          <w:rPr>
            <w:rFonts w:ascii="Arial" w:hAnsi="Arial" w:cs="Arial"/>
            <w:noProof/>
          </w:rPr>
          <w:t>450</w:t>
        </w:r>
      </w:hyperlink>
      <w:r w:rsidR="000D155C">
        <w:rPr>
          <w:rFonts w:ascii="Arial" w:hAnsi="Arial" w:cs="Arial"/>
          <w:noProof/>
        </w:rPr>
        <w:t>)</w:t>
      </w:r>
      <w:r w:rsidR="00B30DF8">
        <w:rPr>
          <w:rFonts w:ascii="Arial" w:hAnsi="Arial" w:cs="Arial"/>
        </w:rPr>
        <w:fldChar w:fldCharType="end"/>
      </w:r>
      <w:r w:rsidR="00EC5E28">
        <w:rPr>
          <w:rFonts w:ascii="Arial" w:hAnsi="Arial" w:cs="Arial"/>
        </w:rPr>
        <w:t>. In addition the effect of ibandronate on RANKL and OPG has not previously been investigated.</w:t>
      </w:r>
    </w:p>
    <w:p w:rsidR="0087191F" w:rsidRDefault="007977FD" w:rsidP="009D3BB6">
      <w:pPr>
        <w:spacing w:line="360" w:lineRule="auto"/>
        <w:jc w:val="center"/>
        <w:rPr>
          <w:rFonts w:ascii="Arial" w:hAnsi="Arial" w:cs="Arial"/>
        </w:rPr>
      </w:pPr>
      <w:r>
        <w:rPr>
          <w:noProof/>
          <w:lang w:eastAsia="zh-CN"/>
        </w:rPr>
        <mc:AlternateContent>
          <mc:Choice Requires="wps">
            <w:drawing>
              <wp:anchor distT="0" distB="0" distL="114300" distR="114300" simplePos="0" relativeHeight="251338240" behindDoc="0" locked="0" layoutInCell="1" allowOverlap="1" wp14:anchorId="0D218D36" wp14:editId="5B3315ED">
                <wp:simplePos x="0" y="0"/>
                <wp:positionH relativeFrom="column">
                  <wp:posOffset>103948</wp:posOffset>
                </wp:positionH>
                <wp:positionV relativeFrom="paragraph">
                  <wp:posOffset>3401887</wp:posOffset>
                </wp:positionV>
                <wp:extent cx="5279366" cy="635"/>
                <wp:effectExtent l="0" t="0" r="0" b="0"/>
                <wp:wrapNone/>
                <wp:docPr id="18614" name="Text Box 18614"/>
                <wp:cNvGraphicFramePr/>
                <a:graphic xmlns:a="http://schemas.openxmlformats.org/drawingml/2006/main">
                  <a:graphicData uri="http://schemas.microsoft.com/office/word/2010/wordprocessingShape">
                    <wps:wsp>
                      <wps:cNvSpPr txBox="1"/>
                      <wps:spPr>
                        <a:xfrm>
                          <a:off x="0" y="0"/>
                          <a:ext cx="5279366" cy="635"/>
                        </a:xfrm>
                        <a:prstGeom prst="rect">
                          <a:avLst/>
                        </a:prstGeom>
                        <a:solidFill>
                          <a:prstClr val="white"/>
                        </a:solidFill>
                        <a:ln>
                          <a:noFill/>
                        </a:ln>
                        <a:effectLst/>
                      </wps:spPr>
                      <wps:txbx>
                        <w:txbxContent>
                          <w:p w:rsidR="004166BC" w:rsidRPr="0049782E" w:rsidRDefault="004166BC" w:rsidP="00844C20">
                            <w:pPr>
                              <w:pStyle w:val="Caption"/>
                              <w:jc w:val="both"/>
                              <w:rPr>
                                <w:rFonts w:ascii="Arial" w:hAnsi="Arial" w:cs="Arial"/>
                                <w:b w:val="0"/>
                                <w:noProof/>
                                <w:color w:val="auto"/>
                              </w:rPr>
                            </w:pPr>
                            <w:bookmarkStart w:id="178" w:name="_Toc422736090"/>
                            <w:bookmarkStart w:id="179" w:name="_Toc422736198"/>
                            <w:bookmarkStart w:id="180" w:name="_Toc425419532"/>
                            <w:r w:rsidRPr="0049782E">
                              <w:rPr>
                                <w:rFonts w:ascii="Arial" w:hAnsi="Arial" w:cs="Arial"/>
                                <w:b w:val="0"/>
                                <w:color w:val="auto"/>
                              </w:rPr>
                              <w:t xml:space="preserve">Figure </w:t>
                            </w:r>
                            <w:r w:rsidRPr="0049782E">
                              <w:rPr>
                                <w:rFonts w:ascii="Arial" w:hAnsi="Arial" w:cs="Arial"/>
                                <w:b w:val="0"/>
                                <w:color w:val="auto"/>
                              </w:rPr>
                              <w:fldChar w:fldCharType="begin"/>
                            </w:r>
                            <w:r w:rsidRPr="0049782E">
                              <w:rPr>
                                <w:rFonts w:ascii="Arial" w:hAnsi="Arial" w:cs="Arial"/>
                                <w:b w:val="0"/>
                                <w:color w:val="auto"/>
                              </w:rPr>
                              <w:instrText xml:space="preserve"> SEQ Figure \* ARABIC </w:instrText>
                            </w:r>
                            <w:r w:rsidRPr="0049782E">
                              <w:rPr>
                                <w:rFonts w:ascii="Arial" w:hAnsi="Arial" w:cs="Arial"/>
                                <w:b w:val="0"/>
                                <w:color w:val="auto"/>
                              </w:rPr>
                              <w:fldChar w:fldCharType="separate"/>
                            </w:r>
                            <w:r>
                              <w:rPr>
                                <w:rFonts w:ascii="Arial" w:hAnsi="Arial" w:cs="Arial"/>
                                <w:b w:val="0"/>
                                <w:noProof/>
                                <w:color w:val="auto"/>
                              </w:rPr>
                              <w:t>43</w:t>
                            </w:r>
                            <w:r w:rsidRPr="0049782E">
                              <w:rPr>
                                <w:rFonts w:ascii="Arial" w:hAnsi="Arial" w:cs="Arial"/>
                                <w:b w:val="0"/>
                                <w:color w:val="auto"/>
                              </w:rPr>
                              <w:fldChar w:fldCharType="end"/>
                            </w:r>
                            <w:r w:rsidRPr="0049782E">
                              <w:rPr>
                                <w:rFonts w:ascii="Arial" w:hAnsi="Arial" w:cs="Arial"/>
                                <w:b w:val="0"/>
                                <w:color w:val="auto"/>
                              </w:rPr>
                              <w:t>: A possible mechanism of action of bisphosphonates is to reduce the population of osteoclast precursor cells and activation frequency.</w:t>
                            </w:r>
                            <w:bookmarkEnd w:id="178"/>
                            <w:bookmarkEnd w:id="179"/>
                            <w:bookmarkEnd w:id="180"/>
                            <w:r w:rsidRPr="0049782E">
                              <w:rPr>
                                <w:rFonts w:ascii="Arial" w:hAnsi="Arial" w:cs="Arial"/>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218D36" id="Text Box 18614" o:spid="_x0000_s1152" type="#_x0000_t202" style="position:absolute;left:0;text-align:left;margin-left:8.2pt;margin-top:267.85pt;width:415.7pt;height:.05pt;z-index:25133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" stroked="f">
                <v:textbox style="mso-fit-shape-to-text:t" inset="0,0,0,0">
                  <w:txbxContent>
                    <w:p w:rsidR="004166BC" w:rsidRPr="0049782E" w:rsidRDefault="004166BC" w:rsidP="00844C20">
                      <w:pPr>
                        <w:pStyle w:val="Caption"/>
                        <w:jc w:val="both"/>
                        <w:rPr>
                          <w:rFonts w:ascii="Arial" w:hAnsi="Arial" w:cs="Arial"/>
                          <w:b w:val="0"/>
                          <w:noProof/>
                          <w:color w:val="auto"/>
                        </w:rPr>
                      </w:pPr>
                      <w:bookmarkStart w:id="232" w:name="_Toc422736090"/>
                      <w:bookmarkStart w:id="233" w:name="_Toc422736198"/>
                      <w:bookmarkStart w:id="234" w:name="_Toc425419532"/>
                      <w:r w:rsidRPr="0049782E">
                        <w:rPr>
                          <w:rFonts w:ascii="Arial" w:hAnsi="Arial" w:cs="Arial"/>
                          <w:b w:val="0"/>
                          <w:color w:val="auto"/>
                        </w:rPr>
                        <w:t xml:space="preserve">Figure </w:t>
                      </w:r>
                      <w:r w:rsidRPr="0049782E">
                        <w:rPr>
                          <w:rFonts w:ascii="Arial" w:hAnsi="Arial" w:cs="Arial"/>
                          <w:b w:val="0"/>
                          <w:color w:val="auto"/>
                        </w:rPr>
                        <w:fldChar w:fldCharType="begin"/>
                      </w:r>
                      <w:r w:rsidRPr="0049782E">
                        <w:rPr>
                          <w:rFonts w:ascii="Arial" w:hAnsi="Arial" w:cs="Arial"/>
                          <w:b w:val="0"/>
                          <w:color w:val="auto"/>
                        </w:rPr>
                        <w:instrText xml:space="preserve"> SEQ Figure \* ARABIC </w:instrText>
                      </w:r>
                      <w:r w:rsidRPr="0049782E">
                        <w:rPr>
                          <w:rFonts w:ascii="Arial" w:hAnsi="Arial" w:cs="Arial"/>
                          <w:b w:val="0"/>
                          <w:color w:val="auto"/>
                        </w:rPr>
                        <w:fldChar w:fldCharType="separate"/>
                      </w:r>
                      <w:r>
                        <w:rPr>
                          <w:rFonts w:ascii="Arial" w:hAnsi="Arial" w:cs="Arial"/>
                          <w:b w:val="0"/>
                          <w:noProof/>
                          <w:color w:val="auto"/>
                        </w:rPr>
                        <w:t>43</w:t>
                      </w:r>
                      <w:r w:rsidRPr="0049782E">
                        <w:rPr>
                          <w:rFonts w:ascii="Arial" w:hAnsi="Arial" w:cs="Arial"/>
                          <w:b w:val="0"/>
                          <w:color w:val="auto"/>
                        </w:rPr>
                        <w:fldChar w:fldCharType="end"/>
                      </w:r>
                      <w:r w:rsidRPr="0049782E">
                        <w:rPr>
                          <w:rFonts w:ascii="Arial" w:hAnsi="Arial" w:cs="Arial"/>
                          <w:b w:val="0"/>
                          <w:color w:val="auto"/>
                        </w:rPr>
                        <w:t>: A possible mechanism of action of bisphosphonates is to reduce the population of osteoclast precursor cells and activation frequency.</w:t>
                      </w:r>
                      <w:bookmarkEnd w:id="232"/>
                      <w:bookmarkEnd w:id="233"/>
                      <w:bookmarkEnd w:id="234"/>
                      <w:r w:rsidRPr="0049782E">
                        <w:rPr>
                          <w:rFonts w:ascii="Arial" w:hAnsi="Arial" w:cs="Arial"/>
                          <w:b w:val="0"/>
                          <w:color w:val="auto"/>
                        </w:rPr>
                        <w:t xml:space="preserve"> </w:t>
                      </w:r>
                    </w:p>
                  </w:txbxContent>
                </v:textbox>
              </v:shape>
            </w:pict>
          </mc:Fallback>
        </mc:AlternateContent>
      </w:r>
      <w:r>
        <w:rPr>
          <w:rFonts w:ascii="Arial" w:hAnsi="Arial" w:cs="Arial"/>
          <w:noProof/>
          <w:lang w:eastAsia="zh-CN"/>
        </w:rPr>
        <mc:AlternateContent>
          <mc:Choice Requires="wps">
            <w:drawing>
              <wp:anchor distT="0" distB="0" distL="114300" distR="114300" simplePos="0" relativeHeight="251149824" behindDoc="0" locked="0" layoutInCell="1" allowOverlap="1" wp14:anchorId="51DCFF9C" wp14:editId="2646EDB3">
                <wp:simplePos x="0" y="0"/>
                <wp:positionH relativeFrom="column">
                  <wp:posOffset>78069</wp:posOffset>
                </wp:positionH>
                <wp:positionV relativeFrom="paragraph">
                  <wp:posOffset>-65932</wp:posOffset>
                </wp:positionV>
                <wp:extent cx="5296020" cy="3398808"/>
                <wp:effectExtent l="0" t="0" r="19050" b="11430"/>
                <wp:wrapNone/>
                <wp:docPr id="18613" name="Rectangle 18613"/>
                <wp:cNvGraphicFramePr/>
                <a:graphic xmlns:a="http://schemas.openxmlformats.org/drawingml/2006/main">
                  <a:graphicData uri="http://schemas.microsoft.com/office/word/2010/wordprocessingShape">
                    <wps:wsp>
                      <wps:cNvSpPr/>
                      <wps:spPr>
                        <a:xfrm>
                          <a:off x="0" y="0"/>
                          <a:ext cx="5296020" cy="339880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F07A4" id="Rectangle 18613" o:spid="_x0000_s1026" style="position:absolute;margin-left:6.15pt;margin-top:-5.2pt;width:417pt;height:267.6pt;z-index:2511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" filled="f" strokecolor="black [3213]"/>
            </w:pict>
          </mc:Fallback>
        </mc:AlternateContent>
      </w:r>
      <w:r>
        <w:rPr>
          <w:rFonts w:ascii="Arial" w:hAnsi="Arial" w:cs="Arial"/>
          <w:noProof/>
          <w:lang w:eastAsia="zh-CN"/>
        </w:rPr>
        <w:drawing>
          <wp:inline distT="0" distB="0" distL="0" distR="0" wp14:anchorId="0A19A055" wp14:editId="1428881E">
            <wp:extent cx="5236234" cy="3345180"/>
            <wp:effectExtent l="0" t="0" r="2540" b="7620"/>
            <wp:docPr id="18612" name="Picture 1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55883" cy="3357733"/>
                    </a:xfrm>
                    <a:prstGeom prst="rect">
                      <a:avLst/>
                    </a:prstGeom>
                    <a:noFill/>
                  </pic:spPr>
                </pic:pic>
              </a:graphicData>
            </a:graphic>
          </wp:inline>
        </w:drawing>
      </w:r>
    </w:p>
    <w:p w:rsidR="00836FA5" w:rsidRDefault="00836FA5" w:rsidP="00900F2C">
      <w:pPr>
        <w:spacing w:line="360" w:lineRule="auto"/>
        <w:rPr>
          <w:rFonts w:ascii="Arial" w:hAnsi="Arial" w:cs="Arial"/>
        </w:rPr>
      </w:pPr>
    </w:p>
    <w:p w:rsidR="007977FD" w:rsidRDefault="007977FD" w:rsidP="00844C20">
      <w:pPr>
        <w:pStyle w:val="Heading3"/>
        <w:jc w:val="both"/>
      </w:pPr>
      <w:bookmarkStart w:id="181" w:name="_Toc425418951"/>
      <w:r>
        <w:t>Bone turnover and bone balance</w:t>
      </w:r>
      <w:bookmarkEnd w:id="181"/>
    </w:p>
    <w:p w:rsidR="00142D19" w:rsidRDefault="006624DA" w:rsidP="003B725E">
      <w:pPr>
        <w:spacing w:line="360" w:lineRule="auto"/>
        <w:jc w:val="both"/>
        <w:rPr>
          <w:rFonts w:ascii="Arial" w:hAnsi="Arial" w:cs="Arial"/>
        </w:rPr>
      </w:pPr>
      <w:r>
        <w:rPr>
          <w:rFonts w:ascii="Arial" w:hAnsi="Arial" w:cs="Arial"/>
        </w:rPr>
        <w:t xml:space="preserve">Bisphosphonates </w:t>
      </w:r>
      <w:r w:rsidRPr="00C02DB7">
        <w:rPr>
          <w:rFonts w:ascii="Arial" w:hAnsi="Arial" w:cs="Arial"/>
        </w:rPr>
        <w:t xml:space="preserve">are used to treat postmenopausal osteoporosis </w:t>
      </w:r>
      <w:r w:rsidR="0087684A">
        <w:rPr>
          <w:rFonts w:ascii="Arial" w:hAnsi="Arial" w:cs="Arial"/>
        </w:rPr>
        <w:t>and it is widely accepted that</w:t>
      </w:r>
      <w:r w:rsidRPr="00C02DB7">
        <w:rPr>
          <w:rFonts w:ascii="Arial" w:hAnsi="Arial" w:cs="Arial"/>
        </w:rPr>
        <w:t xml:space="preserve"> they reduce bone turnover, increase BMD and reduce fracture risk. These effects and the differences in the degree in which bisphosphonates reduce bone turnover</w:t>
      </w:r>
      <w:r>
        <w:rPr>
          <w:rFonts w:ascii="Arial" w:hAnsi="Arial" w:cs="Arial"/>
        </w:rPr>
        <w:t xml:space="preserve"> as assessed by BTMs</w:t>
      </w:r>
      <w:r w:rsidRPr="00C02DB7">
        <w:rPr>
          <w:rFonts w:ascii="Arial" w:hAnsi="Arial" w:cs="Arial"/>
        </w:rPr>
        <w:t xml:space="preserve"> have been previously been described </w:t>
      </w:r>
      <w:r>
        <w:rPr>
          <w:rFonts w:ascii="Arial" w:hAnsi="Arial" w:cs="Arial"/>
        </w:rPr>
        <w:t xml:space="preserve">in chapter 5 and </w:t>
      </w:r>
      <w:r w:rsidRPr="00C02DB7">
        <w:rPr>
          <w:rFonts w:ascii="Arial" w:hAnsi="Arial" w:cs="Arial"/>
        </w:rPr>
        <w:t>in several clinical trials.</w:t>
      </w:r>
      <w:r w:rsidR="00A75DC1">
        <w:rPr>
          <w:rFonts w:ascii="Arial" w:hAnsi="Arial" w:cs="Arial"/>
        </w:rPr>
        <w:t xml:space="preserve"> </w:t>
      </w:r>
      <w:r w:rsidRPr="00C02DB7">
        <w:rPr>
          <w:rFonts w:ascii="Arial" w:hAnsi="Arial" w:cs="Arial"/>
        </w:rPr>
        <w:t xml:space="preserve">FACT showed that alendronate reduced bone turnover markers and increased BMD more than risedronate </w:t>
      </w:r>
      <w:r w:rsidRPr="00C02DB7">
        <w:rPr>
          <w:rFonts w:ascii="Arial" w:hAnsi="Arial" w:cs="Arial"/>
        </w:rPr>
        <w:fldChar w:fldCharType="begin">
          <w:fldData xml:space="preserve">PEVuZE5vdGU+PENpdGU+PEF1dGhvcj5Cb25uaWNrPC9BdXRob3I+PFllYXI+MjAwNjwvWWVhcj48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PC9hbHQtcGVyaW9kaWNhbD48cGFnZXM+MTQxLTUxPC9wYWdlcz48dm9sdW1lPjIwPC92b2x1bWU+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==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PEVuZE5vdGU+PENpdGU+PEF1dGhvcj5Cb25uaWNrPC9BdXRob3I+PFllYXI+MjAwNjwvWWVhcj48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PC9hbHQtcGVyaW9kaWNhbD48cGFnZXM+MTQxLTUxPC9wYWdlcz48dm9sdW1lPjIwPC92b2x1bWU+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==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Pr="00C02DB7">
        <w:rPr>
          <w:rFonts w:ascii="Arial" w:hAnsi="Arial" w:cs="Arial"/>
        </w:rPr>
      </w:r>
      <w:r w:rsidRPr="00C02DB7">
        <w:rPr>
          <w:rFonts w:ascii="Arial" w:hAnsi="Arial" w:cs="Arial"/>
        </w:rPr>
        <w:fldChar w:fldCharType="separate"/>
      </w:r>
      <w:r w:rsidR="000D155C">
        <w:rPr>
          <w:rFonts w:ascii="Arial" w:hAnsi="Arial" w:cs="Arial"/>
          <w:noProof/>
        </w:rPr>
        <w:t>(</w:t>
      </w:r>
      <w:hyperlink w:anchor="_ENREF_406" w:tooltip="Rosen, 2005 #197" w:history="1">
        <w:r w:rsidR="003B725E">
          <w:rPr>
            <w:rFonts w:ascii="Arial" w:hAnsi="Arial" w:cs="Arial"/>
            <w:noProof/>
          </w:rPr>
          <w:t>406</w:t>
        </w:r>
      </w:hyperlink>
      <w:r w:rsidR="000D155C">
        <w:rPr>
          <w:rFonts w:ascii="Arial" w:hAnsi="Arial" w:cs="Arial"/>
          <w:noProof/>
        </w:rPr>
        <w:t xml:space="preserve">, </w:t>
      </w:r>
      <w:hyperlink w:anchor="_ENREF_451" w:tooltip="Bonnick, 2006 #211" w:history="1">
        <w:r w:rsidR="003B725E">
          <w:rPr>
            <w:rFonts w:ascii="Arial" w:hAnsi="Arial" w:cs="Arial"/>
            <w:noProof/>
          </w:rPr>
          <w:t>451</w:t>
        </w:r>
      </w:hyperlink>
      <w:r w:rsidR="000D155C">
        <w:rPr>
          <w:rFonts w:ascii="Arial" w:hAnsi="Arial" w:cs="Arial"/>
          <w:noProof/>
        </w:rPr>
        <w:t>)</w:t>
      </w:r>
      <w:r w:rsidRPr="00C02DB7">
        <w:rPr>
          <w:rFonts w:ascii="Arial" w:hAnsi="Arial" w:cs="Arial"/>
        </w:rPr>
        <w:fldChar w:fldCharType="end"/>
      </w:r>
      <w:r w:rsidRPr="00C02DB7">
        <w:rPr>
          <w:rFonts w:ascii="Arial" w:hAnsi="Arial" w:cs="Arial"/>
        </w:rPr>
        <w:t xml:space="preserve">. The fracture intervention trial (FIT) of alendronate demonstrated and reduction in bone ALP and vertebral fracture risk </w:t>
      </w:r>
      <w:r w:rsidRPr="00C02DB7">
        <w:rPr>
          <w:rFonts w:ascii="Arial" w:hAnsi="Arial" w:cs="Arial"/>
        </w:rPr>
        <w:fldChar w:fldCharType="begin">
          <w:fldData xml:space="preserve">PEVuZE5vdGU+PENpdGU+PEF1dGhvcj5CYXVlcjwvQXV0aG9yPjxZZWFyPjIwMDY8L1llYXI+PFJl
Y051bT4xODE8L1JlY051bT48RGlzcGxheVRleHQ+KDMxNik8L0Rpc3BsYXlUZXh0PjxyZWNvcmQ+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ZWNvcmQ+PC9DaXRlPjwvRW5kTm90ZT5=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PEVuZE5vdGU+PENpdGU+PEF1dGhvcj5CYXVlcjwvQXV0aG9yPjxZZWFyPjIwMDY8L1llYXI+PFJl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UmVzZWFyY2g8L2FiYnItMT48L2FsdC1wZXJpb2RpY2FsPjxwYWdlcz4yOTItOTwvcGFnZXM+PHZv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Pr="00C02DB7">
        <w:rPr>
          <w:rFonts w:ascii="Arial" w:hAnsi="Arial" w:cs="Arial"/>
        </w:rPr>
      </w:r>
      <w:r w:rsidRPr="00C02DB7">
        <w:rPr>
          <w:rFonts w:ascii="Arial" w:hAnsi="Arial" w:cs="Arial"/>
        </w:rPr>
        <w:fldChar w:fldCharType="separate"/>
      </w:r>
      <w:r w:rsidR="00B329CC">
        <w:rPr>
          <w:rFonts w:ascii="Arial" w:hAnsi="Arial" w:cs="Arial"/>
          <w:noProof/>
        </w:rPr>
        <w:t>(</w:t>
      </w:r>
      <w:hyperlink w:anchor="_ENREF_316" w:tooltip="Bauer, 2006 #181" w:history="1">
        <w:r w:rsidR="003B725E">
          <w:rPr>
            <w:rFonts w:ascii="Arial" w:hAnsi="Arial" w:cs="Arial"/>
            <w:noProof/>
          </w:rPr>
          <w:t>316</w:t>
        </w:r>
      </w:hyperlink>
      <w:r w:rsidR="00B329CC">
        <w:rPr>
          <w:rFonts w:ascii="Arial" w:hAnsi="Arial" w:cs="Arial"/>
          <w:noProof/>
        </w:rPr>
        <w:t>)</w:t>
      </w:r>
      <w:r w:rsidRPr="00C02DB7">
        <w:rPr>
          <w:rFonts w:ascii="Arial" w:hAnsi="Arial" w:cs="Arial"/>
        </w:rPr>
        <w:fldChar w:fldCharType="end"/>
      </w:r>
      <w:r w:rsidRPr="00C02DB7">
        <w:rPr>
          <w:rFonts w:ascii="Arial" w:hAnsi="Arial" w:cs="Arial"/>
        </w:rPr>
        <w:t xml:space="preserve"> and data from the HORIZON study showed a reduction in PINP and fracture risk </w:t>
      </w:r>
      <w:r w:rsidRPr="00C02DB7">
        <w:rPr>
          <w:rFonts w:ascii="Arial" w:hAnsi="Arial" w:cs="Arial"/>
        </w:rPr>
        <w:fldChar w:fldCharType="begin">
          <w:fldData xml:space="preserve">PEVuZE5vdGU+PENpdGU+PEF1dGhvcj5KYWNxdWVzPC9BdXRob3I+PFllYXI+MjAxMjwvWWVhcj48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PEVuZE5vdGU+PENpdGU+PEF1dGhvcj5KYWNxdWVzPC9BdXRob3I+PFllYXI+MjAxMjwvWWVhcj48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Pr="00C02DB7">
        <w:rPr>
          <w:rFonts w:ascii="Arial" w:hAnsi="Arial" w:cs="Arial"/>
        </w:rPr>
      </w:r>
      <w:r w:rsidRPr="00C02DB7">
        <w:rPr>
          <w:rFonts w:ascii="Arial" w:hAnsi="Arial" w:cs="Arial"/>
        </w:rPr>
        <w:fldChar w:fldCharType="separate"/>
      </w:r>
      <w:r w:rsidR="008E761B">
        <w:rPr>
          <w:rFonts w:ascii="Arial" w:hAnsi="Arial" w:cs="Arial"/>
          <w:noProof/>
        </w:rPr>
        <w:t>(</w:t>
      </w:r>
      <w:hyperlink w:anchor="_ENREF_313" w:tooltip="Jacques, 2012 #212" w:history="1">
        <w:r w:rsidR="003B725E">
          <w:rPr>
            <w:rFonts w:ascii="Arial" w:hAnsi="Arial" w:cs="Arial"/>
            <w:noProof/>
          </w:rPr>
          <w:t>313</w:t>
        </w:r>
      </w:hyperlink>
      <w:r w:rsidR="008E761B">
        <w:rPr>
          <w:rFonts w:ascii="Arial" w:hAnsi="Arial" w:cs="Arial"/>
          <w:noProof/>
        </w:rPr>
        <w:t>)</w:t>
      </w:r>
      <w:r w:rsidRPr="00C02DB7">
        <w:rPr>
          <w:rFonts w:ascii="Arial" w:hAnsi="Arial" w:cs="Arial"/>
        </w:rPr>
        <w:fldChar w:fldCharType="end"/>
      </w:r>
      <w:r>
        <w:rPr>
          <w:rFonts w:ascii="Arial" w:hAnsi="Arial" w:cs="Arial"/>
        </w:rPr>
        <w:t xml:space="preserve">. </w:t>
      </w:r>
      <w:r w:rsidR="0087684A">
        <w:rPr>
          <w:rFonts w:ascii="Arial" w:hAnsi="Arial" w:cs="Arial"/>
        </w:rPr>
        <w:t>However, i</w:t>
      </w:r>
      <w:r w:rsidR="00751922">
        <w:rPr>
          <w:rFonts w:ascii="Arial" w:hAnsi="Arial" w:cs="Arial"/>
        </w:rPr>
        <w:t>n postmenopausal osteoporosis there is also a negative balance where bone resorption exceeds bone formation</w:t>
      </w:r>
      <w:r w:rsidR="00236636">
        <w:rPr>
          <w:rFonts w:ascii="Arial" w:hAnsi="Arial" w:cs="Arial"/>
        </w:rPr>
        <w:t>, (Figure 42</w:t>
      </w:r>
      <w:r w:rsidR="004D4F32">
        <w:rPr>
          <w:rFonts w:ascii="Arial" w:hAnsi="Arial" w:cs="Arial"/>
        </w:rPr>
        <w:t>, chapter 4)</w:t>
      </w:r>
      <w:r w:rsidR="00751922">
        <w:rPr>
          <w:rFonts w:ascii="Arial" w:hAnsi="Arial" w:cs="Arial"/>
        </w:rPr>
        <w:t xml:space="preserve">. </w:t>
      </w:r>
      <w:r w:rsidR="004D4F32">
        <w:rPr>
          <w:rFonts w:ascii="Arial" w:hAnsi="Arial" w:cs="Arial"/>
        </w:rPr>
        <w:t>Also i</w:t>
      </w:r>
      <w:r w:rsidR="00751922">
        <w:rPr>
          <w:rFonts w:ascii="Arial" w:hAnsi="Arial" w:cs="Arial"/>
        </w:rPr>
        <w:t xml:space="preserve">n chapter 4 I have demonstrated that a positive balance </w:t>
      </w:r>
      <w:r w:rsidR="00F33824">
        <w:rPr>
          <w:rFonts w:ascii="Arial" w:hAnsi="Arial" w:cs="Arial"/>
        </w:rPr>
        <w:t>rather than the reduction of bone turnover that was</w:t>
      </w:r>
      <w:r w:rsidR="00751922">
        <w:rPr>
          <w:rFonts w:ascii="Arial" w:hAnsi="Arial" w:cs="Arial"/>
        </w:rPr>
        <w:t xml:space="preserve"> related to a reduction in vertebral and non-vertebral fracture risk. </w:t>
      </w:r>
      <w:r w:rsidR="0098241B">
        <w:rPr>
          <w:rFonts w:ascii="Arial" w:hAnsi="Arial" w:cs="Arial"/>
        </w:rPr>
        <w:t>It may</w:t>
      </w:r>
      <w:r w:rsidR="0087684A">
        <w:rPr>
          <w:rFonts w:ascii="Arial" w:hAnsi="Arial" w:cs="Arial"/>
        </w:rPr>
        <w:t xml:space="preserve"> therefore</w:t>
      </w:r>
      <w:r w:rsidR="0098241B">
        <w:rPr>
          <w:rFonts w:ascii="Arial" w:hAnsi="Arial" w:cs="Arial"/>
        </w:rPr>
        <w:t xml:space="preserve"> be that bisphosphonates reduce fracture risk by maintaining or improving bone balance in addition to reducing bone turnover. Their effect on bone balance was yet to be investigated fully.</w:t>
      </w:r>
    </w:p>
    <w:p w:rsidR="007977FD" w:rsidRPr="00C02DB7" w:rsidRDefault="007977FD" w:rsidP="00844C20">
      <w:pPr>
        <w:pStyle w:val="Heading3"/>
        <w:jc w:val="both"/>
      </w:pPr>
      <w:bookmarkStart w:id="182" w:name="_Toc425418952"/>
      <w:r>
        <w:lastRenderedPageBreak/>
        <w:t>The role of sclerostin</w:t>
      </w:r>
      <w:bookmarkEnd w:id="182"/>
    </w:p>
    <w:p w:rsidR="00905206" w:rsidRDefault="009D3BB6" w:rsidP="003B725E">
      <w:pPr>
        <w:spacing w:line="360" w:lineRule="auto"/>
        <w:jc w:val="both"/>
        <w:rPr>
          <w:rFonts w:ascii="Arial" w:hAnsi="Arial" w:cs="Arial"/>
        </w:rPr>
      </w:pPr>
      <w:r>
        <w:rPr>
          <w:rFonts w:ascii="Arial" w:hAnsi="Arial" w:cs="Arial"/>
          <w:noProof/>
          <w:lang w:eastAsia="zh-CN"/>
        </w:rPr>
        <mc:AlternateContent>
          <mc:Choice Requires="wps">
            <w:drawing>
              <wp:anchor distT="0" distB="0" distL="114300" distR="114300" simplePos="0" relativeHeight="251762176" behindDoc="0" locked="0" layoutInCell="1" allowOverlap="1" wp14:anchorId="14CD2345" wp14:editId="1CCEC059">
                <wp:simplePos x="0" y="0"/>
                <wp:positionH relativeFrom="column">
                  <wp:posOffset>462915</wp:posOffset>
                </wp:positionH>
                <wp:positionV relativeFrom="paragraph">
                  <wp:posOffset>3205480</wp:posOffset>
                </wp:positionV>
                <wp:extent cx="4448810" cy="1016635"/>
                <wp:effectExtent l="0" t="0" r="27940" b="12065"/>
                <wp:wrapNone/>
                <wp:docPr id="18629" name="Rectangle 18629"/>
                <wp:cNvGraphicFramePr/>
                <a:graphic xmlns:a="http://schemas.openxmlformats.org/drawingml/2006/main">
                  <a:graphicData uri="http://schemas.microsoft.com/office/word/2010/wordprocessingShape">
                    <wps:wsp>
                      <wps:cNvSpPr/>
                      <wps:spPr>
                        <a:xfrm>
                          <a:off x="0" y="0"/>
                          <a:ext cx="4448810" cy="10166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E593E9" id="Rectangle 18629" o:spid="_x0000_s1026" style="position:absolute;margin-left:36.45pt;margin-top:252.4pt;width:350.3pt;height:80.05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" filled="f" strokecolor="black [3213]"/>
            </w:pict>
          </mc:Fallback>
        </mc:AlternateContent>
      </w:r>
      <w:r w:rsidR="00A84F71">
        <w:rPr>
          <w:rFonts w:ascii="Arial" w:hAnsi="Arial" w:cs="Arial"/>
        </w:rPr>
        <w:t>In the previous chapte</w:t>
      </w:r>
      <w:r w:rsidR="004E6C75">
        <w:rPr>
          <w:rFonts w:ascii="Arial" w:hAnsi="Arial" w:cs="Arial"/>
        </w:rPr>
        <w:t>r I have demonstrated that antiresorptives</w:t>
      </w:r>
      <w:r w:rsidR="00A84F71">
        <w:rPr>
          <w:rFonts w:ascii="Arial" w:hAnsi="Arial" w:cs="Arial"/>
        </w:rPr>
        <w:t xml:space="preserve"> reduce bone </w:t>
      </w:r>
      <w:r w:rsidR="0012063A">
        <w:rPr>
          <w:rFonts w:ascii="Arial" w:hAnsi="Arial" w:cs="Arial"/>
        </w:rPr>
        <w:t>resorption followed by a</w:t>
      </w:r>
      <w:r w:rsidR="001443C6">
        <w:rPr>
          <w:rFonts w:ascii="Arial" w:hAnsi="Arial" w:cs="Arial"/>
        </w:rPr>
        <w:t xml:space="preserve"> </w:t>
      </w:r>
      <w:r w:rsidR="0012063A">
        <w:rPr>
          <w:rFonts w:ascii="Arial" w:hAnsi="Arial" w:cs="Arial"/>
        </w:rPr>
        <w:t xml:space="preserve">later reduction in bone </w:t>
      </w:r>
      <w:r w:rsidR="00A84F71">
        <w:rPr>
          <w:rFonts w:ascii="Arial" w:hAnsi="Arial" w:cs="Arial"/>
        </w:rPr>
        <w:t>formation</w:t>
      </w:r>
      <w:r w:rsidR="001443C6">
        <w:rPr>
          <w:rFonts w:ascii="Arial" w:hAnsi="Arial" w:cs="Arial"/>
        </w:rPr>
        <w:t xml:space="preserve"> of a lesser magnitude</w:t>
      </w:r>
      <w:r w:rsidR="0012063A">
        <w:rPr>
          <w:rFonts w:ascii="Arial" w:hAnsi="Arial" w:cs="Arial"/>
        </w:rPr>
        <w:t xml:space="preserve">. </w:t>
      </w:r>
      <w:r w:rsidR="00CD0E1B">
        <w:rPr>
          <w:rFonts w:ascii="Arial" w:hAnsi="Arial" w:cs="Arial"/>
        </w:rPr>
        <w:t>Bisphosphonates induce osteoclast apoptosis and increase their resorbing activity. In contrast animal experiments have demonstrated that they inhibit osteocyte apoptosis through the activation of extracellular signal-regulated kinases (ERKs)</w:t>
      </w:r>
      <w:r w:rsidR="00236636">
        <w:rPr>
          <w:rFonts w:ascii="Arial" w:hAnsi="Arial" w:cs="Arial"/>
        </w:rPr>
        <w:t xml:space="preserve">, </w:t>
      </w:r>
      <w:r w:rsidR="00236636">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236636">
        <w:rPr>
          <w:rFonts w:ascii="Arial" w:hAnsi="Arial" w:cs="Arial"/>
        </w:rPr>
      </w:r>
      <w:r w:rsidR="00236636">
        <w:rPr>
          <w:rFonts w:ascii="Arial" w:hAnsi="Arial" w:cs="Arial"/>
        </w:rPr>
        <w:fldChar w:fldCharType="separate"/>
      </w:r>
      <w:r w:rsidR="008E761B">
        <w:rPr>
          <w:rFonts w:ascii="Arial" w:hAnsi="Arial" w:cs="Arial"/>
          <w:noProof/>
        </w:rPr>
        <w:t>(</w:t>
      </w:r>
      <w:hyperlink w:anchor="_ENREF_270" w:tooltip="Plotkin, 2006 #437" w:history="1">
        <w:r w:rsidR="003B725E">
          <w:rPr>
            <w:rFonts w:ascii="Arial" w:hAnsi="Arial" w:cs="Arial"/>
            <w:noProof/>
          </w:rPr>
          <w:t>270</w:t>
        </w:r>
      </w:hyperlink>
      <w:r w:rsidR="008E761B">
        <w:rPr>
          <w:rFonts w:ascii="Arial" w:hAnsi="Arial" w:cs="Arial"/>
          <w:noProof/>
        </w:rPr>
        <w:t>)</w:t>
      </w:r>
      <w:r w:rsidR="00236636">
        <w:rPr>
          <w:rFonts w:ascii="Arial" w:hAnsi="Arial" w:cs="Arial"/>
        </w:rPr>
        <w:fldChar w:fldCharType="end"/>
      </w:r>
      <w:r w:rsidR="00CD0E1B">
        <w:rPr>
          <w:rFonts w:ascii="Arial" w:hAnsi="Arial" w:cs="Arial"/>
        </w:rPr>
        <w:t xml:space="preserve">. </w:t>
      </w:r>
      <w:r w:rsidR="00580D43">
        <w:rPr>
          <w:rFonts w:ascii="Arial" w:hAnsi="Arial" w:cs="Arial"/>
        </w:rPr>
        <w:t xml:space="preserve">Bone formation is regulated by the osteocytes through direct communication with the osteoblasts </w:t>
      </w:r>
      <w:r w:rsidR="00236636">
        <w:rPr>
          <w:rFonts w:ascii="Arial" w:hAnsi="Arial" w:cs="Arial"/>
        </w:rPr>
        <w:t xml:space="preserve">and this involves gap junctions, </w:t>
      </w:r>
      <w:r w:rsidR="00236636">
        <w:rPr>
          <w:rFonts w:ascii="Arial" w:hAnsi="Arial" w:cs="Arial"/>
        </w:rPr>
        <w:fldChar w:fldCharType="begin">
          <w:fldData xml:space="preserve">PEVuZE5vdGU+PENpdGU+PEF1dGhvcj5UYXlsb3I8L0F1dGhvcj48WWVhcj4yMDA3PC9ZZWFyPjxS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PEVuZE5vdGU+PENpdGU+PEF1dGhvcj5UYXlsb3I8L0F1dGhvcj48WWVhcj4yMDA3PC9ZZWFyPjxS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236636">
        <w:rPr>
          <w:rFonts w:ascii="Arial" w:hAnsi="Arial" w:cs="Arial"/>
        </w:rPr>
      </w:r>
      <w:r w:rsidR="00236636">
        <w:rPr>
          <w:rFonts w:ascii="Arial" w:hAnsi="Arial" w:cs="Arial"/>
        </w:rPr>
        <w:fldChar w:fldCharType="separate"/>
      </w:r>
      <w:r w:rsidR="000D155C">
        <w:rPr>
          <w:rFonts w:ascii="Arial" w:hAnsi="Arial" w:cs="Arial"/>
          <w:noProof/>
        </w:rPr>
        <w:t>(</w:t>
      </w:r>
      <w:hyperlink w:anchor="_ENREF_452" w:tooltip="Taylor, 2007 #503" w:history="1">
        <w:r w:rsidR="003B725E">
          <w:rPr>
            <w:rFonts w:ascii="Arial" w:hAnsi="Arial" w:cs="Arial"/>
            <w:noProof/>
          </w:rPr>
          <w:t>452</w:t>
        </w:r>
      </w:hyperlink>
      <w:r w:rsidR="000D155C">
        <w:rPr>
          <w:rFonts w:ascii="Arial" w:hAnsi="Arial" w:cs="Arial"/>
          <w:noProof/>
        </w:rPr>
        <w:t>)</w:t>
      </w:r>
      <w:r w:rsidR="00236636">
        <w:rPr>
          <w:rFonts w:ascii="Arial" w:hAnsi="Arial" w:cs="Arial"/>
        </w:rPr>
        <w:fldChar w:fldCharType="end"/>
      </w:r>
      <w:r w:rsidR="00580D43">
        <w:rPr>
          <w:rFonts w:ascii="Arial" w:hAnsi="Arial" w:cs="Arial"/>
        </w:rPr>
        <w:t xml:space="preserve">. </w:t>
      </w:r>
      <w:r w:rsidR="009975D1">
        <w:rPr>
          <w:rFonts w:ascii="Arial" w:hAnsi="Arial" w:cs="Arial"/>
        </w:rPr>
        <w:t>The</w:t>
      </w:r>
      <w:r w:rsidR="0098241B">
        <w:rPr>
          <w:rFonts w:ascii="Arial" w:hAnsi="Arial" w:cs="Arial"/>
        </w:rPr>
        <w:t>se</w:t>
      </w:r>
      <w:r w:rsidR="009975D1">
        <w:rPr>
          <w:rFonts w:ascii="Arial" w:hAnsi="Arial" w:cs="Arial"/>
        </w:rPr>
        <w:t xml:space="preserve"> varying effects on bone resorption and bone f</w:t>
      </w:r>
      <w:r w:rsidR="00580D43">
        <w:rPr>
          <w:rFonts w:ascii="Arial" w:hAnsi="Arial" w:cs="Arial"/>
        </w:rPr>
        <w:t>ormation may therefore be regulated by</w:t>
      </w:r>
      <w:r w:rsidR="009975D1">
        <w:rPr>
          <w:rFonts w:ascii="Arial" w:hAnsi="Arial" w:cs="Arial"/>
        </w:rPr>
        <w:t xml:space="preserve"> Wnt signalling pathway. More specifically by the production of the Wnt antagonists s</w:t>
      </w:r>
      <w:r w:rsidR="0012063A">
        <w:rPr>
          <w:rFonts w:ascii="Arial" w:hAnsi="Arial" w:cs="Arial"/>
        </w:rPr>
        <w:t>clerost</w:t>
      </w:r>
      <w:r w:rsidR="009975D1">
        <w:rPr>
          <w:rFonts w:ascii="Arial" w:hAnsi="Arial" w:cs="Arial"/>
        </w:rPr>
        <w:t>in and DKK1. Increased circulating levels of these inhibit</w:t>
      </w:r>
      <w:r w:rsidR="0012063A">
        <w:rPr>
          <w:rFonts w:ascii="Arial" w:hAnsi="Arial" w:cs="Arial"/>
        </w:rPr>
        <w:t xml:space="preserve"> bone formation by binding to the LRP5, LRP6 and frizzled receptors expressed </w:t>
      </w:r>
      <w:r w:rsidR="001443C6">
        <w:rPr>
          <w:rFonts w:ascii="Arial" w:hAnsi="Arial" w:cs="Arial"/>
        </w:rPr>
        <w:t>on the sur</w:t>
      </w:r>
      <w:r w:rsidR="00C12F10">
        <w:rPr>
          <w:rFonts w:ascii="Arial" w:hAnsi="Arial" w:cs="Arial"/>
        </w:rPr>
        <w:t>face of preosteob</w:t>
      </w:r>
      <w:r w:rsidR="00236636">
        <w:rPr>
          <w:rFonts w:ascii="Arial" w:hAnsi="Arial" w:cs="Arial"/>
        </w:rPr>
        <w:t>last, Figure 50</w:t>
      </w:r>
      <w:r w:rsidR="001443C6">
        <w:rPr>
          <w:rFonts w:ascii="Arial" w:hAnsi="Arial" w:cs="Arial"/>
        </w:rPr>
        <w:t>.</w:t>
      </w:r>
      <w:r w:rsidR="009975D1">
        <w:rPr>
          <w:rFonts w:ascii="Arial" w:hAnsi="Arial" w:cs="Arial"/>
        </w:rPr>
        <w:t xml:space="preserve"> </w:t>
      </w:r>
      <w:r w:rsidR="00E03F5D">
        <w:rPr>
          <w:rFonts w:ascii="Arial" w:hAnsi="Arial" w:cs="Arial"/>
        </w:rPr>
        <w:t>A plausible mechanistic hypothesis could therefore</w:t>
      </w:r>
      <w:r w:rsidR="00752DFC">
        <w:rPr>
          <w:rFonts w:ascii="Arial" w:hAnsi="Arial" w:cs="Arial"/>
        </w:rPr>
        <w:t xml:space="preserve"> be that bisphosphonates mediate</w:t>
      </w:r>
      <w:r w:rsidR="00E03F5D">
        <w:rPr>
          <w:rFonts w:ascii="Arial" w:hAnsi="Arial" w:cs="Arial"/>
        </w:rPr>
        <w:t xml:space="preserve"> the synthesis of sclerostin by the osteocytes and reduce bone formation.</w:t>
      </w:r>
    </w:p>
    <w:p w:rsidR="001443C6" w:rsidRDefault="00497E01" w:rsidP="009D3BB6">
      <w:pPr>
        <w:keepNext/>
        <w:spacing w:line="360" w:lineRule="auto"/>
        <w:jc w:val="center"/>
      </w:pPr>
      <w:r>
        <w:rPr>
          <w:rFonts w:ascii="Arial" w:hAnsi="Arial" w:cs="Arial"/>
          <w:noProof/>
          <w:lang w:eastAsia="zh-CN"/>
        </w:rPr>
        <w:drawing>
          <wp:inline distT="0" distB="0" distL="0" distR="0" wp14:anchorId="3FF5AF26" wp14:editId="4F4D1B45">
            <wp:extent cx="4179523" cy="907576"/>
            <wp:effectExtent l="0" t="0" r="0" b="6985"/>
            <wp:docPr id="18626" name="Picture 1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179523" cy="907576"/>
                    </a:xfrm>
                    <a:prstGeom prst="rect">
                      <a:avLst/>
                    </a:prstGeom>
                    <a:noFill/>
                  </pic:spPr>
                </pic:pic>
              </a:graphicData>
            </a:graphic>
          </wp:inline>
        </w:drawing>
      </w:r>
    </w:p>
    <w:p w:rsidR="00497E01" w:rsidRPr="00BD3FDC" w:rsidRDefault="001443C6" w:rsidP="00844C20">
      <w:pPr>
        <w:pStyle w:val="Caption"/>
        <w:jc w:val="both"/>
        <w:rPr>
          <w:rFonts w:ascii="Arial" w:hAnsi="Arial" w:cs="Arial"/>
          <w:b w:val="0"/>
          <w:noProof/>
          <w:color w:val="auto"/>
        </w:rPr>
      </w:pPr>
      <w:bookmarkStart w:id="183" w:name="_Toc425419533"/>
      <w:r w:rsidRPr="00BD3FDC">
        <w:rPr>
          <w:rFonts w:ascii="Arial" w:hAnsi="Arial" w:cs="Arial"/>
          <w:b w:val="0"/>
          <w:color w:val="auto"/>
        </w:rPr>
        <w:t xml:space="preserve">Figure </w:t>
      </w:r>
      <w:r w:rsidR="009975D1" w:rsidRPr="00BD3FDC">
        <w:rPr>
          <w:rFonts w:ascii="Arial" w:hAnsi="Arial" w:cs="Arial"/>
          <w:b w:val="0"/>
          <w:color w:val="auto"/>
        </w:rPr>
        <w:fldChar w:fldCharType="begin"/>
      </w:r>
      <w:r w:rsidR="009975D1" w:rsidRPr="00BD3FDC">
        <w:rPr>
          <w:rFonts w:ascii="Arial" w:hAnsi="Arial" w:cs="Arial"/>
          <w:b w:val="0"/>
          <w:color w:val="auto"/>
        </w:rPr>
        <w:instrText xml:space="preserve"> SEQ Figure \* ARABIC </w:instrText>
      </w:r>
      <w:r w:rsidR="009975D1" w:rsidRPr="00BD3FDC">
        <w:rPr>
          <w:rFonts w:ascii="Arial" w:hAnsi="Arial" w:cs="Arial"/>
          <w:b w:val="0"/>
          <w:color w:val="auto"/>
        </w:rPr>
        <w:fldChar w:fldCharType="separate"/>
      </w:r>
      <w:r w:rsidR="0040369A">
        <w:rPr>
          <w:rFonts w:ascii="Arial" w:hAnsi="Arial" w:cs="Arial"/>
          <w:b w:val="0"/>
          <w:noProof/>
          <w:color w:val="auto"/>
        </w:rPr>
        <w:t>44</w:t>
      </w:r>
      <w:r w:rsidR="009975D1" w:rsidRPr="00BD3FDC">
        <w:rPr>
          <w:rFonts w:ascii="Arial" w:hAnsi="Arial" w:cs="Arial"/>
          <w:b w:val="0"/>
          <w:noProof/>
          <w:color w:val="auto"/>
        </w:rPr>
        <w:fldChar w:fldCharType="end"/>
      </w:r>
      <w:r w:rsidR="00BD3FDC" w:rsidRPr="00BD3FDC">
        <w:rPr>
          <w:rFonts w:ascii="Arial" w:hAnsi="Arial" w:cs="Arial"/>
          <w:b w:val="0"/>
          <w:noProof/>
          <w:color w:val="auto"/>
        </w:rPr>
        <w:t>: Increased sclerostin production by the osteocytes inhibits bone formation via the Wnt signalling pathway.</w:t>
      </w:r>
      <w:bookmarkEnd w:id="183"/>
    </w:p>
    <w:p w:rsidR="00ED3EA6" w:rsidRPr="002C64B2" w:rsidRDefault="00B71514" w:rsidP="003B725E">
      <w:pPr>
        <w:spacing w:line="360" w:lineRule="auto"/>
        <w:jc w:val="both"/>
        <w:rPr>
          <w:rFonts w:ascii="Arial" w:hAnsi="Arial" w:cs="Arial"/>
        </w:rPr>
      </w:pPr>
      <w:r>
        <w:rPr>
          <w:rFonts w:ascii="Arial" w:hAnsi="Arial" w:cs="Arial"/>
        </w:rPr>
        <w:t>The effects of some bisphosphonates on circulating lev</w:t>
      </w:r>
      <w:r w:rsidR="009823A1">
        <w:rPr>
          <w:rFonts w:ascii="Arial" w:hAnsi="Arial" w:cs="Arial"/>
        </w:rPr>
        <w:t xml:space="preserve">els of sclerostin and DKK1 have </w:t>
      </w:r>
      <w:r>
        <w:rPr>
          <w:rFonts w:ascii="Arial" w:hAnsi="Arial" w:cs="Arial"/>
        </w:rPr>
        <w:t>previously been investigated and the data has been inconclusive</w:t>
      </w:r>
      <w:r w:rsidR="00236636">
        <w:rPr>
          <w:rFonts w:ascii="Arial" w:hAnsi="Arial" w:cs="Arial"/>
        </w:rPr>
        <w:t>, (Figure 51</w:t>
      </w:r>
      <w:r w:rsidR="002C64B2">
        <w:rPr>
          <w:rFonts w:ascii="Arial" w:hAnsi="Arial" w:cs="Arial"/>
        </w:rPr>
        <w:t>)</w:t>
      </w:r>
      <w:r w:rsidR="003E3581">
        <w:rPr>
          <w:rFonts w:ascii="Arial" w:hAnsi="Arial" w:cs="Arial"/>
        </w:rPr>
        <w:t xml:space="preserve"> and clinical data is limited</w:t>
      </w:r>
      <w:r>
        <w:rPr>
          <w:rFonts w:ascii="Arial" w:hAnsi="Arial" w:cs="Arial"/>
        </w:rPr>
        <w:t>. Gatti D et al have demonstrated that a monthly injection of neridronate used to treat women with postmenopausal osteoporosis increased circulating levels of sclerostin</w:t>
      </w:r>
      <w:r w:rsidR="0076083C">
        <w:rPr>
          <w:rFonts w:ascii="Arial" w:hAnsi="Arial" w:cs="Arial"/>
        </w:rPr>
        <w:t xml:space="preserve">, </w:t>
      </w:r>
      <w:r w:rsidR="0076083C">
        <w:rPr>
          <w:rFonts w:ascii="Arial" w:hAnsi="Arial" w:cs="Arial"/>
        </w:rPr>
        <w:fldChar w:fldCharType="begin"/>
      </w:r>
      <w:r w:rsidR="000D155C">
        <w:rPr>
          <w:rFonts w:ascii="Arial" w:hAnsi="Arial" w:cs="Arial"/>
        </w:rPr>
        <w:instrText xml:space="preserve"> ADDIN EN.CITE &lt;EndNote&gt;&lt;Cite&gt;&lt;Author&gt;Gatti&lt;/Author&gt;&lt;Year&gt;2012&lt;/Year&gt;&lt;RecNum&gt;504&lt;/RecNum&gt;&lt;DisplayText&gt;(453)&lt;/DisplayText&gt;&lt;record&gt;&lt;rec-number&gt;504&lt;/rec-number&gt;&lt;foreign-keys&gt;&lt;key app="EN" db-id="p9a5ttsvyvde9me5aw2x05fp5p55axf0wr90" timestamp="1436355707"&gt;504&lt;/key&gt;&lt;/foreign-keys&gt;&lt;ref-type name="Journal Article"&gt;17&lt;/ref-type&gt;&lt;contributors&gt;&lt;authors&gt;&lt;author&gt;Gatti, D.&lt;/author&gt;&lt;author&gt;Viapiana, O.&lt;/author&gt;&lt;author&gt;Adami, S.&lt;/author&gt;&lt;author&gt;Idolazzi, L.&lt;/author&gt;&lt;author&gt;Fracassi, E.&lt;/author&gt;&lt;author&gt;Rossini, M.&lt;/author&gt;&lt;/authors&gt;&lt;/contributors&gt;&lt;auth-address&gt;Rheumatology Unit, Department of Medicine, University of Verona, Italy. Davide.Gatti@univr.it&lt;/auth-address&gt;&lt;titles&gt;&lt;title&gt;Bisphosphonate treatment of postmenopausal osteoporosis is associated with a dose dependent increase in serum sclerostin&lt;/title&gt;&lt;secondary-title&gt;Bone&lt;/secondary-title&gt;&lt;/titles&gt;&lt;periodical&gt;&lt;full-title&gt;Bone&lt;/full-title&gt;&lt;abbr-1&gt;Bone&lt;/abbr-1&gt;&lt;/periodical&gt;&lt;pages&gt;739-42&lt;/pages&gt;&lt;volume&gt;50&lt;/volume&gt;&lt;number&gt;3&lt;/number&gt;&lt;edition&gt;2011/12/20&lt;/edition&gt;&lt;keywords&gt;&lt;keyword&gt;Aged&lt;/keyword&gt;&lt;keyword&gt;Alkaline Phosphatase/blood&lt;/keyword&gt;&lt;keyword&gt;Bone Density/drug effects&lt;/keyword&gt;&lt;keyword&gt;Bone Density Conservation Agents/pharmacology/ therapeutic use&lt;/keyword&gt;&lt;keyword&gt;Bone Morphogenetic Proteins/ blood&lt;/keyword&gt;&lt;keyword&gt;Collagen Type I/blood&lt;/keyword&gt;&lt;keyword&gt;Diphosphonates/pharmacology/ therapeutic use&lt;/keyword&gt;&lt;keyword&gt;Dose-Response Relationship, Drug&lt;/keyword&gt;&lt;keyword&gt;Female&lt;/keyword&gt;&lt;keyword&gt;Genetic Markers&lt;/keyword&gt;&lt;keyword&gt;Humans&lt;/keyword&gt;&lt;keyword&gt;Middle Aged&lt;/keyword&gt;&lt;keyword&gt;Osteoporosis, Postmenopausal/ blood/ drug therapy&lt;/keyword&gt;&lt;keyword&gt;Treatment Outcome&lt;/keyword&gt;&lt;/keywords&gt;&lt;dates&gt;&lt;year&gt;2012&lt;/year&gt;&lt;pub-dates&gt;&lt;date&gt;Mar&lt;/date&gt;&lt;/pub-dates&gt;&lt;/dates&gt;&lt;isbn&gt;1873-2763 (Electronic)&amp;#xD;1873-2763 (Linking)&lt;/isbn&gt;&lt;accession-num&gt;22178539&lt;/accession-num&gt;&lt;urls&gt;&lt;/urls&gt;&lt;electronic-resource-num&gt;10.1016/j.bone.2011.11.028&lt;/electronic-resource-num&gt;&lt;remote-database-provider&gt;NLM&lt;/remote-database-provider&gt;&lt;language&gt;eng&lt;/language&gt;&lt;/record&gt;&lt;/Cite&gt;&lt;/EndNote&gt;</w:instrText>
      </w:r>
      <w:r w:rsidR="0076083C">
        <w:rPr>
          <w:rFonts w:ascii="Arial" w:hAnsi="Arial" w:cs="Arial"/>
        </w:rPr>
        <w:fldChar w:fldCharType="separate"/>
      </w:r>
      <w:r w:rsidR="000D155C">
        <w:rPr>
          <w:rFonts w:ascii="Arial" w:hAnsi="Arial" w:cs="Arial"/>
          <w:noProof/>
        </w:rPr>
        <w:t>(</w:t>
      </w:r>
      <w:hyperlink w:anchor="_ENREF_453" w:tooltip="Gatti, 2012 #504" w:history="1">
        <w:r w:rsidR="003B725E">
          <w:rPr>
            <w:rFonts w:ascii="Arial" w:hAnsi="Arial" w:cs="Arial"/>
            <w:noProof/>
          </w:rPr>
          <w:t>453</w:t>
        </w:r>
      </w:hyperlink>
      <w:r w:rsidR="000D155C">
        <w:rPr>
          <w:rFonts w:ascii="Arial" w:hAnsi="Arial" w:cs="Arial"/>
          <w:noProof/>
        </w:rPr>
        <w:t>)</w:t>
      </w:r>
      <w:r w:rsidR="0076083C">
        <w:rPr>
          <w:rFonts w:ascii="Arial" w:hAnsi="Arial" w:cs="Arial"/>
        </w:rPr>
        <w:fldChar w:fldCharType="end"/>
      </w:r>
      <w:r>
        <w:rPr>
          <w:rFonts w:ascii="Arial" w:hAnsi="Arial" w:cs="Arial"/>
        </w:rPr>
        <w:t xml:space="preserve">. The same group also demonstrated that postmenopausal women treated with a weekly injection of </w:t>
      </w:r>
      <w:r w:rsidR="003043B0">
        <w:rPr>
          <w:rFonts w:ascii="Arial" w:hAnsi="Arial" w:cs="Arial"/>
        </w:rPr>
        <w:t xml:space="preserve">100mg clodronate (a </w:t>
      </w:r>
      <w:r>
        <w:rPr>
          <w:rFonts w:ascii="Arial" w:hAnsi="Arial" w:cs="Arial"/>
        </w:rPr>
        <w:t>non-nitrogen containing bisphosphonate</w:t>
      </w:r>
      <w:r w:rsidR="003043B0">
        <w:rPr>
          <w:rFonts w:ascii="Arial" w:hAnsi="Arial" w:cs="Arial"/>
        </w:rPr>
        <w:t>)</w:t>
      </w:r>
      <w:r>
        <w:rPr>
          <w:rFonts w:ascii="Arial" w:hAnsi="Arial" w:cs="Arial"/>
        </w:rPr>
        <w:t xml:space="preserve"> </w:t>
      </w:r>
      <w:r w:rsidR="00B97A82">
        <w:rPr>
          <w:rFonts w:ascii="Arial" w:hAnsi="Arial" w:cs="Arial"/>
        </w:rPr>
        <w:t xml:space="preserve">significantly </w:t>
      </w:r>
      <w:r>
        <w:rPr>
          <w:rFonts w:ascii="Arial" w:hAnsi="Arial" w:cs="Arial"/>
        </w:rPr>
        <w:t xml:space="preserve">reduced BTMs and </w:t>
      </w:r>
      <w:r w:rsidR="00B97A82">
        <w:rPr>
          <w:rFonts w:ascii="Arial" w:hAnsi="Arial" w:cs="Arial"/>
        </w:rPr>
        <w:t>increased circulating levels of sclerostin after 12 months compared to placebo and baseline</w:t>
      </w:r>
      <w:r w:rsidR="0076083C">
        <w:rPr>
          <w:rFonts w:ascii="Arial" w:hAnsi="Arial" w:cs="Arial"/>
        </w:rPr>
        <w:t xml:space="preserve">, </w:t>
      </w:r>
      <w:r w:rsidR="0076083C">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6083C">
        <w:rPr>
          <w:rFonts w:ascii="Arial" w:hAnsi="Arial" w:cs="Arial"/>
        </w:rPr>
      </w:r>
      <w:r w:rsidR="0076083C">
        <w:rPr>
          <w:rFonts w:ascii="Arial" w:hAnsi="Arial" w:cs="Arial"/>
        </w:rPr>
        <w:fldChar w:fldCharType="separate"/>
      </w:r>
      <w:r w:rsidR="000D155C">
        <w:rPr>
          <w:rFonts w:ascii="Arial" w:hAnsi="Arial" w:cs="Arial"/>
          <w:noProof/>
        </w:rPr>
        <w:t>(</w:t>
      </w:r>
      <w:hyperlink w:anchor="_ENREF_454" w:tooltip="Gatti, 2014 #337" w:history="1">
        <w:r w:rsidR="003B725E">
          <w:rPr>
            <w:rFonts w:ascii="Arial" w:hAnsi="Arial" w:cs="Arial"/>
            <w:noProof/>
          </w:rPr>
          <w:t>454</w:t>
        </w:r>
      </w:hyperlink>
      <w:r w:rsidR="000D155C">
        <w:rPr>
          <w:rFonts w:ascii="Arial" w:hAnsi="Arial" w:cs="Arial"/>
          <w:noProof/>
        </w:rPr>
        <w:t>)</w:t>
      </w:r>
      <w:r w:rsidR="0076083C">
        <w:rPr>
          <w:rFonts w:ascii="Arial" w:hAnsi="Arial" w:cs="Arial"/>
        </w:rPr>
        <w:fldChar w:fldCharType="end"/>
      </w:r>
      <w:r w:rsidR="00685609">
        <w:rPr>
          <w:rFonts w:ascii="Arial" w:hAnsi="Arial" w:cs="Arial"/>
        </w:rPr>
        <w:t xml:space="preserve">. </w:t>
      </w:r>
      <w:r w:rsidR="00B97A82">
        <w:rPr>
          <w:rFonts w:ascii="Arial" w:hAnsi="Arial" w:cs="Arial"/>
        </w:rPr>
        <w:t xml:space="preserve">In contrast (and from a separate clinical trial) those women who received </w:t>
      </w:r>
      <w:r w:rsidR="003043B0">
        <w:rPr>
          <w:rFonts w:ascii="Arial" w:hAnsi="Arial" w:cs="Arial"/>
        </w:rPr>
        <w:t xml:space="preserve">a yearly injection of 5mg of zoledronate (a nitrogen containing bisphosphonate) had no effect on circulating levels of sclerostin </w:t>
      </w:r>
      <w:r w:rsidR="00C5301B">
        <w:rPr>
          <w:rFonts w:ascii="Arial" w:hAnsi="Arial" w:cs="Arial"/>
        </w:rPr>
        <w:t xml:space="preserve">after one month and </w:t>
      </w:r>
      <w:r w:rsidR="003043B0">
        <w:rPr>
          <w:rFonts w:ascii="Arial" w:hAnsi="Arial" w:cs="Arial"/>
        </w:rPr>
        <w:t>at any time point over 2 years</w:t>
      </w:r>
      <w:r w:rsidR="0076083C">
        <w:rPr>
          <w:rFonts w:ascii="Arial" w:hAnsi="Arial" w:cs="Arial"/>
        </w:rPr>
        <w:t xml:space="preserve">, </w:t>
      </w:r>
      <w:r w:rsidR="0076083C">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6083C">
        <w:rPr>
          <w:rFonts w:ascii="Arial" w:hAnsi="Arial" w:cs="Arial"/>
        </w:rPr>
      </w:r>
      <w:r w:rsidR="0076083C">
        <w:rPr>
          <w:rFonts w:ascii="Arial" w:hAnsi="Arial" w:cs="Arial"/>
        </w:rPr>
        <w:fldChar w:fldCharType="separate"/>
      </w:r>
      <w:r w:rsidR="000D155C">
        <w:rPr>
          <w:rFonts w:ascii="Arial" w:hAnsi="Arial" w:cs="Arial"/>
          <w:noProof/>
        </w:rPr>
        <w:t>(</w:t>
      </w:r>
      <w:hyperlink w:anchor="_ENREF_454" w:tooltip="Gatti, 2014 #337" w:history="1">
        <w:r w:rsidR="003B725E">
          <w:rPr>
            <w:rFonts w:ascii="Arial" w:hAnsi="Arial" w:cs="Arial"/>
            <w:noProof/>
          </w:rPr>
          <w:t>454</w:t>
        </w:r>
      </w:hyperlink>
      <w:r w:rsidR="000D155C">
        <w:rPr>
          <w:rFonts w:ascii="Arial" w:hAnsi="Arial" w:cs="Arial"/>
          <w:noProof/>
        </w:rPr>
        <w:t>)</w:t>
      </w:r>
      <w:r w:rsidR="0076083C">
        <w:rPr>
          <w:rFonts w:ascii="Arial" w:hAnsi="Arial" w:cs="Arial"/>
        </w:rPr>
        <w:fldChar w:fldCharType="end"/>
      </w:r>
      <w:r w:rsidR="0076083C">
        <w:rPr>
          <w:rFonts w:ascii="Arial" w:hAnsi="Arial" w:cs="Arial"/>
        </w:rPr>
        <w:t xml:space="preserve"> </w:t>
      </w:r>
      <w:r w:rsidR="003043B0">
        <w:rPr>
          <w:rFonts w:ascii="Arial" w:hAnsi="Arial" w:cs="Arial"/>
        </w:rPr>
        <w:t xml:space="preserve"> compared to placebo and baseline.</w:t>
      </w:r>
      <w:r w:rsidR="00C5301B">
        <w:rPr>
          <w:rFonts w:ascii="Arial" w:hAnsi="Arial" w:cs="Arial"/>
        </w:rPr>
        <w:t xml:space="preserve"> Furthermore another study has demonstrated that there was a short term increase (within 30 day</w:t>
      </w:r>
      <w:r w:rsidR="00144CB6">
        <w:rPr>
          <w:rFonts w:ascii="Arial" w:hAnsi="Arial" w:cs="Arial"/>
        </w:rPr>
        <w:t>s</w:t>
      </w:r>
      <w:r w:rsidR="00C5301B">
        <w:rPr>
          <w:rFonts w:ascii="Arial" w:hAnsi="Arial" w:cs="Arial"/>
        </w:rPr>
        <w:t>) of circulating levels of scleros</w:t>
      </w:r>
      <w:r w:rsidR="0076083C">
        <w:rPr>
          <w:rFonts w:ascii="Arial" w:hAnsi="Arial" w:cs="Arial"/>
        </w:rPr>
        <w:t xml:space="preserve">tin after zoledronate treatment, </w:t>
      </w:r>
      <w:r w:rsidR="0076083C">
        <w:rPr>
          <w:rFonts w:ascii="Arial" w:hAnsi="Arial" w:cs="Arial"/>
        </w:rPr>
        <w:fldChar w:fldCharType="begin">
          <w:fldData xml:space="preserve">PEVuZE5vdGU+PENpdGU+PEF1dGhvcj5DYXRhbGFubzwvQXV0aG9yPjxZZWFyPjIwMTM8L1llYXI+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PEVuZE5vdGU+PENpdGU+PEF1dGhvcj5DYXRhbGFubzwvQXV0aG9yPjxZZWFyPjIwMTM8L1llYXI+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6083C">
        <w:rPr>
          <w:rFonts w:ascii="Arial" w:hAnsi="Arial" w:cs="Arial"/>
        </w:rPr>
      </w:r>
      <w:r w:rsidR="0076083C">
        <w:rPr>
          <w:rFonts w:ascii="Arial" w:hAnsi="Arial" w:cs="Arial"/>
        </w:rPr>
        <w:fldChar w:fldCharType="separate"/>
      </w:r>
      <w:r w:rsidR="000D155C">
        <w:rPr>
          <w:rFonts w:ascii="Arial" w:hAnsi="Arial" w:cs="Arial"/>
          <w:noProof/>
        </w:rPr>
        <w:t>(</w:t>
      </w:r>
      <w:hyperlink w:anchor="_ENREF_455" w:tooltip="Catalano, 2013 #338" w:history="1">
        <w:r w:rsidR="003B725E">
          <w:rPr>
            <w:rFonts w:ascii="Arial" w:hAnsi="Arial" w:cs="Arial"/>
            <w:noProof/>
          </w:rPr>
          <w:t>455</w:t>
        </w:r>
      </w:hyperlink>
      <w:r w:rsidR="000D155C">
        <w:rPr>
          <w:rFonts w:ascii="Arial" w:hAnsi="Arial" w:cs="Arial"/>
          <w:noProof/>
        </w:rPr>
        <w:t>)</w:t>
      </w:r>
      <w:r w:rsidR="0076083C">
        <w:rPr>
          <w:rFonts w:ascii="Arial" w:hAnsi="Arial" w:cs="Arial"/>
        </w:rPr>
        <w:fldChar w:fldCharType="end"/>
      </w:r>
      <w:r w:rsidR="00C5301B">
        <w:rPr>
          <w:rFonts w:ascii="Arial" w:hAnsi="Arial" w:cs="Arial"/>
        </w:rPr>
        <w:t xml:space="preserve">. This may suggest that nitrogen containing bisphosphonates have a short term </w:t>
      </w:r>
      <w:r w:rsidR="000C709B">
        <w:rPr>
          <w:rFonts w:ascii="Arial" w:hAnsi="Arial" w:cs="Arial"/>
        </w:rPr>
        <w:t>rather than</w:t>
      </w:r>
      <w:r w:rsidR="00C5301B">
        <w:rPr>
          <w:rFonts w:ascii="Arial" w:hAnsi="Arial" w:cs="Arial"/>
        </w:rPr>
        <w:t xml:space="preserve"> a long term effect on sclerostin levels. </w:t>
      </w:r>
      <w:r w:rsidR="000C709B">
        <w:rPr>
          <w:rFonts w:ascii="Arial" w:hAnsi="Arial" w:cs="Arial"/>
        </w:rPr>
        <w:t>In contrast again, another study demonstrated a decrease in circulating levels of sclerost</w:t>
      </w:r>
      <w:r w:rsidR="0076083C">
        <w:rPr>
          <w:rFonts w:ascii="Arial" w:hAnsi="Arial" w:cs="Arial"/>
        </w:rPr>
        <w:t xml:space="preserve">in after a zoledronate infusion, </w:t>
      </w:r>
      <w:r w:rsidR="0076083C">
        <w:rPr>
          <w:rFonts w:ascii="Arial" w:hAnsi="Arial" w:cs="Arial"/>
        </w:rPr>
        <w:fldChar w:fldCharType="begin">
          <w:fldData xml:space="preserve">PEVuZE5vdGU+PENpdGU+PEF1dGhvcj5BbmFzdGFzaWxha2lzPC9BdXRob3I+PFllYXI+MjAxMzwv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PEVuZE5vdGU+PENpdGU+PEF1dGhvcj5BbmFzdGFzaWxha2lzPC9BdXRob3I+PFllYXI+MjAxMzwv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6083C">
        <w:rPr>
          <w:rFonts w:ascii="Arial" w:hAnsi="Arial" w:cs="Arial"/>
        </w:rPr>
      </w:r>
      <w:r w:rsidR="0076083C">
        <w:rPr>
          <w:rFonts w:ascii="Arial" w:hAnsi="Arial" w:cs="Arial"/>
        </w:rPr>
        <w:fldChar w:fldCharType="separate"/>
      </w:r>
      <w:r w:rsidR="000D155C">
        <w:rPr>
          <w:rFonts w:ascii="Arial" w:hAnsi="Arial" w:cs="Arial"/>
          <w:noProof/>
        </w:rPr>
        <w:t>(</w:t>
      </w:r>
      <w:hyperlink w:anchor="_ENREF_456" w:tooltip="Anastasilakis, 2013 #505" w:history="1">
        <w:r w:rsidR="003B725E">
          <w:rPr>
            <w:rFonts w:ascii="Arial" w:hAnsi="Arial" w:cs="Arial"/>
            <w:noProof/>
          </w:rPr>
          <w:t>456</w:t>
        </w:r>
      </w:hyperlink>
      <w:r w:rsidR="000D155C">
        <w:rPr>
          <w:rFonts w:ascii="Arial" w:hAnsi="Arial" w:cs="Arial"/>
          <w:noProof/>
        </w:rPr>
        <w:t>)</w:t>
      </w:r>
      <w:r w:rsidR="0076083C">
        <w:rPr>
          <w:rFonts w:ascii="Arial" w:hAnsi="Arial" w:cs="Arial"/>
        </w:rPr>
        <w:fldChar w:fldCharType="end"/>
      </w:r>
      <w:r w:rsidR="00BB6070">
        <w:rPr>
          <w:rFonts w:ascii="Arial" w:hAnsi="Arial" w:cs="Arial"/>
        </w:rPr>
        <w:t>.</w:t>
      </w:r>
      <w:r w:rsidR="009823A1">
        <w:rPr>
          <w:rFonts w:ascii="Arial" w:hAnsi="Arial" w:cs="Arial"/>
        </w:rPr>
        <w:t xml:space="preserve"> Apart</w:t>
      </w:r>
      <w:r w:rsidR="0017429E">
        <w:rPr>
          <w:rFonts w:ascii="Arial" w:hAnsi="Arial" w:cs="Arial"/>
        </w:rPr>
        <w:t xml:space="preserve"> from one study that demonstrated a significant increase in circulating levels of sclerostin after 6 months of risedronate treatment</w:t>
      </w:r>
      <w:r w:rsidR="0076083C">
        <w:rPr>
          <w:rFonts w:ascii="Arial" w:hAnsi="Arial" w:cs="Arial"/>
        </w:rPr>
        <w:t xml:space="preserve"> </w:t>
      </w:r>
      <w:r w:rsidR="0076083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76083C">
        <w:rPr>
          <w:rFonts w:ascii="Arial" w:hAnsi="Arial" w:cs="Arial"/>
        </w:rPr>
      </w:r>
      <w:r w:rsidR="0076083C">
        <w:rPr>
          <w:rFonts w:ascii="Arial" w:hAnsi="Arial" w:cs="Arial"/>
        </w:rPr>
        <w:fldChar w:fldCharType="separate"/>
      </w:r>
      <w:r w:rsidR="000D155C">
        <w:rPr>
          <w:rFonts w:ascii="Arial" w:hAnsi="Arial" w:cs="Arial"/>
          <w:noProof/>
        </w:rPr>
        <w:t>(</w:t>
      </w:r>
      <w:hyperlink w:anchor="_ENREF_457" w:tooltip="Polyzos, 2012 #252" w:history="1">
        <w:r w:rsidR="003B725E">
          <w:rPr>
            <w:rFonts w:ascii="Arial" w:hAnsi="Arial" w:cs="Arial"/>
            <w:noProof/>
          </w:rPr>
          <w:t>457</w:t>
        </w:r>
      </w:hyperlink>
      <w:r w:rsidR="000D155C">
        <w:rPr>
          <w:rFonts w:ascii="Arial" w:hAnsi="Arial" w:cs="Arial"/>
          <w:noProof/>
        </w:rPr>
        <w:t>)</w:t>
      </w:r>
      <w:r w:rsidR="0076083C">
        <w:rPr>
          <w:rFonts w:ascii="Arial" w:hAnsi="Arial" w:cs="Arial"/>
        </w:rPr>
        <w:fldChar w:fldCharType="end"/>
      </w:r>
      <w:r w:rsidR="00086129">
        <w:rPr>
          <w:rFonts w:ascii="Arial" w:hAnsi="Arial" w:cs="Arial"/>
        </w:rPr>
        <w:t>. H</w:t>
      </w:r>
      <w:r w:rsidR="0017429E">
        <w:rPr>
          <w:rFonts w:ascii="Arial" w:hAnsi="Arial" w:cs="Arial"/>
        </w:rPr>
        <w:t xml:space="preserve">ead-to-head clinical data </w:t>
      </w:r>
      <w:r w:rsidR="0017429E">
        <w:rPr>
          <w:rFonts w:ascii="Arial" w:hAnsi="Arial" w:cs="Arial"/>
        </w:rPr>
        <w:lastRenderedPageBreak/>
        <w:t xml:space="preserve">investigating the mechanism of action of </w:t>
      </w:r>
      <w:r w:rsidR="009823A1">
        <w:rPr>
          <w:rFonts w:ascii="Arial" w:hAnsi="Arial" w:cs="Arial"/>
        </w:rPr>
        <w:t xml:space="preserve">the licenced </w:t>
      </w:r>
      <w:r w:rsidR="0017429E">
        <w:rPr>
          <w:rFonts w:ascii="Arial" w:hAnsi="Arial" w:cs="Arial"/>
        </w:rPr>
        <w:t>nitrogen containing bisph</w:t>
      </w:r>
      <w:r w:rsidR="009823A1">
        <w:rPr>
          <w:rFonts w:ascii="Arial" w:hAnsi="Arial" w:cs="Arial"/>
        </w:rPr>
        <w:t>osphonates on sclerostin is limited.</w:t>
      </w:r>
      <w:r w:rsidR="00144CB6">
        <w:rPr>
          <w:rFonts w:ascii="Arial" w:hAnsi="Arial" w:cs="Arial"/>
        </w:rPr>
        <w:t xml:space="preserve"> I proposed to investigate whether these treatments have an effect on the osteocytes and circulating levels of sclerostin and whether it is this mechanism that mediates bone formation.</w:t>
      </w:r>
    </w:p>
    <w:p w:rsidR="001443C6" w:rsidRDefault="001443C6" w:rsidP="00900F2C">
      <w:pPr>
        <w:spacing w:line="360" w:lineRule="auto"/>
        <w:rPr>
          <w:rFonts w:ascii="Arial" w:hAnsi="Arial" w:cs="Arial"/>
        </w:rPr>
      </w:pPr>
    </w:p>
    <w:p w:rsidR="00BD3FDC" w:rsidRDefault="0071268F" w:rsidP="00900F2C">
      <w:pPr>
        <w:spacing w:line="360" w:lineRule="auto"/>
        <w:rPr>
          <w:rFonts w:ascii="Arial" w:hAnsi="Arial" w:cs="Arial"/>
        </w:rPr>
      </w:pPr>
      <w:r>
        <w:rPr>
          <w:noProof/>
          <w:lang w:eastAsia="zh-CN"/>
        </w:rPr>
        <mc:AlternateContent>
          <mc:Choice Requires="wps">
            <w:drawing>
              <wp:anchor distT="0" distB="0" distL="114300" distR="114300" simplePos="0" relativeHeight="250334720" behindDoc="0" locked="0" layoutInCell="1" allowOverlap="1" wp14:anchorId="5C1C176E" wp14:editId="3CBBD058">
                <wp:simplePos x="0" y="0"/>
                <wp:positionH relativeFrom="column">
                  <wp:posOffset>742950</wp:posOffset>
                </wp:positionH>
                <wp:positionV relativeFrom="paragraph">
                  <wp:posOffset>1831340</wp:posOffset>
                </wp:positionV>
                <wp:extent cx="4448810" cy="635"/>
                <wp:effectExtent l="0" t="0" r="0" b="0"/>
                <wp:wrapNone/>
                <wp:docPr id="18632" name="Text Box 18632"/>
                <wp:cNvGraphicFramePr/>
                <a:graphic xmlns:a="http://schemas.openxmlformats.org/drawingml/2006/main">
                  <a:graphicData uri="http://schemas.microsoft.com/office/word/2010/wordprocessingShape">
                    <wps:wsp>
                      <wps:cNvSpPr txBox="1"/>
                      <wps:spPr>
                        <a:xfrm>
                          <a:off x="0" y="0"/>
                          <a:ext cx="4448810" cy="635"/>
                        </a:xfrm>
                        <a:prstGeom prst="rect">
                          <a:avLst/>
                        </a:prstGeom>
                        <a:solidFill>
                          <a:prstClr val="white"/>
                        </a:solidFill>
                        <a:ln>
                          <a:noFill/>
                        </a:ln>
                        <a:effectLst/>
                      </wps:spPr>
                      <wps:txbx>
                        <w:txbxContent>
                          <w:p w:rsidR="004166BC" w:rsidRPr="00381A7E" w:rsidRDefault="004166BC" w:rsidP="00844C20">
                            <w:pPr>
                              <w:pStyle w:val="Caption"/>
                              <w:jc w:val="both"/>
                              <w:rPr>
                                <w:rFonts w:ascii="Arial" w:hAnsi="Arial" w:cs="Arial"/>
                                <w:b w:val="0"/>
                                <w:noProof/>
                                <w:color w:val="auto"/>
                              </w:rPr>
                            </w:pPr>
                            <w:bookmarkStart w:id="184" w:name="_Toc422736092"/>
                            <w:bookmarkStart w:id="185" w:name="_Toc422736200"/>
                            <w:bookmarkStart w:id="186" w:name="_Toc425419534"/>
                            <w:r w:rsidRPr="00381A7E">
                              <w:rPr>
                                <w:rFonts w:ascii="Arial" w:hAnsi="Arial" w:cs="Arial"/>
                                <w:b w:val="0"/>
                                <w:color w:val="auto"/>
                              </w:rPr>
                              <w:t xml:space="preserve">Figure </w:t>
                            </w:r>
                            <w:r w:rsidRPr="00381A7E">
                              <w:rPr>
                                <w:rFonts w:ascii="Arial" w:hAnsi="Arial" w:cs="Arial"/>
                                <w:b w:val="0"/>
                                <w:color w:val="auto"/>
                              </w:rPr>
                              <w:fldChar w:fldCharType="begin"/>
                            </w:r>
                            <w:r w:rsidRPr="00381A7E">
                              <w:rPr>
                                <w:rFonts w:ascii="Arial" w:hAnsi="Arial" w:cs="Arial"/>
                                <w:b w:val="0"/>
                                <w:color w:val="auto"/>
                              </w:rPr>
                              <w:instrText xml:space="preserve"> SEQ Figure \* ARABIC </w:instrText>
                            </w:r>
                            <w:r w:rsidRPr="00381A7E">
                              <w:rPr>
                                <w:rFonts w:ascii="Arial" w:hAnsi="Arial" w:cs="Arial"/>
                                <w:b w:val="0"/>
                                <w:color w:val="auto"/>
                              </w:rPr>
                              <w:fldChar w:fldCharType="separate"/>
                            </w:r>
                            <w:r>
                              <w:rPr>
                                <w:rFonts w:ascii="Arial" w:hAnsi="Arial" w:cs="Arial"/>
                                <w:b w:val="0"/>
                                <w:noProof/>
                                <w:color w:val="auto"/>
                              </w:rPr>
                              <w:t>45</w:t>
                            </w:r>
                            <w:r w:rsidRPr="00381A7E">
                              <w:rPr>
                                <w:rFonts w:ascii="Arial" w:hAnsi="Arial" w:cs="Arial"/>
                                <w:b w:val="0"/>
                                <w:noProof/>
                                <w:color w:val="auto"/>
                              </w:rPr>
                              <w:fldChar w:fldCharType="end"/>
                            </w:r>
                            <w:r w:rsidRPr="00381A7E">
                              <w:rPr>
                                <w:rFonts w:ascii="Arial" w:hAnsi="Arial" w:cs="Arial"/>
                                <w:b w:val="0"/>
                                <w:noProof/>
                                <w:color w:val="auto"/>
                              </w:rPr>
                              <w:t xml:space="preserve">: A possible mechanism of </w:t>
                            </w:r>
                            <w:r>
                              <w:rPr>
                                <w:rFonts w:ascii="Arial" w:hAnsi="Arial" w:cs="Arial"/>
                                <w:b w:val="0"/>
                                <w:noProof/>
                                <w:color w:val="auto"/>
                              </w:rPr>
                              <w:t xml:space="preserve">the </w:t>
                            </w:r>
                            <w:r w:rsidRPr="00381A7E">
                              <w:rPr>
                                <w:rFonts w:ascii="Arial" w:hAnsi="Arial" w:cs="Arial"/>
                                <w:b w:val="0"/>
                                <w:noProof/>
                                <w:color w:val="auto"/>
                              </w:rPr>
                              <w:t xml:space="preserve">action of nitrogen containing bisphosphonates </w:t>
                            </w:r>
                            <w:r>
                              <w:rPr>
                                <w:rFonts w:ascii="Arial" w:hAnsi="Arial" w:cs="Arial"/>
                                <w:b w:val="0"/>
                                <w:noProof/>
                                <w:color w:val="auto"/>
                              </w:rPr>
                              <w:t>on bone formation</w:t>
                            </w:r>
                            <w:r w:rsidRPr="00381A7E">
                              <w:rPr>
                                <w:rFonts w:ascii="Arial" w:hAnsi="Arial" w:cs="Arial"/>
                                <w:b w:val="0"/>
                                <w:noProof/>
                                <w:color w:val="auto"/>
                              </w:rPr>
                              <w:t>. Bisphosphonate</w:t>
                            </w:r>
                            <w:r>
                              <w:rPr>
                                <w:rFonts w:ascii="Arial" w:hAnsi="Arial" w:cs="Arial"/>
                                <w:b w:val="0"/>
                                <w:noProof/>
                                <w:color w:val="auto"/>
                              </w:rPr>
                              <w:t xml:space="preserve">s may affect </w:t>
                            </w:r>
                            <w:r w:rsidRPr="00381A7E">
                              <w:rPr>
                                <w:rFonts w:ascii="Arial" w:hAnsi="Arial" w:cs="Arial"/>
                                <w:b w:val="0"/>
                                <w:noProof/>
                                <w:color w:val="auto"/>
                              </w:rPr>
                              <w:t>sclerostin production by the osteocytes a</w:t>
                            </w:r>
                            <w:r>
                              <w:rPr>
                                <w:rFonts w:ascii="Arial" w:hAnsi="Arial" w:cs="Arial"/>
                                <w:b w:val="0"/>
                                <w:noProof/>
                                <w:color w:val="auto"/>
                              </w:rPr>
                              <w:t>nd thus mediating</w:t>
                            </w:r>
                            <w:r w:rsidRPr="00381A7E">
                              <w:rPr>
                                <w:rFonts w:ascii="Arial" w:hAnsi="Arial" w:cs="Arial"/>
                                <w:b w:val="0"/>
                                <w:noProof/>
                                <w:color w:val="auto"/>
                              </w:rPr>
                              <w:t xml:space="preserve"> the lesser suppression of bone formation compared to bone resorption.</w:t>
                            </w:r>
                            <w:bookmarkEnd w:id="184"/>
                            <w:bookmarkEnd w:id="185"/>
                            <w:bookmarkEnd w:id="186"/>
                            <w:r w:rsidRPr="00381A7E">
                              <w:rPr>
                                <w:rFonts w:ascii="Arial" w:hAnsi="Arial" w:cs="Arial"/>
                                <w:b w:val="0"/>
                                <w:noProof/>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1C176E" id="Text Box 18632" o:spid="_x0000_s1153" type="#_x0000_t202" style="position:absolute;margin-left:58.5pt;margin-top:144.2pt;width:350.3pt;height:.05pt;z-index:2503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" stroked="f">
                <v:textbox style="mso-fit-shape-to-text:t" inset="0,0,0,0">
                  <w:txbxContent>
                    <w:p w:rsidR="004166BC" w:rsidRPr="00381A7E" w:rsidRDefault="004166BC" w:rsidP="00844C20">
                      <w:pPr>
                        <w:pStyle w:val="Caption"/>
                        <w:jc w:val="both"/>
                        <w:rPr>
                          <w:rFonts w:ascii="Arial" w:hAnsi="Arial" w:cs="Arial"/>
                          <w:b w:val="0"/>
                          <w:noProof/>
                          <w:color w:val="auto"/>
                        </w:rPr>
                      </w:pPr>
                      <w:bookmarkStart w:id="241" w:name="_Toc422736092"/>
                      <w:bookmarkStart w:id="242" w:name="_Toc422736200"/>
                      <w:bookmarkStart w:id="243" w:name="_Toc425419534"/>
                      <w:r w:rsidRPr="00381A7E">
                        <w:rPr>
                          <w:rFonts w:ascii="Arial" w:hAnsi="Arial" w:cs="Arial"/>
                          <w:b w:val="0"/>
                          <w:color w:val="auto"/>
                        </w:rPr>
                        <w:t xml:space="preserve">Figure </w:t>
                      </w:r>
                      <w:r w:rsidRPr="00381A7E">
                        <w:rPr>
                          <w:rFonts w:ascii="Arial" w:hAnsi="Arial" w:cs="Arial"/>
                          <w:b w:val="0"/>
                          <w:color w:val="auto"/>
                        </w:rPr>
                        <w:fldChar w:fldCharType="begin"/>
                      </w:r>
                      <w:r w:rsidRPr="00381A7E">
                        <w:rPr>
                          <w:rFonts w:ascii="Arial" w:hAnsi="Arial" w:cs="Arial"/>
                          <w:b w:val="0"/>
                          <w:color w:val="auto"/>
                        </w:rPr>
                        <w:instrText xml:space="preserve"> SEQ Figure \* ARABIC </w:instrText>
                      </w:r>
                      <w:r w:rsidRPr="00381A7E">
                        <w:rPr>
                          <w:rFonts w:ascii="Arial" w:hAnsi="Arial" w:cs="Arial"/>
                          <w:b w:val="0"/>
                          <w:color w:val="auto"/>
                        </w:rPr>
                        <w:fldChar w:fldCharType="separate"/>
                      </w:r>
                      <w:r>
                        <w:rPr>
                          <w:rFonts w:ascii="Arial" w:hAnsi="Arial" w:cs="Arial"/>
                          <w:b w:val="0"/>
                          <w:noProof/>
                          <w:color w:val="auto"/>
                        </w:rPr>
                        <w:t>45</w:t>
                      </w:r>
                      <w:r w:rsidRPr="00381A7E">
                        <w:rPr>
                          <w:rFonts w:ascii="Arial" w:hAnsi="Arial" w:cs="Arial"/>
                          <w:b w:val="0"/>
                          <w:noProof/>
                          <w:color w:val="auto"/>
                        </w:rPr>
                        <w:fldChar w:fldCharType="end"/>
                      </w:r>
                      <w:r w:rsidRPr="00381A7E">
                        <w:rPr>
                          <w:rFonts w:ascii="Arial" w:hAnsi="Arial" w:cs="Arial"/>
                          <w:b w:val="0"/>
                          <w:noProof/>
                          <w:color w:val="auto"/>
                        </w:rPr>
                        <w:t xml:space="preserve">: A possible mechanism of </w:t>
                      </w:r>
                      <w:r>
                        <w:rPr>
                          <w:rFonts w:ascii="Arial" w:hAnsi="Arial" w:cs="Arial"/>
                          <w:b w:val="0"/>
                          <w:noProof/>
                          <w:color w:val="auto"/>
                        </w:rPr>
                        <w:t xml:space="preserve">the </w:t>
                      </w:r>
                      <w:r w:rsidRPr="00381A7E">
                        <w:rPr>
                          <w:rFonts w:ascii="Arial" w:hAnsi="Arial" w:cs="Arial"/>
                          <w:b w:val="0"/>
                          <w:noProof/>
                          <w:color w:val="auto"/>
                        </w:rPr>
                        <w:t xml:space="preserve">action of nitrogen containing bisphosphonates </w:t>
                      </w:r>
                      <w:r>
                        <w:rPr>
                          <w:rFonts w:ascii="Arial" w:hAnsi="Arial" w:cs="Arial"/>
                          <w:b w:val="0"/>
                          <w:noProof/>
                          <w:color w:val="auto"/>
                        </w:rPr>
                        <w:t>on bone formation</w:t>
                      </w:r>
                      <w:r w:rsidRPr="00381A7E">
                        <w:rPr>
                          <w:rFonts w:ascii="Arial" w:hAnsi="Arial" w:cs="Arial"/>
                          <w:b w:val="0"/>
                          <w:noProof/>
                          <w:color w:val="auto"/>
                        </w:rPr>
                        <w:t>. Bisphosphonate</w:t>
                      </w:r>
                      <w:r>
                        <w:rPr>
                          <w:rFonts w:ascii="Arial" w:hAnsi="Arial" w:cs="Arial"/>
                          <w:b w:val="0"/>
                          <w:noProof/>
                          <w:color w:val="auto"/>
                        </w:rPr>
                        <w:t xml:space="preserve">s may affect </w:t>
                      </w:r>
                      <w:r w:rsidRPr="00381A7E">
                        <w:rPr>
                          <w:rFonts w:ascii="Arial" w:hAnsi="Arial" w:cs="Arial"/>
                          <w:b w:val="0"/>
                          <w:noProof/>
                          <w:color w:val="auto"/>
                        </w:rPr>
                        <w:t>sclerostin production by the osteocytes a</w:t>
                      </w:r>
                      <w:r>
                        <w:rPr>
                          <w:rFonts w:ascii="Arial" w:hAnsi="Arial" w:cs="Arial"/>
                          <w:b w:val="0"/>
                          <w:noProof/>
                          <w:color w:val="auto"/>
                        </w:rPr>
                        <w:t>nd thus mediating</w:t>
                      </w:r>
                      <w:r w:rsidRPr="00381A7E">
                        <w:rPr>
                          <w:rFonts w:ascii="Arial" w:hAnsi="Arial" w:cs="Arial"/>
                          <w:b w:val="0"/>
                          <w:noProof/>
                          <w:color w:val="auto"/>
                        </w:rPr>
                        <w:t xml:space="preserve"> the lesser suppression of bone formation compared to bone resorption.</w:t>
                      </w:r>
                      <w:bookmarkEnd w:id="241"/>
                      <w:bookmarkEnd w:id="242"/>
                      <w:bookmarkEnd w:id="243"/>
                      <w:r w:rsidRPr="00381A7E">
                        <w:rPr>
                          <w:rFonts w:ascii="Arial" w:hAnsi="Arial" w:cs="Arial"/>
                          <w:b w:val="0"/>
                          <w:noProof/>
                          <w:color w:val="auto"/>
                        </w:rPr>
                        <w:t xml:space="preserve">  </w:t>
                      </w:r>
                    </w:p>
                  </w:txbxContent>
                </v:textbox>
              </v:shape>
            </w:pict>
          </mc:Fallback>
        </mc:AlternateContent>
      </w:r>
      <w:r>
        <w:rPr>
          <w:rFonts w:ascii="Arial" w:hAnsi="Arial" w:cs="Arial"/>
          <w:noProof/>
          <w:lang w:eastAsia="zh-CN"/>
        </w:rPr>
        <mc:AlternateContent>
          <mc:Choice Requires="wps">
            <w:drawing>
              <wp:anchor distT="0" distB="0" distL="114300" distR="114300" simplePos="0" relativeHeight="250464768" behindDoc="0" locked="0" layoutInCell="1" allowOverlap="1" wp14:anchorId="0C34A3B4" wp14:editId="5A78DACC">
                <wp:simplePos x="0" y="0"/>
                <wp:positionH relativeFrom="column">
                  <wp:posOffset>742950</wp:posOffset>
                </wp:positionH>
                <wp:positionV relativeFrom="paragraph">
                  <wp:posOffset>-235585</wp:posOffset>
                </wp:positionV>
                <wp:extent cx="4448810" cy="2009775"/>
                <wp:effectExtent l="0" t="0" r="27940" b="28575"/>
                <wp:wrapNone/>
                <wp:docPr id="18631" name="Rectangle 18631"/>
                <wp:cNvGraphicFramePr/>
                <a:graphic xmlns:a="http://schemas.openxmlformats.org/drawingml/2006/main">
                  <a:graphicData uri="http://schemas.microsoft.com/office/word/2010/wordprocessingShape">
                    <wps:wsp>
                      <wps:cNvSpPr/>
                      <wps:spPr>
                        <a:xfrm>
                          <a:off x="0" y="0"/>
                          <a:ext cx="4448810" cy="20097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166BC" w:rsidRDefault="004166BC" w:rsidP="0017429E">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34A3B4" id="Rectangle 18631" o:spid="_x0000_s1154" style="position:absolute;margin-left:58.5pt;margin-top:-18.55pt;width:350.3pt;height:158.25pt;z-index:2504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" filled="f" strokecolor="black [3213]">
                <v:textbox>
                  <w:txbxContent>
                    <w:p w:rsidR="004166BC" w:rsidRDefault="004166BC" w:rsidP="0017429E">
                      <w:pPr>
                        <w:jc w:val="center"/>
                      </w:pPr>
                      <w:r>
                        <w:t>-</w:t>
                      </w:r>
                    </w:p>
                  </w:txbxContent>
                </v:textbox>
              </v:rect>
            </w:pict>
          </mc:Fallback>
        </mc:AlternateContent>
      </w:r>
      <w:r>
        <w:rPr>
          <w:rFonts w:ascii="Arial" w:hAnsi="Arial" w:cs="Arial"/>
          <w:noProof/>
          <w:lang w:eastAsia="zh-CN"/>
        </w:rPr>
        <w:drawing>
          <wp:anchor distT="0" distB="0" distL="114300" distR="114300" simplePos="0" relativeHeight="250445312" behindDoc="0" locked="0" layoutInCell="1" allowOverlap="1" wp14:anchorId="696EBCF7" wp14:editId="58544F68">
            <wp:simplePos x="0" y="0"/>
            <wp:positionH relativeFrom="column">
              <wp:posOffset>752475</wp:posOffset>
            </wp:positionH>
            <wp:positionV relativeFrom="paragraph">
              <wp:posOffset>-133350</wp:posOffset>
            </wp:positionV>
            <wp:extent cx="4410075" cy="1824858"/>
            <wp:effectExtent l="0" t="0" r="0" b="4445"/>
            <wp:wrapSquare wrapText="bothSides"/>
            <wp:docPr id="18630" name="Picture 1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410075" cy="1824858"/>
                    </a:xfrm>
                    <a:prstGeom prst="rect">
                      <a:avLst/>
                    </a:prstGeom>
                    <a:noFill/>
                  </pic:spPr>
                </pic:pic>
              </a:graphicData>
            </a:graphic>
          </wp:anchor>
        </w:drawing>
      </w:r>
      <w:r w:rsidR="004E6C75">
        <w:rPr>
          <w:rFonts w:ascii="Arial" w:hAnsi="Arial" w:cs="Arial"/>
        </w:rPr>
        <w:t xml:space="preserve"> </w:t>
      </w:r>
    </w:p>
    <w:p w:rsidR="00144CB6" w:rsidRDefault="00144CB6" w:rsidP="00900F2C">
      <w:pPr>
        <w:spacing w:line="360" w:lineRule="auto"/>
        <w:rPr>
          <w:rFonts w:ascii="Arial" w:hAnsi="Arial" w:cs="Arial"/>
        </w:rPr>
      </w:pPr>
    </w:p>
    <w:p w:rsidR="00144CB6" w:rsidRDefault="00144CB6" w:rsidP="00900F2C">
      <w:pPr>
        <w:spacing w:line="360" w:lineRule="auto"/>
        <w:rPr>
          <w:rFonts w:ascii="Arial" w:hAnsi="Arial" w:cs="Arial"/>
        </w:rPr>
      </w:pPr>
    </w:p>
    <w:p w:rsidR="000178EA" w:rsidRDefault="000178EA" w:rsidP="00900F2C">
      <w:pPr>
        <w:spacing w:before="240" w:line="360" w:lineRule="auto"/>
        <w:rPr>
          <w:rFonts w:ascii="Arial" w:hAnsi="Arial" w:cs="Arial"/>
        </w:rPr>
      </w:pPr>
    </w:p>
    <w:p w:rsidR="000178EA" w:rsidRDefault="000178EA" w:rsidP="00900F2C">
      <w:pPr>
        <w:spacing w:before="240" w:line="360" w:lineRule="auto"/>
        <w:rPr>
          <w:rFonts w:ascii="Arial" w:hAnsi="Arial" w:cs="Arial"/>
        </w:rPr>
      </w:pPr>
    </w:p>
    <w:p w:rsidR="000178EA" w:rsidRDefault="000178EA" w:rsidP="00900F2C">
      <w:pPr>
        <w:spacing w:before="240" w:line="360" w:lineRule="auto"/>
        <w:rPr>
          <w:rFonts w:ascii="Arial" w:hAnsi="Arial" w:cs="Arial"/>
        </w:rPr>
      </w:pPr>
    </w:p>
    <w:p w:rsidR="00572A36" w:rsidRDefault="00572A36" w:rsidP="00844C20">
      <w:pPr>
        <w:spacing w:before="240" w:line="360" w:lineRule="auto"/>
        <w:jc w:val="both"/>
        <w:rPr>
          <w:rFonts w:ascii="Arial" w:hAnsi="Arial" w:cs="Arial"/>
        </w:rPr>
      </w:pPr>
    </w:p>
    <w:p w:rsidR="007C0BC9" w:rsidRDefault="0009175B" w:rsidP="00844C20">
      <w:pPr>
        <w:spacing w:before="240" w:line="360" w:lineRule="auto"/>
        <w:jc w:val="both"/>
        <w:rPr>
          <w:rFonts w:ascii="Arial" w:hAnsi="Arial" w:cs="Arial"/>
        </w:rPr>
      </w:pPr>
      <w:r w:rsidRPr="00C02DB7">
        <w:rPr>
          <w:rFonts w:ascii="Arial" w:hAnsi="Arial" w:cs="Arial"/>
        </w:rPr>
        <w:t>The aims of this study were to investigate the effect of ibandronate, alendronate and risedronate on i) osteoclast precursor cells</w:t>
      </w:r>
      <w:r w:rsidR="009E673B">
        <w:rPr>
          <w:rFonts w:ascii="Arial" w:hAnsi="Arial" w:cs="Arial"/>
        </w:rPr>
        <w:t xml:space="preserve"> and circulating cytokines</w:t>
      </w:r>
      <w:r w:rsidR="007C0BC9" w:rsidRPr="00C02DB7">
        <w:rPr>
          <w:rFonts w:ascii="Arial" w:hAnsi="Arial" w:cs="Arial"/>
        </w:rPr>
        <w:t xml:space="preserve"> ii) bone balance and bone turnover</w:t>
      </w:r>
      <w:r w:rsidRPr="00C02DB7">
        <w:rPr>
          <w:rFonts w:ascii="Arial" w:hAnsi="Arial" w:cs="Arial"/>
        </w:rPr>
        <w:t xml:space="preserve"> </w:t>
      </w:r>
      <w:r w:rsidR="00060552">
        <w:rPr>
          <w:rFonts w:ascii="Arial" w:hAnsi="Arial" w:cs="Arial"/>
        </w:rPr>
        <w:t>using the T</w:t>
      </w:r>
      <w:r w:rsidR="008013D7">
        <w:rPr>
          <w:rFonts w:ascii="Arial" w:hAnsi="Arial" w:cs="Arial"/>
        </w:rPr>
        <w:t xml:space="preserve">-score bone marker method and plot </w:t>
      </w:r>
      <w:r w:rsidR="008B76A9" w:rsidRPr="00C02DB7">
        <w:rPr>
          <w:rFonts w:ascii="Arial" w:hAnsi="Arial" w:cs="Arial"/>
        </w:rPr>
        <w:t xml:space="preserve">and </w:t>
      </w:r>
      <w:r w:rsidR="001B6906">
        <w:rPr>
          <w:rFonts w:ascii="Arial" w:hAnsi="Arial" w:cs="Arial"/>
        </w:rPr>
        <w:t xml:space="preserve">iii) </w:t>
      </w:r>
      <w:r w:rsidR="002C64B2">
        <w:rPr>
          <w:rFonts w:ascii="Arial" w:hAnsi="Arial" w:cs="Arial"/>
        </w:rPr>
        <w:t>levels of circulating sclerostin</w:t>
      </w:r>
      <w:r w:rsidR="008B76A9" w:rsidRPr="00C02DB7">
        <w:rPr>
          <w:rFonts w:ascii="Arial" w:hAnsi="Arial" w:cs="Arial"/>
        </w:rPr>
        <w:t xml:space="preserve"> in postmenopausal women</w:t>
      </w:r>
      <w:r w:rsidRPr="00C02DB7">
        <w:rPr>
          <w:rFonts w:ascii="Arial" w:hAnsi="Arial" w:cs="Arial"/>
        </w:rPr>
        <w:t xml:space="preserve"> with osteoporosis </w:t>
      </w:r>
      <w:r w:rsidR="001B6906">
        <w:rPr>
          <w:rFonts w:ascii="Arial" w:hAnsi="Arial" w:cs="Arial"/>
        </w:rPr>
        <w:t>and</w:t>
      </w:r>
      <w:r w:rsidR="007C0BC9" w:rsidRPr="00C02DB7">
        <w:rPr>
          <w:rFonts w:ascii="Arial" w:hAnsi="Arial" w:cs="Arial"/>
        </w:rPr>
        <w:t xml:space="preserve"> premenopausal women.</w:t>
      </w:r>
    </w:p>
    <w:p w:rsidR="00685609" w:rsidRDefault="00685609" w:rsidP="00844C20">
      <w:pPr>
        <w:spacing w:before="240" w:line="360" w:lineRule="auto"/>
        <w:jc w:val="both"/>
        <w:rPr>
          <w:rFonts w:ascii="Arial" w:hAnsi="Arial" w:cs="Arial"/>
        </w:rPr>
      </w:pPr>
    </w:p>
    <w:p w:rsidR="00685609" w:rsidRDefault="00685609" w:rsidP="00844C20">
      <w:pPr>
        <w:spacing w:before="240" w:line="360" w:lineRule="auto"/>
        <w:jc w:val="both"/>
        <w:rPr>
          <w:rFonts w:ascii="Arial" w:hAnsi="Arial" w:cs="Arial"/>
        </w:rPr>
      </w:pPr>
    </w:p>
    <w:p w:rsidR="00685609" w:rsidRDefault="00685609" w:rsidP="00844C20">
      <w:pPr>
        <w:spacing w:before="240" w:line="360" w:lineRule="auto"/>
        <w:jc w:val="both"/>
        <w:rPr>
          <w:rFonts w:ascii="Arial" w:hAnsi="Arial" w:cs="Arial"/>
        </w:rPr>
      </w:pPr>
    </w:p>
    <w:p w:rsidR="00066E61" w:rsidRPr="00C02DB7" w:rsidRDefault="00066E61" w:rsidP="00844C20">
      <w:pPr>
        <w:spacing w:before="240" w:line="360" w:lineRule="auto"/>
        <w:jc w:val="both"/>
        <w:rPr>
          <w:rFonts w:ascii="Arial" w:hAnsi="Arial" w:cs="Arial"/>
        </w:rPr>
      </w:pPr>
    </w:p>
    <w:p w:rsidR="007C0BC9" w:rsidRPr="00C02DB7" w:rsidRDefault="00C02DB7" w:rsidP="00844C20">
      <w:pPr>
        <w:jc w:val="both"/>
        <w:rPr>
          <w:rFonts w:ascii="Arial" w:hAnsi="Arial" w:cs="Arial"/>
        </w:rPr>
      </w:pPr>
      <w:r w:rsidRPr="00C02DB7">
        <w:rPr>
          <w:rFonts w:ascii="Arial" w:hAnsi="Arial" w:cs="Arial"/>
        </w:rPr>
        <w:t>The h</w:t>
      </w:r>
      <w:r w:rsidR="007C0BC9" w:rsidRPr="00C02DB7">
        <w:rPr>
          <w:rFonts w:ascii="Arial" w:hAnsi="Arial" w:cs="Arial"/>
        </w:rPr>
        <w:t>ypotheses</w:t>
      </w:r>
      <w:r w:rsidRPr="00C02DB7">
        <w:rPr>
          <w:rFonts w:ascii="Arial" w:hAnsi="Arial" w:cs="Arial"/>
        </w:rPr>
        <w:t xml:space="preserve"> were</w:t>
      </w:r>
      <w:r w:rsidR="007C0BC9" w:rsidRPr="00C02DB7">
        <w:rPr>
          <w:rFonts w:ascii="Arial" w:hAnsi="Arial" w:cs="Arial"/>
        </w:rPr>
        <w:t>:</w:t>
      </w:r>
    </w:p>
    <w:p w:rsidR="007C0BC9" w:rsidRPr="00C02DB7" w:rsidRDefault="007C0BC9" w:rsidP="00844C20">
      <w:pPr>
        <w:pStyle w:val="ListParagraph"/>
        <w:numPr>
          <w:ilvl w:val="1"/>
          <w:numId w:val="37"/>
        </w:numPr>
        <w:spacing w:line="360" w:lineRule="auto"/>
        <w:ind w:left="1797"/>
        <w:jc w:val="both"/>
        <w:rPr>
          <w:rFonts w:ascii="Arial" w:hAnsi="Arial" w:cs="Arial"/>
        </w:rPr>
      </w:pPr>
      <w:r w:rsidRPr="00C02DB7">
        <w:rPr>
          <w:rFonts w:ascii="Arial" w:hAnsi="Arial" w:cs="Arial"/>
        </w:rPr>
        <w:t>Ibandronate, alendronate and risedronate red</w:t>
      </w:r>
      <w:r w:rsidR="004611E8">
        <w:rPr>
          <w:rFonts w:ascii="Arial" w:hAnsi="Arial" w:cs="Arial"/>
        </w:rPr>
        <w:t>uce</w:t>
      </w:r>
      <w:r w:rsidRPr="00C02DB7">
        <w:rPr>
          <w:rFonts w:ascii="Arial" w:hAnsi="Arial" w:cs="Arial"/>
        </w:rPr>
        <w:t xml:space="preserve"> the population of osteoclast precursor cells</w:t>
      </w:r>
      <w:r w:rsidR="00D42C92">
        <w:rPr>
          <w:rFonts w:ascii="Arial" w:hAnsi="Arial" w:cs="Arial"/>
        </w:rPr>
        <w:t xml:space="preserve"> and circulating levels of RANKL</w:t>
      </w:r>
      <w:r w:rsidRPr="00C02DB7">
        <w:rPr>
          <w:rFonts w:ascii="Arial" w:hAnsi="Arial" w:cs="Arial"/>
        </w:rPr>
        <w:t>.</w:t>
      </w:r>
    </w:p>
    <w:p w:rsidR="007C0BC9" w:rsidRPr="00C02DB7" w:rsidRDefault="007C0BC9" w:rsidP="00844C20">
      <w:pPr>
        <w:pStyle w:val="ListParagraph"/>
        <w:numPr>
          <w:ilvl w:val="1"/>
          <w:numId w:val="37"/>
        </w:numPr>
        <w:spacing w:line="360" w:lineRule="auto"/>
        <w:ind w:left="1797"/>
        <w:jc w:val="both"/>
        <w:rPr>
          <w:rFonts w:ascii="Arial" w:hAnsi="Arial" w:cs="Arial"/>
        </w:rPr>
      </w:pPr>
      <w:r w:rsidRPr="00C02DB7">
        <w:rPr>
          <w:rFonts w:ascii="Arial" w:hAnsi="Arial" w:cs="Arial"/>
        </w:rPr>
        <w:t>Ibandronate, alen</w:t>
      </w:r>
      <w:r w:rsidR="000E5215">
        <w:rPr>
          <w:rFonts w:ascii="Arial" w:hAnsi="Arial" w:cs="Arial"/>
        </w:rPr>
        <w:t>dronate and risedronate reduce</w:t>
      </w:r>
      <w:r w:rsidRPr="00C02DB7">
        <w:rPr>
          <w:rFonts w:ascii="Arial" w:hAnsi="Arial" w:cs="Arial"/>
        </w:rPr>
        <w:t xml:space="preserve"> bone turnover and </w:t>
      </w:r>
      <w:r w:rsidR="000E5215">
        <w:rPr>
          <w:rFonts w:ascii="Arial" w:hAnsi="Arial" w:cs="Arial"/>
        </w:rPr>
        <w:t xml:space="preserve">make </w:t>
      </w:r>
      <w:r w:rsidRPr="00C02DB7">
        <w:rPr>
          <w:rFonts w:ascii="Arial" w:hAnsi="Arial" w:cs="Arial"/>
        </w:rPr>
        <w:t>b</w:t>
      </w:r>
      <w:r w:rsidR="000367DC">
        <w:rPr>
          <w:rFonts w:ascii="Arial" w:hAnsi="Arial" w:cs="Arial"/>
        </w:rPr>
        <w:t>one balance</w:t>
      </w:r>
      <w:r w:rsidR="000E5215">
        <w:rPr>
          <w:rFonts w:ascii="Arial" w:hAnsi="Arial" w:cs="Arial"/>
        </w:rPr>
        <w:t xml:space="preserve"> </w:t>
      </w:r>
      <w:r w:rsidR="008013D7">
        <w:rPr>
          <w:rFonts w:ascii="Arial" w:hAnsi="Arial" w:cs="Arial"/>
        </w:rPr>
        <w:t>more positive at the end of treatment compared to baseline</w:t>
      </w:r>
      <w:r w:rsidR="001B6906">
        <w:rPr>
          <w:rFonts w:ascii="Arial" w:hAnsi="Arial" w:cs="Arial"/>
        </w:rPr>
        <w:t xml:space="preserve"> and </w:t>
      </w:r>
      <w:r w:rsidR="0017743F">
        <w:rPr>
          <w:rFonts w:ascii="Arial" w:hAnsi="Arial" w:cs="Arial"/>
        </w:rPr>
        <w:t>premenopausal women</w:t>
      </w:r>
      <w:r w:rsidR="001B6906">
        <w:rPr>
          <w:rFonts w:ascii="Arial" w:hAnsi="Arial" w:cs="Arial"/>
        </w:rPr>
        <w:t xml:space="preserve"> receiving</w:t>
      </w:r>
      <w:r w:rsidR="00E9679D">
        <w:rPr>
          <w:rFonts w:ascii="Arial" w:hAnsi="Arial" w:cs="Arial"/>
        </w:rPr>
        <w:t xml:space="preserve"> no treatment</w:t>
      </w:r>
      <w:r w:rsidR="0017743F">
        <w:rPr>
          <w:rFonts w:ascii="Arial" w:hAnsi="Arial" w:cs="Arial"/>
        </w:rPr>
        <w:t>.</w:t>
      </w:r>
    </w:p>
    <w:p w:rsidR="0009175B" w:rsidRDefault="00E27BC2" w:rsidP="00844C20">
      <w:pPr>
        <w:pStyle w:val="ListParagraph"/>
        <w:numPr>
          <w:ilvl w:val="1"/>
          <w:numId w:val="37"/>
        </w:numPr>
        <w:spacing w:line="360" w:lineRule="auto"/>
        <w:ind w:left="1797"/>
        <w:jc w:val="both"/>
        <w:rPr>
          <w:rFonts w:ascii="Arial" w:hAnsi="Arial" w:cs="Arial"/>
        </w:rPr>
      </w:pPr>
      <w:r>
        <w:rPr>
          <w:rFonts w:ascii="Arial" w:hAnsi="Arial" w:cs="Arial"/>
        </w:rPr>
        <w:t>The</w:t>
      </w:r>
      <w:r w:rsidR="00144CB6">
        <w:rPr>
          <w:rFonts w:ascii="Arial" w:hAnsi="Arial" w:cs="Arial"/>
        </w:rPr>
        <w:t xml:space="preserve"> reduction in</w:t>
      </w:r>
      <w:r>
        <w:rPr>
          <w:rFonts w:ascii="Arial" w:hAnsi="Arial" w:cs="Arial"/>
        </w:rPr>
        <w:t xml:space="preserve"> bone formation by</w:t>
      </w:r>
      <w:r w:rsidR="001B6906">
        <w:rPr>
          <w:rFonts w:ascii="Arial" w:hAnsi="Arial" w:cs="Arial"/>
        </w:rPr>
        <w:t xml:space="preserve"> ibandronate, ale</w:t>
      </w:r>
      <w:r w:rsidR="007C0BC9" w:rsidRPr="00C02DB7">
        <w:rPr>
          <w:rFonts w:ascii="Arial" w:hAnsi="Arial" w:cs="Arial"/>
        </w:rPr>
        <w:t>ndronate</w:t>
      </w:r>
      <w:r w:rsidR="0017743F">
        <w:rPr>
          <w:rFonts w:ascii="Arial" w:hAnsi="Arial" w:cs="Arial"/>
        </w:rPr>
        <w:t xml:space="preserve"> and ris</w:t>
      </w:r>
      <w:r>
        <w:rPr>
          <w:rFonts w:ascii="Arial" w:hAnsi="Arial" w:cs="Arial"/>
        </w:rPr>
        <w:t>edronate</w:t>
      </w:r>
      <w:r w:rsidR="007C0BC9" w:rsidRPr="00C02DB7">
        <w:rPr>
          <w:rFonts w:ascii="Arial" w:hAnsi="Arial" w:cs="Arial"/>
        </w:rPr>
        <w:t xml:space="preserve"> and </w:t>
      </w:r>
      <w:r>
        <w:rPr>
          <w:rFonts w:ascii="Arial" w:hAnsi="Arial" w:cs="Arial"/>
        </w:rPr>
        <w:t xml:space="preserve">their effects on </w:t>
      </w:r>
      <w:r w:rsidR="00066E61">
        <w:rPr>
          <w:rFonts w:ascii="Arial" w:hAnsi="Arial" w:cs="Arial"/>
        </w:rPr>
        <w:t xml:space="preserve">bone balance are </w:t>
      </w:r>
      <w:r w:rsidR="007C0BC9" w:rsidRPr="00C02DB7">
        <w:rPr>
          <w:rFonts w:ascii="Arial" w:hAnsi="Arial" w:cs="Arial"/>
        </w:rPr>
        <w:t>mediated by circulating levels of sclerostin.</w:t>
      </w:r>
    </w:p>
    <w:p w:rsidR="000512CD" w:rsidRPr="000512CD" w:rsidRDefault="00004ED7" w:rsidP="00844C20">
      <w:pPr>
        <w:pStyle w:val="Heading2"/>
        <w:jc w:val="both"/>
      </w:pPr>
      <w:bookmarkStart w:id="187" w:name="_Toc425418953"/>
      <w:r>
        <w:lastRenderedPageBreak/>
        <w:t>Study participants</w:t>
      </w:r>
      <w:bookmarkEnd w:id="187"/>
    </w:p>
    <w:p w:rsidR="003E3185" w:rsidRDefault="00272A3E" w:rsidP="00844C20">
      <w:pPr>
        <w:spacing w:line="360" w:lineRule="auto"/>
        <w:jc w:val="both"/>
        <w:rPr>
          <w:rFonts w:ascii="Arial" w:hAnsi="Arial" w:cs="Arial"/>
        </w:rPr>
      </w:pPr>
      <w:r w:rsidRPr="00CB6C1B">
        <w:rPr>
          <w:rFonts w:ascii="Arial" w:hAnsi="Arial" w:cs="Arial"/>
        </w:rPr>
        <w:t>The participants used for these analyses were from the TRIO study</w:t>
      </w:r>
      <w:r w:rsidR="0050334A" w:rsidRPr="00CB6C1B">
        <w:rPr>
          <w:rFonts w:ascii="Arial" w:hAnsi="Arial" w:cs="Arial"/>
        </w:rPr>
        <w:t xml:space="preserve"> population, described in </w:t>
      </w:r>
      <w:r w:rsidR="0050334A" w:rsidRPr="00D35DAF">
        <w:rPr>
          <w:rFonts w:ascii="Arial" w:hAnsi="Arial" w:cs="Arial"/>
        </w:rPr>
        <w:t>chapter 5</w:t>
      </w:r>
      <w:r w:rsidRPr="00D35DAF">
        <w:rPr>
          <w:rFonts w:ascii="Arial" w:hAnsi="Arial" w:cs="Arial"/>
        </w:rPr>
        <w:t>.</w:t>
      </w:r>
      <w:r w:rsidR="0050334A" w:rsidRPr="00D35DAF">
        <w:rPr>
          <w:rFonts w:ascii="Arial" w:hAnsi="Arial" w:cs="Arial"/>
        </w:rPr>
        <w:t xml:space="preserve"> </w:t>
      </w:r>
      <w:r w:rsidRPr="00D35DAF">
        <w:rPr>
          <w:rFonts w:ascii="Arial" w:hAnsi="Arial" w:cs="Arial"/>
        </w:rPr>
        <w:t xml:space="preserve"> </w:t>
      </w:r>
    </w:p>
    <w:p w:rsidR="009A6ACE" w:rsidRDefault="00B20F6F" w:rsidP="003B725E">
      <w:pPr>
        <w:spacing w:line="360" w:lineRule="auto"/>
        <w:jc w:val="both"/>
        <w:rPr>
          <w:rFonts w:ascii="Arial" w:hAnsi="Arial" w:cs="Arial"/>
        </w:rPr>
      </w:pPr>
      <w:r w:rsidRPr="00D35DAF">
        <w:rPr>
          <w:rFonts w:ascii="Arial" w:hAnsi="Arial" w:cs="Arial"/>
        </w:rPr>
        <w:t>A subset of 62 postmenopausal women with osteoporosis were used to evaluate the effect of bisphosphonate on osteoclast precursor cells.</w:t>
      </w:r>
      <w:r w:rsidR="00004ED7" w:rsidRPr="00004ED7">
        <w:rPr>
          <w:rFonts w:ascii="Arial" w:hAnsi="Arial" w:cs="Arial"/>
        </w:rPr>
        <w:t xml:space="preserve"> </w:t>
      </w:r>
      <w:r w:rsidR="00E9679D">
        <w:rPr>
          <w:rFonts w:ascii="Arial" w:hAnsi="Arial" w:cs="Arial"/>
        </w:rPr>
        <w:t xml:space="preserve">22 participants </w:t>
      </w:r>
      <w:r w:rsidR="00004ED7">
        <w:rPr>
          <w:rFonts w:ascii="Arial" w:hAnsi="Arial" w:cs="Arial"/>
        </w:rPr>
        <w:t>receive</w:t>
      </w:r>
      <w:r w:rsidR="00E9679D">
        <w:rPr>
          <w:rFonts w:ascii="Arial" w:hAnsi="Arial" w:cs="Arial"/>
        </w:rPr>
        <w:t>d</w:t>
      </w:r>
      <w:r w:rsidR="00004ED7">
        <w:rPr>
          <w:rFonts w:ascii="Arial" w:hAnsi="Arial" w:cs="Arial"/>
        </w:rPr>
        <w:t xml:space="preserve"> </w:t>
      </w:r>
      <w:r w:rsidR="00004ED7" w:rsidRPr="0013532F">
        <w:rPr>
          <w:rFonts w:ascii="Arial" w:hAnsi="Arial" w:cs="Arial"/>
        </w:rPr>
        <w:t>ibandronate (Roche, Bonviva),</w:t>
      </w:r>
      <w:r w:rsidR="00004ED7">
        <w:rPr>
          <w:rFonts w:ascii="Arial" w:hAnsi="Arial" w:cs="Arial"/>
        </w:rPr>
        <w:t xml:space="preserve"> 150mg tablet once a m</w:t>
      </w:r>
      <w:r w:rsidR="00E9679D">
        <w:rPr>
          <w:rFonts w:ascii="Arial" w:hAnsi="Arial" w:cs="Arial"/>
        </w:rPr>
        <w:t>onth.</w:t>
      </w:r>
      <w:r w:rsidR="00004ED7">
        <w:rPr>
          <w:rFonts w:ascii="Arial" w:hAnsi="Arial" w:cs="Arial"/>
        </w:rPr>
        <w:t xml:space="preserve"> 20 </w:t>
      </w:r>
      <w:r w:rsidR="00E9679D">
        <w:rPr>
          <w:rFonts w:ascii="Arial" w:hAnsi="Arial" w:cs="Arial"/>
        </w:rPr>
        <w:t xml:space="preserve">participants received </w:t>
      </w:r>
      <w:r w:rsidR="00004ED7" w:rsidRPr="0013532F">
        <w:rPr>
          <w:rFonts w:ascii="Arial" w:hAnsi="Arial" w:cs="Arial"/>
        </w:rPr>
        <w:t>alendronate (Merck, Fosamax)</w:t>
      </w:r>
      <w:r w:rsidR="00E9679D">
        <w:rPr>
          <w:rFonts w:ascii="Arial" w:hAnsi="Arial" w:cs="Arial"/>
        </w:rPr>
        <w:t xml:space="preserve"> 70mg tablet once a week. 20 participants received </w:t>
      </w:r>
      <w:r w:rsidR="00004ED7" w:rsidRPr="0013532F">
        <w:rPr>
          <w:rFonts w:ascii="Arial" w:hAnsi="Arial" w:cs="Arial"/>
        </w:rPr>
        <w:t>risedronate (Warner Chilcott, Actonel) 35mg tablet once a week.</w:t>
      </w:r>
      <w:r w:rsidRPr="00D35DAF">
        <w:rPr>
          <w:rFonts w:ascii="Arial" w:hAnsi="Arial" w:cs="Arial"/>
        </w:rPr>
        <w:t xml:space="preserve"> </w:t>
      </w:r>
      <w:r w:rsidR="00004ED7">
        <w:rPr>
          <w:rFonts w:ascii="Arial" w:hAnsi="Arial" w:cs="Arial"/>
        </w:rPr>
        <w:t>The sample size for this</w:t>
      </w:r>
      <w:r w:rsidR="00D35DAF" w:rsidRPr="00D35DAF">
        <w:rPr>
          <w:rFonts w:ascii="Arial" w:hAnsi="Arial" w:cs="Arial"/>
        </w:rPr>
        <w:t xml:space="preserve"> analyses was predefined in the s</w:t>
      </w:r>
      <w:r w:rsidR="00E9679D">
        <w:rPr>
          <w:rFonts w:ascii="Arial" w:hAnsi="Arial" w:cs="Arial"/>
        </w:rPr>
        <w:t xml:space="preserve">tudy protocol. These were all </w:t>
      </w:r>
      <w:r w:rsidR="00D35DAF" w:rsidRPr="00D35DAF">
        <w:rPr>
          <w:rFonts w:ascii="Arial" w:hAnsi="Arial" w:cs="Arial"/>
        </w:rPr>
        <w:t>patients wh</w:t>
      </w:r>
      <w:r w:rsidR="00E9679D">
        <w:rPr>
          <w:rFonts w:ascii="Arial" w:hAnsi="Arial" w:cs="Arial"/>
        </w:rPr>
        <w:t>o</w:t>
      </w:r>
      <w:r w:rsidR="00D35DAF">
        <w:rPr>
          <w:rFonts w:ascii="Arial" w:hAnsi="Arial" w:cs="Arial"/>
        </w:rPr>
        <w:t xml:space="preserve"> had </w:t>
      </w:r>
      <w:r w:rsidR="00E9679D">
        <w:rPr>
          <w:rFonts w:ascii="Arial" w:hAnsi="Arial" w:cs="Arial"/>
        </w:rPr>
        <w:t xml:space="preserve">a </w:t>
      </w:r>
      <w:r w:rsidR="00D35DAF">
        <w:rPr>
          <w:rFonts w:ascii="Arial" w:hAnsi="Arial" w:cs="Arial"/>
        </w:rPr>
        <w:t xml:space="preserve">whole blood collected </w:t>
      </w:r>
      <w:r w:rsidR="00E9679D">
        <w:rPr>
          <w:rFonts w:ascii="Arial" w:hAnsi="Arial" w:cs="Arial"/>
        </w:rPr>
        <w:t xml:space="preserve">and </w:t>
      </w:r>
      <w:r w:rsidR="00D35DAF">
        <w:rPr>
          <w:rFonts w:ascii="Arial" w:hAnsi="Arial" w:cs="Arial"/>
        </w:rPr>
        <w:t>serum</w:t>
      </w:r>
      <w:r w:rsidR="00E9679D">
        <w:rPr>
          <w:rFonts w:ascii="Arial" w:hAnsi="Arial" w:cs="Arial"/>
        </w:rPr>
        <w:t xml:space="preserve"> collection</w:t>
      </w:r>
      <w:r w:rsidR="00D35DAF" w:rsidRPr="00D35DAF">
        <w:rPr>
          <w:rFonts w:ascii="Arial" w:hAnsi="Arial" w:cs="Arial"/>
        </w:rPr>
        <w:t xml:space="preserve">. </w:t>
      </w:r>
      <w:r w:rsidRPr="00D35DAF">
        <w:rPr>
          <w:rFonts w:ascii="Arial" w:hAnsi="Arial" w:cs="Arial"/>
        </w:rPr>
        <w:t xml:space="preserve">Fasting whole blood was collected form each </w:t>
      </w:r>
      <w:r w:rsidR="00CB6C1B" w:rsidRPr="00D35DAF">
        <w:rPr>
          <w:rFonts w:ascii="Arial" w:hAnsi="Arial" w:cs="Arial"/>
        </w:rPr>
        <w:t xml:space="preserve">participant </w:t>
      </w:r>
      <w:r w:rsidRPr="00D35DAF">
        <w:rPr>
          <w:rFonts w:ascii="Arial" w:hAnsi="Arial" w:cs="Arial"/>
        </w:rPr>
        <w:t>in pyrogen-free EDTA-K</w:t>
      </w:r>
      <w:r w:rsidRPr="00D35DAF">
        <w:rPr>
          <w:rFonts w:ascii="Arial" w:hAnsi="Arial" w:cs="Arial"/>
          <w:vertAlign w:val="subscript"/>
        </w:rPr>
        <w:t xml:space="preserve">3 </w:t>
      </w:r>
      <w:r w:rsidRPr="00D35DAF">
        <w:rPr>
          <w:rFonts w:ascii="Arial" w:hAnsi="Arial" w:cs="Arial"/>
        </w:rPr>
        <w:t>containing t</w:t>
      </w:r>
      <w:r w:rsidR="00D35DAF">
        <w:rPr>
          <w:rFonts w:ascii="Arial" w:hAnsi="Arial" w:cs="Arial"/>
        </w:rPr>
        <w:t xml:space="preserve">ubes at BL1 then at weeks 1 and 48. </w:t>
      </w:r>
      <w:r w:rsidR="00E65F57">
        <w:rPr>
          <w:rFonts w:ascii="Arial" w:hAnsi="Arial" w:cs="Arial"/>
        </w:rPr>
        <w:t xml:space="preserve">25 premenopausal women (aged 35 to 40 years) </w:t>
      </w:r>
      <w:r w:rsidR="009A6ACE">
        <w:rPr>
          <w:rFonts w:ascii="Arial" w:hAnsi="Arial" w:cs="Arial"/>
        </w:rPr>
        <w:t xml:space="preserve">receiving no treatment </w:t>
      </w:r>
      <w:r w:rsidR="00E65F57">
        <w:rPr>
          <w:rFonts w:ascii="Arial" w:hAnsi="Arial" w:cs="Arial"/>
        </w:rPr>
        <w:t xml:space="preserve">were also used from the TRIO study population to act at the comparator group. Fasting whole blood </w:t>
      </w:r>
      <w:r w:rsidR="00E9679D">
        <w:rPr>
          <w:rFonts w:ascii="Arial" w:hAnsi="Arial" w:cs="Arial"/>
        </w:rPr>
        <w:t>and was also collected from 25 premenopausal women</w:t>
      </w:r>
      <w:r w:rsidR="00E65F57">
        <w:rPr>
          <w:rFonts w:ascii="Arial" w:hAnsi="Arial" w:cs="Arial"/>
        </w:rPr>
        <w:t xml:space="preserve">. </w:t>
      </w:r>
      <w:r w:rsidR="00066E61" w:rsidRPr="00C41067">
        <w:rPr>
          <w:rFonts w:ascii="Arial" w:hAnsi="Arial" w:cs="Arial"/>
          <w:highlight w:val="yellow"/>
        </w:rPr>
        <w:t xml:space="preserve">Further </w:t>
      </w:r>
      <w:r w:rsidR="00066E61">
        <w:rPr>
          <w:rFonts w:ascii="Arial" w:hAnsi="Arial" w:cs="Arial"/>
          <w:highlight w:val="yellow"/>
        </w:rPr>
        <w:t xml:space="preserve">details regarding the </w:t>
      </w:r>
      <w:r w:rsidR="00066E61" w:rsidRPr="00C41067">
        <w:rPr>
          <w:rFonts w:ascii="Arial" w:hAnsi="Arial" w:cs="Arial"/>
          <w:highlight w:val="yellow"/>
        </w:rPr>
        <w:t>clinical features of the</w:t>
      </w:r>
      <w:r w:rsidR="00066E61">
        <w:rPr>
          <w:rFonts w:ascii="Arial" w:hAnsi="Arial" w:cs="Arial"/>
          <w:highlight w:val="yellow"/>
        </w:rPr>
        <w:t>se</w:t>
      </w:r>
      <w:r w:rsidR="00066E61" w:rsidRPr="00C41067">
        <w:rPr>
          <w:rFonts w:ascii="Arial" w:hAnsi="Arial" w:cs="Arial"/>
          <w:highlight w:val="yellow"/>
        </w:rPr>
        <w:t xml:space="preserve"> subjects have been published, (</w:t>
      </w:r>
      <w:r w:rsidR="00066E61" w:rsidRPr="00066E61">
        <w:rPr>
          <w:rFonts w:ascii="Arial" w:hAnsi="Arial" w:cs="Arial"/>
          <w:highlight w:val="yellow"/>
        </w:rPr>
        <w:t xml:space="preserve">Appendices 2), </w:t>
      </w:r>
      <w:r w:rsidR="00066E61" w:rsidRPr="00066E61">
        <w:rPr>
          <w:rFonts w:ascii="Arial" w:hAnsi="Arial" w:cs="Arial"/>
          <w:highlight w:val="yellow"/>
        </w:rPr>
        <w:fldChar w:fldCharType="begin">
          <w:fldData xml:space="preserve">PEVuZE5vdGU+PENpdGU+PEF1dGhvcj5Hb3NzaWVsPC9BdXRob3I+PFllYXI+MjAxNjwvWWVhcj48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</w:fldData>
        </w:fldChar>
      </w:r>
      <w:r w:rsidR="00066E61" w:rsidRPr="00066E61">
        <w:rPr>
          <w:rFonts w:ascii="Arial" w:hAnsi="Arial" w:cs="Arial"/>
          <w:highlight w:val="yellow"/>
        </w:rPr>
        <w:instrText xml:space="preserve"> ADDIN EN.CITE </w:instrText>
      </w:r>
      <w:r w:rsidR="00066E61" w:rsidRPr="00066E61">
        <w:rPr>
          <w:rFonts w:ascii="Arial" w:hAnsi="Arial" w:cs="Arial"/>
          <w:highlight w:val="yellow"/>
        </w:rPr>
        <w:fldChar w:fldCharType="begin">
          <w:fldData xml:space="preserve">PEVuZE5vdGU+PENpdGU+PEF1dGhvcj5Hb3NzaWVsPC9BdXRob3I+PFllYXI+MjAxNjwvWWVhcj48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</w:fldData>
        </w:fldChar>
      </w:r>
      <w:r w:rsidR="00066E61" w:rsidRPr="00066E61">
        <w:rPr>
          <w:rFonts w:ascii="Arial" w:hAnsi="Arial" w:cs="Arial"/>
          <w:highlight w:val="yellow"/>
        </w:rPr>
        <w:instrText xml:space="preserve"> ADDIN EN.CITE.DATA </w:instrText>
      </w:r>
      <w:r w:rsidR="00066E61" w:rsidRPr="00066E61">
        <w:rPr>
          <w:rFonts w:ascii="Arial" w:hAnsi="Arial" w:cs="Arial"/>
          <w:highlight w:val="yellow"/>
        </w:rPr>
      </w:r>
      <w:r w:rsidR="00066E61" w:rsidRPr="00066E61">
        <w:rPr>
          <w:rFonts w:ascii="Arial" w:hAnsi="Arial" w:cs="Arial"/>
          <w:highlight w:val="yellow"/>
        </w:rPr>
        <w:fldChar w:fldCharType="end"/>
      </w:r>
      <w:r w:rsidR="00066E61" w:rsidRPr="00066E61">
        <w:rPr>
          <w:rFonts w:ascii="Arial" w:hAnsi="Arial" w:cs="Arial"/>
          <w:highlight w:val="yellow"/>
        </w:rPr>
      </w:r>
      <w:r w:rsidR="00066E61" w:rsidRPr="00066E61">
        <w:rPr>
          <w:rFonts w:ascii="Arial" w:hAnsi="Arial" w:cs="Arial"/>
          <w:highlight w:val="yellow"/>
        </w:rPr>
        <w:fldChar w:fldCharType="separate"/>
      </w:r>
      <w:r w:rsidR="00066E61" w:rsidRPr="00066E61">
        <w:rPr>
          <w:rFonts w:ascii="Arial" w:hAnsi="Arial" w:cs="Arial"/>
          <w:noProof/>
          <w:highlight w:val="yellow"/>
        </w:rPr>
        <w:t>(</w:t>
      </w:r>
      <w:hyperlink w:anchor="_ENREF_458" w:tooltip="Gossiel, 2016 #539" w:history="1">
        <w:r w:rsidR="003B725E" w:rsidRPr="00066E61">
          <w:rPr>
            <w:rFonts w:ascii="Arial" w:hAnsi="Arial" w:cs="Arial"/>
            <w:noProof/>
            <w:highlight w:val="yellow"/>
          </w:rPr>
          <w:t>458</w:t>
        </w:r>
      </w:hyperlink>
      <w:r w:rsidR="00066E61" w:rsidRPr="00066E61">
        <w:rPr>
          <w:rFonts w:ascii="Arial" w:hAnsi="Arial" w:cs="Arial"/>
          <w:noProof/>
          <w:highlight w:val="yellow"/>
        </w:rPr>
        <w:t>)</w:t>
      </w:r>
      <w:r w:rsidR="00066E61" w:rsidRPr="00066E61">
        <w:rPr>
          <w:rFonts w:ascii="Arial" w:hAnsi="Arial" w:cs="Arial"/>
          <w:highlight w:val="yellow"/>
        </w:rPr>
        <w:fldChar w:fldCharType="end"/>
      </w:r>
      <w:r w:rsidR="00066E61">
        <w:rPr>
          <w:rFonts w:ascii="Arial" w:hAnsi="Arial" w:cs="Arial"/>
        </w:rPr>
        <w:t>.</w:t>
      </w:r>
    </w:p>
    <w:p w:rsidR="00391E25" w:rsidRDefault="00391E25" w:rsidP="003B725E">
      <w:pPr>
        <w:spacing w:line="360" w:lineRule="auto"/>
        <w:jc w:val="both"/>
        <w:rPr>
          <w:rFonts w:ascii="Arial" w:hAnsi="Arial" w:cs="Arial"/>
        </w:rPr>
      </w:pPr>
      <w:r>
        <w:rPr>
          <w:rFonts w:ascii="Arial" w:hAnsi="Arial" w:cs="Arial"/>
        </w:rPr>
        <w:t>The participants who were in the</w:t>
      </w:r>
      <w:r w:rsidRPr="0013532F">
        <w:rPr>
          <w:rFonts w:ascii="Arial" w:hAnsi="Arial" w:cs="Arial"/>
        </w:rPr>
        <w:t xml:space="preserve"> intention to treat</w:t>
      </w:r>
      <w:r>
        <w:rPr>
          <w:rFonts w:ascii="Arial" w:hAnsi="Arial" w:cs="Arial"/>
        </w:rPr>
        <w:t xml:space="preserve"> population from the TRIO population </w:t>
      </w:r>
      <w:r w:rsidR="00477D2F">
        <w:rPr>
          <w:rFonts w:ascii="Arial" w:hAnsi="Arial" w:cs="Arial"/>
        </w:rPr>
        <w:t xml:space="preserve">were used to investigate the effect of bisphosphonates on bone turnover and bone balance, (Table 18). 57 participants were </w:t>
      </w:r>
      <w:r w:rsidR="00477D2F" w:rsidRPr="0013532F">
        <w:rPr>
          <w:rFonts w:ascii="Arial" w:hAnsi="Arial" w:cs="Arial"/>
        </w:rPr>
        <w:t>r</w:t>
      </w:r>
      <w:r w:rsidR="00477D2F">
        <w:rPr>
          <w:rFonts w:ascii="Arial" w:hAnsi="Arial" w:cs="Arial"/>
        </w:rPr>
        <w:t xml:space="preserve">andomised to receive </w:t>
      </w:r>
      <w:r w:rsidR="00477D2F" w:rsidRPr="0013532F">
        <w:rPr>
          <w:rFonts w:ascii="Arial" w:hAnsi="Arial" w:cs="Arial"/>
        </w:rPr>
        <w:t>ibandronate (Roche, Bonviva),</w:t>
      </w:r>
      <w:r w:rsidR="00477D2F">
        <w:rPr>
          <w:rFonts w:ascii="Arial" w:hAnsi="Arial" w:cs="Arial"/>
        </w:rPr>
        <w:t xml:space="preserve"> 150mg tablet once a month, 57 </w:t>
      </w:r>
      <w:r w:rsidR="00477D2F" w:rsidRPr="0013532F">
        <w:rPr>
          <w:rFonts w:ascii="Arial" w:hAnsi="Arial" w:cs="Arial"/>
        </w:rPr>
        <w:t>alendronate (Merck, Fosamax)</w:t>
      </w:r>
      <w:r w:rsidR="00477D2F">
        <w:rPr>
          <w:rFonts w:ascii="Arial" w:hAnsi="Arial" w:cs="Arial"/>
        </w:rPr>
        <w:t xml:space="preserve"> 70mg tablet once a week and 58</w:t>
      </w:r>
      <w:r w:rsidR="00477D2F" w:rsidRPr="0013532F">
        <w:rPr>
          <w:rFonts w:ascii="Arial" w:hAnsi="Arial" w:cs="Arial"/>
        </w:rPr>
        <w:t xml:space="preserve"> risedronate (Warner Chilcott, Actonel) 35mg tablet once a week.</w:t>
      </w:r>
      <w:r w:rsidR="00477D2F">
        <w:rPr>
          <w:rFonts w:ascii="Arial" w:hAnsi="Arial" w:cs="Arial"/>
        </w:rPr>
        <w:t xml:space="preserve"> 226 premenopausal women (aged 35 to 40 years) receiving no treatment were also used from the TRIO study population to act at the comparator group. Fasting serum samples were collected at on one occasion.</w:t>
      </w:r>
      <w:r w:rsidR="000D155C">
        <w:rPr>
          <w:rFonts w:ascii="Arial" w:hAnsi="Arial" w:cs="Arial"/>
        </w:rPr>
        <w:t xml:space="preserve"> </w:t>
      </w:r>
      <w:r w:rsidR="000D155C" w:rsidRPr="00C41067">
        <w:rPr>
          <w:rFonts w:ascii="Arial" w:hAnsi="Arial" w:cs="Arial"/>
          <w:highlight w:val="yellow"/>
        </w:rPr>
        <w:t xml:space="preserve">Further </w:t>
      </w:r>
      <w:r w:rsidR="000D155C">
        <w:rPr>
          <w:rFonts w:ascii="Arial" w:hAnsi="Arial" w:cs="Arial"/>
          <w:highlight w:val="yellow"/>
        </w:rPr>
        <w:t xml:space="preserve">details regarding the </w:t>
      </w:r>
      <w:r w:rsidR="000D155C" w:rsidRPr="00C41067">
        <w:rPr>
          <w:rFonts w:ascii="Arial" w:hAnsi="Arial" w:cs="Arial"/>
          <w:highlight w:val="yellow"/>
        </w:rPr>
        <w:t>clinical features of the</w:t>
      </w:r>
      <w:r w:rsidR="00066E61">
        <w:rPr>
          <w:rFonts w:ascii="Arial" w:hAnsi="Arial" w:cs="Arial"/>
          <w:highlight w:val="yellow"/>
        </w:rPr>
        <w:t>se</w:t>
      </w:r>
      <w:r w:rsidR="000D155C" w:rsidRPr="00C41067">
        <w:rPr>
          <w:rFonts w:ascii="Arial" w:hAnsi="Arial" w:cs="Arial"/>
          <w:highlight w:val="yellow"/>
        </w:rPr>
        <w:t xml:space="preserve"> subjects have been published, (</w:t>
      </w:r>
      <w:r w:rsidR="000D155C" w:rsidRPr="00066E61">
        <w:rPr>
          <w:rFonts w:ascii="Arial" w:hAnsi="Arial" w:cs="Arial"/>
          <w:highlight w:val="yellow"/>
        </w:rPr>
        <w:t xml:space="preserve">Appendices 2), </w:t>
      </w:r>
      <w:r w:rsidR="00066E61">
        <w:rPr>
          <w:rFonts w:ascii="Arial" w:hAnsi="Arial" w:cs="Arial"/>
          <w:highlight w:val="yellow"/>
        </w:rPr>
        <w:fldChar w:fldCharType="begin"/>
      </w:r>
      <w:r w:rsidR="00066E61">
        <w:rPr>
          <w:rFonts w:ascii="Arial" w:hAnsi="Arial" w:cs="Arial"/>
          <w:highlight w:val="yellow"/>
        </w:rPr>
        <w:instrText xml:space="preserve"> ADDIN EN.CITE &lt;EndNote&gt;&lt;Cite&gt;&lt;Author&gt;Gossiel&lt;/Author&gt;&lt;Year&gt;2020&lt;/Year&gt;&lt;RecNum&gt;543&lt;/RecNum&gt;&lt;DisplayText&gt;(459)&lt;/DisplayText&gt;&lt;record&gt;&lt;rec-number&gt;543&lt;/rec-number&gt;&lt;foreign-keys&gt;&lt;key app="EN" db-id="999pfvae505tsbee9eapvxv0srxdfv2ttr5e" timestamp="1599481737"&gt;543&lt;/key&gt;&lt;/foreign-keys&gt;&lt;ref-type name="Journal Article"&gt;17&lt;/ref-type&gt;&lt;contributors&gt;&lt;authors&gt;&lt;author&gt;Gossiel, F.&lt;/author&gt;&lt;author&gt;Paggiosi, M. A.&lt;/author&gt;&lt;author&gt;Naylor, K. E.&lt;/author&gt;&lt;author&gt;McCloskey, E. V.&lt;/author&gt;&lt;author&gt;Walsh, J.&lt;/author&gt;&lt;author&gt;Peel, N.&lt;/author&gt;&lt;author&gt;Eastell, R.&lt;/author&gt;&lt;/authors&gt;&lt;/contributors&gt;&lt;auth-address&gt;Academic Unit of Bone Metabolism, The Mellanby Centre for Bone Research, University of Sheffield, Sheffield, United Kingdom. Electronic address: f.gossiel@sheffield.ac.uk.&amp;#xD;Academic Unit of Bone Metabolism, The Mellanby Centre for Bone Research, University of Sheffield, Sheffield, United Kingdom.&amp;#xD;Metabolic Bone Centre, Sheffield Teaching Hospitals NHS Foundation Trust, Northern General Hospital Sheffield, United Kingdom.&lt;/auth-address&gt;&lt;titles&gt;&lt;title&gt;The effect of bisphosphosphonates on bone turnover and bone balance in postmenopausal women with osteoporosis: The T-score bone marker approach in the TRIO study&lt;/title&gt;&lt;secondary-title&gt;Bone&lt;/secondary-title&gt;&lt;alt-title&gt;Bone&lt;/alt-title&gt;&lt;/titles&gt;&lt;periodical&gt;&lt;full-title&gt;Bone&lt;/full-title&gt;&lt;abbr-1&gt;Bone&lt;/abbr-1&gt;&lt;/periodical&gt;&lt;alt-periodical&gt;&lt;full-title&gt;Bone&lt;/full-title&gt;&lt;abbr-1&gt;Bone&lt;/abbr-1&gt;&lt;/alt-periodical&gt;&lt;pages&gt;115158&lt;/pages&gt;&lt;volume&gt;131&lt;/volume&gt;&lt;edition&gt;2019/11/20&lt;/edition&gt;&lt;keywords&gt;&lt;keyword&gt;*Bone balance&lt;/keyword&gt;&lt;keyword&gt;*Bone turnover&lt;/keyword&gt;&lt;keyword&gt;*Bone turnover markers&lt;/keyword&gt;&lt;keyword&gt;*Osteoporosis&lt;/keyword&gt;&lt;/keywords&gt;&lt;dates&gt;&lt;year&gt;2020&lt;/year&gt;&lt;pub-dates&gt;&lt;date&gt;Feb&lt;/date&gt;&lt;/pub-dates&gt;&lt;/dates&gt;&lt;isbn&gt;1873-2763&lt;/isbn&gt;&lt;accession-num&gt;31740343&lt;/accession-num&gt;&lt;urls&gt;&lt;/urls&gt;&lt;electronic-resource-num&gt;10.1016/j.bone.2019.115158&lt;/electronic-resource-num&gt;&lt;remote-database-provider&gt;NLM&lt;/remote-database-provider&gt;&lt;language&gt;eng&lt;/language&gt;&lt;/record&gt;&lt;/Cite&gt;&lt;/EndNote&gt;</w:instrText>
      </w:r>
      <w:r w:rsidR="00066E61">
        <w:rPr>
          <w:rFonts w:ascii="Arial" w:hAnsi="Arial" w:cs="Arial"/>
          <w:highlight w:val="yellow"/>
        </w:rPr>
        <w:fldChar w:fldCharType="separate"/>
      </w:r>
      <w:r w:rsidR="00066E61">
        <w:rPr>
          <w:rFonts w:ascii="Arial" w:hAnsi="Arial" w:cs="Arial"/>
          <w:noProof/>
          <w:highlight w:val="yellow"/>
        </w:rPr>
        <w:t>(</w:t>
      </w:r>
      <w:hyperlink w:anchor="_ENREF_459" w:tooltip="Gossiel, 2020 #543" w:history="1">
        <w:r w:rsidR="003B725E">
          <w:rPr>
            <w:rFonts w:ascii="Arial" w:hAnsi="Arial" w:cs="Arial"/>
            <w:noProof/>
            <w:highlight w:val="yellow"/>
          </w:rPr>
          <w:t>459</w:t>
        </w:r>
      </w:hyperlink>
      <w:r w:rsidR="00066E61">
        <w:rPr>
          <w:rFonts w:ascii="Arial" w:hAnsi="Arial" w:cs="Arial"/>
          <w:noProof/>
          <w:highlight w:val="yellow"/>
        </w:rPr>
        <w:t>)</w:t>
      </w:r>
      <w:r w:rsidR="00066E61">
        <w:rPr>
          <w:rFonts w:ascii="Arial" w:hAnsi="Arial" w:cs="Arial"/>
          <w:highlight w:val="yellow"/>
        </w:rPr>
        <w:fldChar w:fldCharType="end"/>
      </w:r>
      <w:r w:rsidR="00066E61">
        <w:rPr>
          <w:rFonts w:ascii="Arial" w:hAnsi="Arial" w:cs="Arial"/>
        </w:rPr>
        <w:t>.</w:t>
      </w:r>
    </w:p>
    <w:p w:rsidR="003E3185" w:rsidRDefault="00345E83" w:rsidP="00844C20">
      <w:pPr>
        <w:spacing w:line="360" w:lineRule="auto"/>
        <w:jc w:val="both"/>
        <w:rPr>
          <w:rFonts w:ascii="Arial" w:hAnsi="Arial" w:cs="Arial"/>
        </w:rPr>
      </w:pPr>
      <w:r>
        <w:rPr>
          <w:rFonts w:ascii="Arial" w:hAnsi="Arial" w:cs="Arial"/>
        </w:rPr>
        <w:t>A subset of 92</w:t>
      </w:r>
      <w:r w:rsidRPr="00D35DAF">
        <w:rPr>
          <w:rFonts w:ascii="Arial" w:hAnsi="Arial" w:cs="Arial"/>
        </w:rPr>
        <w:t xml:space="preserve"> postmenopausal women with osteoporosis were used to evaluate the effect of bisphosphonate on</w:t>
      </w:r>
      <w:r>
        <w:rPr>
          <w:rFonts w:ascii="Arial" w:hAnsi="Arial" w:cs="Arial"/>
        </w:rPr>
        <w:t xml:space="preserve"> circulating levels of sclerostin. </w:t>
      </w:r>
      <w:r w:rsidRPr="007A2673">
        <w:rPr>
          <w:rFonts w:ascii="Arial" w:hAnsi="Arial" w:cs="Arial"/>
        </w:rPr>
        <w:t xml:space="preserve">This analysis were in the per protocol population, the participants who were randomised received all of the treatment doses and had PINP and CTX data at all of the time points were included. </w:t>
      </w:r>
      <w:r>
        <w:rPr>
          <w:rFonts w:ascii="Arial" w:hAnsi="Arial" w:cs="Arial"/>
        </w:rPr>
        <w:t xml:space="preserve">28 participants were </w:t>
      </w:r>
      <w:r w:rsidRPr="0013532F">
        <w:rPr>
          <w:rFonts w:ascii="Arial" w:hAnsi="Arial" w:cs="Arial"/>
        </w:rPr>
        <w:t>r</w:t>
      </w:r>
      <w:r>
        <w:rPr>
          <w:rFonts w:ascii="Arial" w:hAnsi="Arial" w:cs="Arial"/>
        </w:rPr>
        <w:t xml:space="preserve">andomised to receive </w:t>
      </w:r>
      <w:r w:rsidRPr="0013532F">
        <w:rPr>
          <w:rFonts w:ascii="Arial" w:hAnsi="Arial" w:cs="Arial"/>
        </w:rPr>
        <w:t>ibandronate (Roche, Bonviva),</w:t>
      </w:r>
      <w:r>
        <w:rPr>
          <w:rFonts w:ascii="Arial" w:hAnsi="Arial" w:cs="Arial"/>
        </w:rPr>
        <w:t xml:space="preserve"> 150mg tablet once a month, 33 </w:t>
      </w:r>
      <w:r w:rsidRPr="0013532F">
        <w:rPr>
          <w:rFonts w:ascii="Arial" w:hAnsi="Arial" w:cs="Arial"/>
        </w:rPr>
        <w:t>alendronate (Merck, Fosamax)</w:t>
      </w:r>
      <w:r>
        <w:rPr>
          <w:rFonts w:ascii="Arial" w:hAnsi="Arial" w:cs="Arial"/>
        </w:rPr>
        <w:t xml:space="preserve"> 70mg tablet once a week and 31</w:t>
      </w:r>
      <w:r w:rsidRPr="0013532F">
        <w:rPr>
          <w:rFonts w:ascii="Arial" w:hAnsi="Arial" w:cs="Arial"/>
        </w:rPr>
        <w:t xml:space="preserve"> risedronate (Warner Chilcott, Actonel) 35mg tablet once a week.</w:t>
      </w:r>
      <w:r>
        <w:rPr>
          <w:rFonts w:ascii="Arial" w:hAnsi="Arial" w:cs="Arial"/>
        </w:rPr>
        <w:t xml:space="preserve"> 57 premenopausal women (aged 35 to 40 years) receiving no treatment were also used from the TRIO study population to act at the comparator group. Fasting serum samples were collected at on one occasion. </w:t>
      </w:r>
    </w:p>
    <w:p w:rsidR="0052523F" w:rsidRDefault="0052523F" w:rsidP="00844C20">
      <w:pPr>
        <w:pStyle w:val="Heading2"/>
        <w:jc w:val="both"/>
      </w:pPr>
      <w:bookmarkStart w:id="188" w:name="_Toc425418954"/>
      <w:r>
        <w:lastRenderedPageBreak/>
        <w:t>Laboratory methods</w:t>
      </w:r>
      <w:bookmarkEnd w:id="188"/>
    </w:p>
    <w:p w:rsidR="00007DCE" w:rsidRDefault="00007DCE" w:rsidP="00844C20">
      <w:pPr>
        <w:pStyle w:val="Heading3"/>
        <w:jc w:val="both"/>
      </w:pPr>
      <w:bookmarkStart w:id="189" w:name="_Toc425418955"/>
      <w:r>
        <w:t>Preparation and staining of peripheral blood mononuclear cells (PBMCs)</w:t>
      </w:r>
      <w:bookmarkEnd w:id="189"/>
    </w:p>
    <w:p w:rsidR="004D08E3" w:rsidRPr="00A75DC1" w:rsidRDefault="006614E9" w:rsidP="003B725E">
      <w:pPr>
        <w:spacing w:line="360" w:lineRule="auto"/>
        <w:jc w:val="both"/>
        <w:rPr>
          <w:rFonts w:ascii="Arial" w:hAnsi="Arial" w:cs="Arial"/>
        </w:rPr>
      </w:pPr>
      <w:r>
        <w:rPr>
          <w:rFonts w:ascii="Arial" w:hAnsi="Arial" w:cs="Arial"/>
        </w:rPr>
        <w:t>W</w:t>
      </w:r>
      <w:r w:rsidR="004F2746">
        <w:rPr>
          <w:rFonts w:ascii="Arial" w:hAnsi="Arial" w:cs="Arial"/>
        </w:rPr>
        <w:t xml:space="preserve">hole </w:t>
      </w:r>
      <w:r w:rsidR="00391F70" w:rsidRPr="00A75DC1">
        <w:rPr>
          <w:rFonts w:ascii="Arial" w:hAnsi="Arial" w:cs="Arial"/>
        </w:rPr>
        <w:t xml:space="preserve">blood </w:t>
      </w:r>
      <w:r w:rsidR="004611E8" w:rsidRPr="00A75DC1">
        <w:rPr>
          <w:rFonts w:ascii="Arial" w:hAnsi="Arial" w:cs="Arial"/>
        </w:rPr>
        <w:t xml:space="preserve">was </w:t>
      </w:r>
      <w:r>
        <w:rPr>
          <w:rFonts w:ascii="Arial" w:hAnsi="Arial" w:cs="Arial"/>
        </w:rPr>
        <w:t xml:space="preserve">used in real time. It was </w:t>
      </w:r>
      <w:r w:rsidR="004611E8" w:rsidRPr="00A75DC1">
        <w:rPr>
          <w:rFonts w:ascii="Arial" w:hAnsi="Arial" w:cs="Arial"/>
        </w:rPr>
        <w:t xml:space="preserve">directly stained using antibodies and </w:t>
      </w:r>
      <w:r w:rsidR="005D0ACE" w:rsidRPr="00A75DC1">
        <w:rPr>
          <w:rFonts w:ascii="Arial" w:hAnsi="Arial" w:cs="Arial"/>
        </w:rPr>
        <w:t xml:space="preserve">corresponding </w:t>
      </w:r>
      <w:r w:rsidR="002C102F">
        <w:rPr>
          <w:rFonts w:ascii="Arial" w:hAnsi="Arial" w:cs="Arial"/>
        </w:rPr>
        <w:t xml:space="preserve">isotype </w:t>
      </w:r>
      <w:r w:rsidR="005D0ACE" w:rsidRPr="00A75DC1">
        <w:rPr>
          <w:rFonts w:ascii="Arial" w:hAnsi="Arial" w:cs="Arial"/>
        </w:rPr>
        <w:t xml:space="preserve">controls </w:t>
      </w:r>
      <w:r w:rsidR="00391F70" w:rsidRPr="00A75DC1">
        <w:rPr>
          <w:rFonts w:ascii="Arial" w:hAnsi="Arial" w:cs="Arial"/>
        </w:rPr>
        <w:t>using a method optimised</w:t>
      </w:r>
      <w:r w:rsidR="00007DCE" w:rsidRPr="00A75DC1">
        <w:rPr>
          <w:rFonts w:ascii="Arial" w:hAnsi="Arial" w:cs="Arial"/>
        </w:rPr>
        <w:t xml:space="preserve"> by Glover SJ</w:t>
      </w:r>
      <w:r w:rsidR="00391F70" w:rsidRPr="00A75DC1">
        <w:rPr>
          <w:rFonts w:ascii="Arial" w:hAnsi="Arial" w:cs="Arial"/>
        </w:rPr>
        <w:t xml:space="preserve"> 2008 PhD thesis and </w:t>
      </w:r>
      <w:r w:rsidR="005D0ACE" w:rsidRPr="00A75DC1">
        <w:rPr>
          <w:rFonts w:ascii="Arial" w:hAnsi="Arial" w:cs="Arial"/>
        </w:rPr>
        <w:t xml:space="preserve">similar methods </w:t>
      </w:r>
      <w:r w:rsidR="00391F70" w:rsidRPr="00A75DC1">
        <w:rPr>
          <w:rFonts w:ascii="Arial" w:hAnsi="Arial" w:cs="Arial"/>
        </w:rPr>
        <w:t>described by others</w:t>
      </w:r>
      <w:r w:rsidR="00086129">
        <w:rPr>
          <w:rFonts w:ascii="Arial" w:hAnsi="Arial" w:cs="Arial"/>
        </w:rPr>
        <w:t xml:space="preserve">, </w:t>
      </w:r>
      <w:r w:rsidR="00086129">
        <w:rPr>
          <w:rFonts w:ascii="Arial" w:hAnsi="Arial" w:cs="Arial"/>
        </w:rPr>
        <w:fldChar w:fldCharType="begin">
          <w:fldData xml:space="preserve">PEVuZE5vdGU+PENpdGU+PEF1dGhvcj5EYWxiZXRoPC9BdXRob3I+PFllYXI+MjAxMzwvWWVhcj48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PEVuZE5vdGU+PENpdGU+PEF1dGhvcj5EYWxiZXRoPC9BdXRob3I+PFllYXI+MjAxMzwvWWVhcj48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086129">
        <w:rPr>
          <w:rFonts w:ascii="Arial" w:hAnsi="Arial" w:cs="Arial"/>
        </w:rPr>
      </w:r>
      <w:r w:rsidR="00086129">
        <w:rPr>
          <w:rFonts w:ascii="Arial" w:hAnsi="Arial" w:cs="Arial"/>
        </w:rPr>
        <w:fldChar w:fldCharType="separate"/>
      </w:r>
      <w:r w:rsidR="000D155C">
        <w:rPr>
          <w:rFonts w:ascii="Arial" w:hAnsi="Arial" w:cs="Arial"/>
          <w:noProof/>
        </w:rPr>
        <w:t>(</w:t>
      </w:r>
      <w:hyperlink w:anchor="_ENREF_440" w:tooltip="D'Amelio, 2010 #410" w:history="1">
        <w:r w:rsidR="003B725E">
          <w:rPr>
            <w:rFonts w:ascii="Arial" w:hAnsi="Arial" w:cs="Arial"/>
            <w:noProof/>
          </w:rPr>
          <w:t>440</w:t>
        </w:r>
      </w:hyperlink>
      <w:r w:rsidR="000D155C">
        <w:rPr>
          <w:rFonts w:ascii="Arial" w:hAnsi="Arial" w:cs="Arial"/>
          <w:noProof/>
        </w:rPr>
        <w:t xml:space="preserve">, </w:t>
      </w:r>
      <w:hyperlink w:anchor="_ENREF_442" w:tooltip="Dalbeth, 2013 #411" w:history="1">
        <w:r w:rsidR="003B725E">
          <w:rPr>
            <w:rFonts w:ascii="Arial" w:hAnsi="Arial" w:cs="Arial"/>
            <w:noProof/>
          </w:rPr>
          <w:t>442</w:t>
        </w:r>
      </w:hyperlink>
      <w:r w:rsidR="000D155C">
        <w:rPr>
          <w:rFonts w:ascii="Arial" w:hAnsi="Arial" w:cs="Arial"/>
          <w:noProof/>
        </w:rPr>
        <w:t>)</w:t>
      </w:r>
      <w:r w:rsidR="00086129">
        <w:rPr>
          <w:rFonts w:ascii="Arial" w:hAnsi="Arial" w:cs="Arial"/>
        </w:rPr>
        <w:fldChar w:fldCharType="end"/>
      </w:r>
      <w:r w:rsidR="00086129">
        <w:rPr>
          <w:rFonts w:ascii="Arial" w:hAnsi="Arial" w:cs="Arial"/>
        </w:rPr>
        <w:t>.</w:t>
      </w:r>
      <w:r w:rsidR="00AA0784" w:rsidRPr="00A75DC1">
        <w:rPr>
          <w:rFonts w:ascii="Arial" w:hAnsi="Arial" w:cs="Arial"/>
        </w:rPr>
        <w:t xml:space="preserve"> </w:t>
      </w:r>
    </w:p>
    <w:p w:rsidR="00391F70" w:rsidRPr="00A75DC1" w:rsidRDefault="00AA0784" w:rsidP="00844C20">
      <w:pPr>
        <w:pStyle w:val="ListParagraph"/>
        <w:numPr>
          <w:ilvl w:val="3"/>
          <w:numId w:val="4"/>
        </w:numPr>
        <w:spacing w:line="360" w:lineRule="auto"/>
        <w:ind w:left="284" w:firstLine="0"/>
        <w:jc w:val="both"/>
        <w:rPr>
          <w:rFonts w:ascii="Arial" w:hAnsi="Arial" w:cs="Arial"/>
        </w:rPr>
      </w:pPr>
      <w:r w:rsidRPr="00A75DC1">
        <w:rPr>
          <w:rFonts w:ascii="Arial" w:hAnsi="Arial" w:cs="Arial"/>
        </w:rPr>
        <w:t xml:space="preserve">100µl of blood was </w:t>
      </w:r>
      <w:r w:rsidR="005D0ACE" w:rsidRPr="00A75DC1">
        <w:rPr>
          <w:rFonts w:ascii="Arial" w:hAnsi="Arial" w:cs="Arial"/>
        </w:rPr>
        <w:t>added to Eppendorf</w:t>
      </w:r>
      <w:r w:rsidR="004D08E3" w:rsidRPr="00A75DC1">
        <w:rPr>
          <w:rFonts w:ascii="Arial" w:hAnsi="Arial" w:cs="Arial"/>
        </w:rPr>
        <w:t xml:space="preserve"> tubes and </w:t>
      </w:r>
      <w:r w:rsidR="00A151AF" w:rsidRPr="00A75DC1">
        <w:rPr>
          <w:rFonts w:ascii="Arial" w:hAnsi="Arial" w:cs="Arial"/>
        </w:rPr>
        <w:t xml:space="preserve">dual </w:t>
      </w:r>
      <w:r w:rsidRPr="00A75DC1">
        <w:rPr>
          <w:rFonts w:ascii="Arial" w:hAnsi="Arial" w:cs="Arial"/>
        </w:rPr>
        <w:t>stai</w:t>
      </w:r>
      <w:r w:rsidR="00A151AF" w:rsidRPr="00A75DC1">
        <w:rPr>
          <w:rFonts w:ascii="Arial" w:hAnsi="Arial" w:cs="Arial"/>
        </w:rPr>
        <w:t>ned for</w:t>
      </w:r>
      <w:r w:rsidR="00B03F21" w:rsidRPr="00A75DC1">
        <w:rPr>
          <w:rFonts w:ascii="Arial" w:hAnsi="Arial" w:cs="Arial"/>
        </w:rPr>
        <w:t xml:space="preserve"> each</w:t>
      </w:r>
      <w:r w:rsidR="00A151AF" w:rsidRPr="00A75DC1">
        <w:rPr>
          <w:rFonts w:ascii="Arial" w:hAnsi="Arial" w:cs="Arial"/>
        </w:rPr>
        <w:t xml:space="preserve"> CD14/</w:t>
      </w:r>
      <w:r w:rsidRPr="00A75DC1">
        <w:rPr>
          <w:rFonts w:ascii="Arial" w:hAnsi="Arial" w:cs="Arial"/>
        </w:rPr>
        <w:t xml:space="preserve">M-CSFR, </w:t>
      </w:r>
      <w:r w:rsidR="00A151AF" w:rsidRPr="00A75DC1">
        <w:rPr>
          <w:rFonts w:ascii="Arial" w:hAnsi="Arial" w:cs="Arial"/>
        </w:rPr>
        <w:t>CD14/</w:t>
      </w:r>
      <w:r w:rsidRPr="00A75DC1">
        <w:rPr>
          <w:rFonts w:ascii="Arial" w:hAnsi="Arial" w:cs="Arial"/>
        </w:rPr>
        <w:t xml:space="preserve">CD11b and </w:t>
      </w:r>
      <w:r w:rsidR="00A151AF" w:rsidRPr="00A75DC1">
        <w:rPr>
          <w:rFonts w:ascii="Arial" w:hAnsi="Arial" w:cs="Arial"/>
        </w:rPr>
        <w:t>CD14/</w:t>
      </w:r>
      <w:r w:rsidRPr="00A75DC1">
        <w:rPr>
          <w:rFonts w:ascii="Arial" w:hAnsi="Arial" w:cs="Arial"/>
        </w:rPr>
        <w:t>TNFRII using the following antibodies:</w:t>
      </w:r>
    </w:p>
    <w:p w:rsidR="00D56D46" w:rsidRPr="00A75DC1" w:rsidRDefault="00AA0784" w:rsidP="00844C20">
      <w:pPr>
        <w:pStyle w:val="ListParagraph"/>
        <w:numPr>
          <w:ilvl w:val="0"/>
          <w:numId w:val="36"/>
        </w:numPr>
        <w:spacing w:line="360" w:lineRule="auto"/>
        <w:jc w:val="both"/>
        <w:rPr>
          <w:rFonts w:ascii="Arial" w:hAnsi="Arial" w:cs="Arial"/>
        </w:rPr>
      </w:pPr>
      <w:r w:rsidRPr="00A75DC1">
        <w:rPr>
          <w:rFonts w:ascii="Arial" w:hAnsi="Arial" w:cs="Arial"/>
        </w:rPr>
        <w:t>4µl of anti-CD14</w:t>
      </w:r>
      <w:r w:rsidR="00D56D46" w:rsidRPr="00A75DC1">
        <w:rPr>
          <w:rFonts w:ascii="Arial" w:hAnsi="Arial" w:cs="Arial"/>
        </w:rPr>
        <w:t xml:space="preserve"> flouroesceinisothiocynate (FITC)</w:t>
      </w:r>
      <w:r w:rsidR="00A151AF" w:rsidRPr="00A75DC1">
        <w:rPr>
          <w:rFonts w:ascii="Arial" w:hAnsi="Arial" w:cs="Arial"/>
        </w:rPr>
        <w:t xml:space="preserve"> and </w:t>
      </w:r>
      <w:r w:rsidR="00D56D46" w:rsidRPr="00A75DC1">
        <w:rPr>
          <w:rFonts w:ascii="Arial" w:hAnsi="Arial" w:cs="Arial"/>
        </w:rPr>
        <w:t>10µl of phycoerythrin (PE)-conjugated anti-MCSFR</w:t>
      </w:r>
    </w:p>
    <w:p w:rsidR="00D56D46" w:rsidRPr="00A75DC1" w:rsidRDefault="00A151AF" w:rsidP="00844C20">
      <w:pPr>
        <w:pStyle w:val="ListParagraph"/>
        <w:numPr>
          <w:ilvl w:val="0"/>
          <w:numId w:val="36"/>
        </w:numPr>
        <w:spacing w:line="360" w:lineRule="auto"/>
        <w:jc w:val="both"/>
        <w:rPr>
          <w:rFonts w:ascii="Arial" w:hAnsi="Arial" w:cs="Arial"/>
        </w:rPr>
      </w:pPr>
      <w:r w:rsidRPr="00A75DC1">
        <w:rPr>
          <w:rFonts w:ascii="Arial" w:hAnsi="Arial" w:cs="Arial"/>
        </w:rPr>
        <w:t xml:space="preserve">4µl of anti-CD14 FITC and </w:t>
      </w:r>
      <w:r w:rsidR="00D56D46" w:rsidRPr="00A75DC1">
        <w:rPr>
          <w:rFonts w:ascii="Arial" w:hAnsi="Arial" w:cs="Arial"/>
        </w:rPr>
        <w:t>10µl of allophycocyanin (APC)-conjugated anti-CD11b</w:t>
      </w:r>
    </w:p>
    <w:p w:rsidR="00D56D46" w:rsidRPr="00A75DC1" w:rsidRDefault="00A151AF" w:rsidP="00844C20">
      <w:pPr>
        <w:pStyle w:val="ListParagraph"/>
        <w:numPr>
          <w:ilvl w:val="0"/>
          <w:numId w:val="36"/>
        </w:numPr>
        <w:spacing w:line="360" w:lineRule="auto"/>
        <w:jc w:val="both"/>
        <w:rPr>
          <w:rFonts w:ascii="Arial" w:hAnsi="Arial" w:cs="Arial"/>
        </w:rPr>
      </w:pPr>
      <w:r w:rsidRPr="00A75DC1">
        <w:rPr>
          <w:rFonts w:ascii="Arial" w:hAnsi="Arial" w:cs="Arial"/>
        </w:rPr>
        <w:t xml:space="preserve">4µl of anti-CD14 FITC and </w:t>
      </w:r>
      <w:r w:rsidR="00D56D46" w:rsidRPr="00A75DC1">
        <w:rPr>
          <w:rFonts w:ascii="Arial" w:hAnsi="Arial" w:cs="Arial"/>
        </w:rPr>
        <w:t xml:space="preserve">20µl PE-conjugated anti-TNFRII </w:t>
      </w:r>
    </w:p>
    <w:p w:rsidR="00A151AF" w:rsidRPr="00A75DC1" w:rsidRDefault="00795911" w:rsidP="00844C20">
      <w:pPr>
        <w:pStyle w:val="ListParagraph"/>
        <w:numPr>
          <w:ilvl w:val="3"/>
          <w:numId w:val="4"/>
        </w:numPr>
        <w:spacing w:line="360" w:lineRule="auto"/>
        <w:ind w:left="284" w:firstLine="0"/>
        <w:jc w:val="both"/>
        <w:rPr>
          <w:rFonts w:ascii="Arial" w:hAnsi="Arial" w:cs="Arial"/>
        </w:rPr>
      </w:pPr>
      <w:r w:rsidRPr="00A75DC1">
        <w:rPr>
          <w:rFonts w:ascii="Arial" w:hAnsi="Arial" w:cs="Arial"/>
        </w:rPr>
        <w:t xml:space="preserve">100µl of blood was </w:t>
      </w:r>
      <w:r w:rsidR="00370F86" w:rsidRPr="00A75DC1">
        <w:rPr>
          <w:rFonts w:ascii="Arial" w:hAnsi="Arial" w:cs="Arial"/>
        </w:rPr>
        <w:t>left unstained and</w:t>
      </w:r>
      <w:r w:rsidRPr="00A75DC1">
        <w:rPr>
          <w:rFonts w:ascii="Arial" w:hAnsi="Arial" w:cs="Arial"/>
        </w:rPr>
        <w:t xml:space="preserve"> </w:t>
      </w:r>
      <w:r w:rsidR="00B03F21" w:rsidRPr="00A75DC1">
        <w:rPr>
          <w:rFonts w:ascii="Arial" w:hAnsi="Arial" w:cs="Arial"/>
        </w:rPr>
        <w:t>100 µl of blood was dual stained using a corresponding isotype control</w:t>
      </w:r>
      <w:r w:rsidRPr="00A75DC1">
        <w:rPr>
          <w:rFonts w:ascii="Arial" w:hAnsi="Arial" w:cs="Arial"/>
        </w:rPr>
        <w:t xml:space="preserve"> </w:t>
      </w:r>
      <w:r w:rsidR="00370F86" w:rsidRPr="00A75DC1">
        <w:rPr>
          <w:rFonts w:ascii="Arial" w:hAnsi="Arial" w:cs="Arial"/>
        </w:rPr>
        <w:t xml:space="preserve">in order </w:t>
      </w:r>
      <w:r w:rsidRPr="00A75DC1">
        <w:rPr>
          <w:rFonts w:ascii="Arial" w:hAnsi="Arial" w:cs="Arial"/>
        </w:rPr>
        <w:t>to eliminate non-specific binding</w:t>
      </w:r>
      <w:r w:rsidR="00B03F21" w:rsidRPr="00A75DC1">
        <w:rPr>
          <w:rFonts w:ascii="Arial" w:hAnsi="Arial" w:cs="Arial"/>
        </w:rPr>
        <w:t xml:space="preserve">: </w:t>
      </w:r>
    </w:p>
    <w:p w:rsidR="00B03F21" w:rsidRPr="00A75DC1" w:rsidRDefault="00B03F21" w:rsidP="00844C20">
      <w:pPr>
        <w:pStyle w:val="ListParagraph"/>
        <w:numPr>
          <w:ilvl w:val="0"/>
          <w:numId w:val="36"/>
        </w:numPr>
        <w:spacing w:line="360" w:lineRule="auto"/>
        <w:jc w:val="both"/>
        <w:rPr>
          <w:rFonts w:ascii="Arial" w:hAnsi="Arial" w:cs="Arial"/>
        </w:rPr>
      </w:pPr>
      <w:r w:rsidRPr="00A75DC1">
        <w:rPr>
          <w:rFonts w:ascii="Arial" w:hAnsi="Arial" w:cs="Arial"/>
        </w:rPr>
        <w:t>4µl of CD14 FITC isotype and 10µl of PE-conjugated MCSFR isotype</w:t>
      </w:r>
    </w:p>
    <w:p w:rsidR="00B03F21" w:rsidRPr="00A75DC1" w:rsidRDefault="00B03F21" w:rsidP="00844C20">
      <w:pPr>
        <w:pStyle w:val="ListParagraph"/>
        <w:numPr>
          <w:ilvl w:val="0"/>
          <w:numId w:val="36"/>
        </w:numPr>
        <w:spacing w:line="360" w:lineRule="auto"/>
        <w:jc w:val="both"/>
        <w:rPr>
          <w:rFonts w:ascii="Arial" w:hAnsi="Arial" w:cs="Arial"/>
        </w:rPr>
      </w:pPr>
      <w:r w:rsidRPr="00A75DC1">
        <w:rPr>
          <w:rFonts w:ascii="Arial" w:hAnsi="Arial" w:cs="Arial"/>
        </w:rPr>
        <w:t>4µl of CD14 FITC and 10µl of APC-conjugated CD11b isotype</w:t>
      </w:r>
    </w:p>
    <w:p w:rsidR="00B03F21" w:rsidRPr="00A75DC1" w:rsidRDefault="00B03F21" w:rsidP="00844C20">
      <w:pPr>
        <w:pStyle w:val="ListParagraph"/>
        <w:numPr>
          <w:ilvl w:val="0"/>
          <w:numId w:val="36"/>
        </w:numPr>
        <w:spacing w:line="360" w:lineRule="auto"/>
        <w:jc w:val="both"/>
        <w:rPr>
          <w:rFonts w:ascii="Arial" w:hAnsi="Arial" w:cs="Arial"/>
        </w:rPr>
      </w:pPr>
      <w:r w:rsidRPr="00A75DC1">
        <w:rPr>
          <w:rFonts w:ascii="Arial" w:hAnsi="Arial" w:cs="Arial"/>
        </w:rPr>
        <w:t xml:space="preserve">4µl of CD14 FITC and 20µl of PE-conjugated TNFRII isotype </w:t>
      </w:r>
    </w:p>
    <w:p w:rsidR="004D08E3" w:rsidRPr="00A75DC1" w:rsidRDefault="00A01A00" w:rsidP="00844C20">
      <w:pPr>
        <w:pStyle w:val="ListParagraph"/>
        <w:numPr>
          <w:ilvl w:val="3"/>
          <w:numId w:val="4"/>
        </w:numPr>
        <w:spacing w:line="360" w:lineRule="auto"/>
        <w:ind w:left="709" w:hanging="425"/>
        <w:jc w:val="both"/>
        <w:rPr>
          <w:rFonts w:ascii="Arial" w:hAnsi="Arial" w:cs="Arial"/>
        </w:rPr>
      </w:pPr>
      <w:r w:rsidRPr="00A75DC1">
        <w:rPr>
          <w:rFonts w:ascii="Arial" w:hAnsi="Arial" w:cs="Arial"/>
        </w:rPr>
        <w:t xml:space="preserve">The tubes were </w:t>
      </w:r>
      <w:r w:rsidR="002C102F">
        <w:rPr>
          <w:rFonts w:ascii="Arial" w:hAnsi="Arial" w:cs="Arial"/>
        </w:rPr>
        <w:t xml:space="preserve">incubated for 45 minutes at 4°C in order to </w:t>
      </w:r>
      <w:r w:rsidR="00E837CF">
        <w:rPr>
          <w:rFonts w:ascii="Arial" w:hAnsi="Arial" w:cs="Arial"/>
        </w:rPr>
        <w:t>allow the antibodies to interact with the cells.</w:t>
      </w:r>
    </w:p>
    <w:p w:rsidR="00075348" w:rsidRPr="00A75DC1" w:rsidRDefault="00A01A00" w:rsidP="00844C20">
      <w:pPr>
        <w:pStyle w:val="ListParagraph"/>
        <w:numPr>
          <w:ilvl w:val="3"/>
          <w:numId w:val="4"/>
        </w:numPr>
        <w:spacing w:line="360" w:lineRule="auto"/>
        <w:ind w:left="709" w:hanging="425"/>
        <w:jc w:val="both"/>
        <w:rPr>
          <w:rFonts w:ascii="Arial" w:hAnsi="Arial" w:cs="Arial"/>
        </w:rPr>
      </w:pPr>
      <w:r w:rsidRPr="00A75DC1">
        <w:rPr>
          <w:rFonts w:ascii="Arial" w:hAnsi="Arial" w:cs="Arial"/>
        </w:rPr>
        <w:t xml:space="preserve">1ml of was buffer containing </w:t>
      </w:r>
      <w:r w:rsidR="004611E8" w:rsidRPr="00A75DC1">
        <w:rPr>
          <w:rFonts w:ascii="Arial" w:hAnsi="Arial" w:cs="Arial"/>
        </w:rPr>
        <w:t>phosphate buffered saline (</w:t>
      </w:r>
      <w:r w:rsidRPr="00A75DC1">
        <w:rPr>
          <w:rFonts w:ascii="Arial" w:hAnsi="Arial" w:cs="Arial"/>
        </w:rPr>
        <w:t>PBS</w:t>
      </w:r>
      <w:r w:rsidR="004611E8" w:rsidRPr="00A75DC1">
        <w:rPr>
          <w:rFonts w:ascii="Arial" w:hAnsi="Arial" w:cs="Arial"/>
        </w:rPr>
        <w:t>)</w:t>
      </w:r>
      <w:r w:rsidRPr="00A75DC1">
        <w:rPr>
          <w:rFonts w:ascii="Arial" w:hAnsi="Arial" w:cs="Arial"/>
        </w:rPr>
        <w:t xml:space="preserve"> and 1% </w:t>
      </w:r>
      <w:r w:rsidR="004611E8" w:rsidRPr="00A75DC1">
        <w:rPr>
          <w:rFonts w:ascii="Arial" w:hAnsi="Arial" w:cs="Arial"/>
        </w:rPr>
        <w:t>foetal bovine serum (</w:t>
      </w:r>
      <w:r w:rsidRPr="00A75DC1">
        <w:rPr>
          <w:rFonts w:ascii="Arial" w:hAnsi="Arial" w:cs="Arial"/>
        </w:rPr>
        <w:t>FBS</w:t>
      </w:r>
      <w:r w:rsidR="004611E8" w:rsidRPr="00A75DC1">
        <w:rPr>
          <w:rFonts w:ascii="Arial" w:hAnsi="Arial" w:cs="Arial"/>
        </w:rPr>
        <w:t>)</w:t>
      </w:r>
      <w:r w:rsidRPr="00A75DC1">
        <w:rPr>
          <w:rFonts w:ascii="Arial" w:hAnsi="Arial" w:cs="Arial"/>
        </w:rPr>
        <w:t xml:space="preserve"> was added to each tube and centrifuged at 4000rpm for 3 minutes, the supernatant was removed. </w:t>
      </w:r>
      <w:r w:rsidR="00E837CF">
        <w:rPr>
          <w:rFonts w:ascii="Arial" w:hAnsi="Arial" w:cs="Arial"/>
        </w:rPr>
        <w:t xml:space="preserve">This step removed the unbound antibody for the cells. </w:t>
      </w:r>
      <w:r w:rsidRPr="00A75DC1">
        <w:rPr>
          <w:rFonts w:ascii="Arial" w:hAnsi="Arial" w:cs="Arial"/>
        </w:rPr>
        <w:t>This washing step was repeated twice.</w:t>
      </w:r>
      <w:r w:rsidR="00E837CF">
        <w:rPr>
          <w:rFonts w:ascii="Arial" w:hAnsi="Arial" w:cs="Arial"/>
        </w:rPr>
        <w:t xml:space="preserve"> </w:t>
      </w:r>
    </w:p>
    <w:p w:rsidR="00075348" w:rsidRPr="00A75DC1" w:rsidRDefault="00A01A00" w:rsidP="00844C20">
      <w:pPr>
        <w:pStyle w:val="ListParagraph"/>
        <w:numPr>
          <w:ilvl w:val="3"/>
          <w:numId w:val="4"/>
        </w:numPr>
        <w:spacing w:line="360" w:lineRule="auto"/>
        <w:ind w:left="709" w:hanging="425"/>
        <w:jc w:val="both"/>
        <w:rPr>
          <w:rFonts w:ascii="Arial" w:hAnsi="Arial" w:cs="Arial"/>
        </w:rPr>
      </w:pPr>
      <w:r w:rsidRPr="00A75DC1">
        <w:rPr>
          <w:rFonts w:ascii="Arial" w:hAnsi="Arial" w:cs="Arial"/>
        </w:rPr>
        <w:t xml:space="preserve">1ml of working strength H-Lyse buffer was added to the cells and mixed vigorously. These were </w:t>
      </w:r>
      <w:r w:rsidR="004611E8" w:rsidRPr="00A75DC1">
        <w:rPr>
          <w:rFonts w:ascii="Arial" w:hAnsi="Arial" w:cs="Arial"/>
        </w:rPr>
        <w:t>incubated</w:t>
      </w:r>
      <w:r w:rsidRPr="00A75DC1">
        <w:rPr>
          <w:rFonts w:ascii="Arial" w:hAnsi="Arial" w:cs="Arial"/>
        </w:rPr>
        <w:t xml:space="preserve"> for 20 minutes at room tempe</w:t>
      </w:r>
      <w:r w:rsidR="00075348" w:rsidRPr="00A75DC1">
        <w:rPr>
          <w:rFonts w:ascii="Arial" w:hAnsi="Arial" w:cs="Arial"/>
        </w:rPr>
        <w:t>rature until the red cell lysis</w:t>
      </w:r>
      <w:r w:rsidR="004611E8" w:rsidRPr="00A75DC1">
        <w:rPr>
          <w:rFonts w:ascii="Arial" w:hAnsi="Arial" w:cs="Arial"/>
        </w:rPr>
        <w:t xml:space="preserve"> process was </w:t>
      </w:r>
      <w:r w:rsidRPr="00A75DC1">
        <w:rPr>
          <w:rFonts w:ascii="Arial" w:hAnsi="Arial" w:cs="Arial"/>
        </w:rPr>
        <w:t>complete. This was determined following the</w:t>
      </w:r>
      <w:r w:rsidR="00D17888" w:rsidRPr="00A75DC1">
        <w:rPr>
          <w:rFonts w:ascii="Arial" w:hAnsi="Arial" w:cs="Arial"/>
        </w:rPr>
        <w:t xml:space="preserve"> colour change from turbid/opaque</w:t>
      </w:r>
      <w:r w:rsidRPr="00A75DC1">
        <w:rPr>
          <w:rFonts w:ascii="Arial" w:hAnsi="Arial" w:cs="Arial"/>
        </w:rPr>
        <w:t xml:space="preserve"> to darker</w:t>
      </w:r>
      <w:r w:rsidR="00D17888" w:rsidRPr="00A75DC1">
        <w:rPr>
          <w:rFonts w:ascii="Arial" w:hAnsi="Arial" w:cs="Arial"/>
        </w:rPr>
        <w:t xml:space="preserve"> fluid</w:t>
      </w:r>
      <w:r w:rsidRPr="00A75DC1">
        <w:rPr>
          <w:rFonts w:ascii="Arial" w:hAnsi="Arial" w:cs="Arial"/>
        </w:rPr>
        <w:t>.</w:t>
      </w:r>
      <w:r w:rsidR="00E837CF" w:rsidRPr="00E837CF">
        <w:rPr>
          <w:rFonts w:ascii="Arial" w:hAnsi="Arial" w:cs="Arial"/>
        </w:rPr>
        <w:t xml:space="preserve"> </w:t>
      </w:r>
      <w:r w:rsidR="00E837CF">
        <w:rPr>
          <w:rFonts w:ascii="Arial" w:hAnsi="Arial" w:cs="Arial"/>
        </w:rPr>
        <w:t>This step removes the red blood cells, leaving the white nucleated cells</w:t>
      </w:r>
    </w:p>
    <w:p w:rsidR="00075348" w:rsidRPr="00A75DC1" w:rsidRDefault="00075348" w:rsidP="00844C20">
      <w:pPr>
        <w:pStyle w:val="ListParagraph"/>
        <w:numPr>
          <w:ilvl w:val="3"/>
          <w:numId w:val="4"/>
        </w:numPr>
        <w:spacing w:line="360" w:lineRule="auto"/>
        <w:ind w:left="709" w:hanging="425"/>
        <w:jc w:val="both"/>
        <w:rPr>
          <w:rFonts w:ascii="Arial" w:hAnsi="Arial" w:cs="Arial"/>
        </w:rPr>
      </w:pPr>
      <w:r w:rsidRPr="00A75DC1">
        <w:rPr>
          <w:rFonts w:ascii="Arial" w:hAnsi="Arial" w:cs="Arial"/>
        </w:rPr>
        <w:t>The cells were centrifuge at 1500rpm for 5 minutes and the supernatant was removed. The cells were washed using 1ml working strength red cell lysis buffer and mixed. This process was repeated once.</w:t>
      </w:r>
    </w:p>
    <w:p w:rsidR="00A01A00" w:rsidRPr="00A75DC1" w:rsidRDefault="00075348" w:rsidP="00844C20">
      <w:pPr>
        <w:pStyle w:val="ListParagraph"/>
        <w:numPr>
          <w:ilvl w:val="3"/>
          <w:numId w:val="4"/>
        </w:numPr>
        <w:spacing w:line="360" w:lineRule="auto"/>
        <w:ind w:left="709" w:hanging="425"/>
        <w:jc w:val="both"/>
        <w:rPr>
          <w:rFonts w:ascii="Arial" w:hAnsi="Arial" w:cs="Arial"/>
        </w:rPr>
      </w:pPr>
      <w:r w:rsidRPr="00A75DC1">
        <w:rPr>
          <w:rFonts w:ascii="Arial" w:hAnsi="Arial" w:cs="Arial"/>
        </w:rPr>
        <w:t>The remaining supernatant was removed and the cells re-suspen</w:t>
      </w:r>
      <w:r w:rsidR="00E837CF">
        <w:rPr>
          <w:rFonts w:ascii="Arial" w:hAnsi="Arial" w:cs="Arial"/>
        </w:rPr>
        <w:t>ded in 500µl of PBS wash buffer and immediately analysed.</w:t>
      </w:r>
    </w:p>
    <w:p w:rsidR="004611E8" w:rsidRDefault="004611E8" w:rsidP="00844C20">
      <w:pPr>
        <w:pStyle w:val="Heading3"/>
        <w:jc w:val="both"/>
      </w:pPr>
      <w:bookmarkStart w:id="190" w:name="_Toc425418956"/>
      <w:r>
        <w:t>Flow cytometry</w:t>
      </w:r>
      <w:bookmarkEnd w:id="190"/>
    </w:p>
    <w:p w:rsidR="00075348" w:rsidRDefault="004471F3" w:rsidP="00844C20">
      <w:pPr>
        <w:spacing w:line="360" w:lineRule="auto"/>
        <w:jc w:val="both"/>
        <w:rPr>
          <w:rFonts w:ascii="Arial" w:hAnsi="Arial" w:cs="Arial"/>
        </w:rPr>
      </w:pPr>
      <w:r w:rsidRPr="00A75DC1">
        <w:rPr>
          <w:rFonts w:ascii="Arial" w:hAnsi="Arial" w:cs="Arial"/>
        </w:rPr>
        <w:t xml:space="preserve">Flow cytometry was performed </w:t>
      </w:r>
      <w:r w:rsidR="00075348" w:rsidRPr="00A75DC1">
        <w:rPr>
          <w:rFonts w:ascii="Arial" w:hAnsi="Arial" w:cs="Arial"/>
        </w:rPr>
        <w:t xml:space="preserve">to sort the cells </w:t>
      </w:r>
      <w:r w:rsidR="002D14B6">
        <w:rPr>
          <w:rFonts w:ascii="Arial" w:hAnsi="Arial" w:cs="Arial"/>
        </w:rPr>
        <w:t xml:space="preserve">using fluorescent activated cells sorting (FACS) </w:t>
      </w:r>
      <w:r w:rsidRPr="00A75DC1">
        <w:rPr>
          <w:rFonts w:ascii="Arial" w:hAnsi="Arial" w:cs="Arial"/>
        </w:rPr>
        <w:t xml:space="preserve">FACSCalibur flow cytometer </w:t>
      </w:r>
      <w:r w:rsidR="005D0ACE" w:rsidRPr="00A75DC1">
        <w:rPr>
          <w:rFonts w:ascii="Arial" w:hAnsi="Arial" w:cs="Arial"/>
        </w:rPr>
        <w:t xml:space="preserve">and analysed with CellQuest software </w:t>
      </w:r>
      <w:r w:rsidRPr="00A75DC1">
        <w:rPr>
          <w:rFonts w:ascii="Arial" w:hAnsi="Arial" w:cs="Arial"/>
        </w:rPr>
        <w:t>(Becton Dickinson &amp; Co)</w:t>
      </w:r>
      <w:r w:rsidR="003D3121" w:rsidRPr="00A75DC1">
        <w:rPr>
          <w:rFonts w:ascii="Arial" w:hAnsi="Arial" w:cs="Arial"/>
        </w:rPr>
        <w:t>.</w:t>
      </w:r>
      <w:r w:rsidR="005D0ACE" w:rsidRPr="00A75DC1">
        <w:rPr>
          <w:rFonts w:ascii="Arial" w:hAnsi="Arial" w:cs="Arial"/>
        </w:rPr>
        <w:t xml:space="preserve"> </w:t>
      </w:r>
      <w:r w:rsidR="002D14B6">
        <w:rPr>
          <w:rFonts w:ascii="Arial" w:hAnsi="Arial" w:cs="Arial"/>
        </w:rPr>
        <w:t>This method uses fluorescent probes that specifically bind to cell surface proteins. The antibody stained cells were passed through a laser in the flow cytometer and the</w:t>
      </w:r>
      <w:r w:rsidR="00D446E0">
        <w:rPr>
          <w:rFonts w:ascii="Arial" w:hAnsi="Arial" w:cs="Arial"/>
        </w:rPr>
        <w:t xml:space="preserve"> fluo</w:t>
      </w:r>
      <w:r w:rsidR="00CE08FC">
        <w:rPr>
          <w:rFonts w:ascii="Arial" w:hAnsi="Arial" w:cs="Arial"/>
        </w:rPr>
        <w:t>rochrome absorbs the energy and releases</w:t>
      </w:r>
      <w:r w:rsidR="002D14B6">
        <w:rPr>
          <w:rFonts w:ascii="Arial" w:hAnsi="Arial" w:cs="Arial"/>
        </w:rPr>
        <w:t xml:space="preserve"> this as photons. This </w:t>
      </w:r>
      <w:r w:rsidR="002D14B6">
        <w:rPr>
          <w:rFonts w:ascii="Arial" w:hAnsi="Arial" w:cs="Arial"/>
        </w:rPr>
        <w:lastRenderedPageBreak/>
        <w:t xml:space="preserve">process emits light </w:t>
      </w:r>
      <w:r w:rsidR="00D446E0">
        <w:rPr>
          <w:rFonts w:ascii="Arial" w:hAnsi="Arial" w:cs="Arial"/>
        </w:rPr>
        <w:t>and the wavelength was detected and measured by detectors. This is translated into electrical pulses which are proportional to the intensity of the fluorescence.</w:t>
      </w:r>
      <w:r w:rsidR="002D14B6">
        <w:rPr>
          <w:rFonts w:ascii="Arial" w:hAnsi="Arial" w:cs="Arial"/>
        </w:rPr>
        <w:t xml:space="preserve"> </w:t>
      </w:r>
      <w:r w:rsidR="00D446E0">
        <w:rPr>
          <w:rFonts w:ascii="Arial" w:hAnsi="Arial" w:cs="Arial"/>
        </w:rPr>
        <w:t xml:space="preserve">The characteristics of a cell population can be determined by their forward scatter (FSC) i.e. relative size and side scatter (SSC) i.e. relative granularity. </w:t>
      </w:r>
      <w:r w:rsidR="005D0ACE" w:rsidRPr="00A75DC1">
        <w:rPr>
          <w:rFonts w:ascii="Arial" w:hAnsi="Arial" w:cs="Arial"/>
        </w:rPr>
        <w:t>The results were displayed as histograms an</w:t>
      </w:r>
      <w:r w:rsidR="002C102F">
        <w:rPr>
          <w:rFonts w:ascii="Arial" w:hAnsi="Arial" w:cs="Arial"/>
        </w:rPr>
        <w:t>d bi</w:t>
      </w:r>
      <w:r w:rsidR="003B2E28">
        <w:rPr>
          <w:rFonts w:ascii="Arial" w:hAnsi="Arial" w:cs="Arial"/>
        </w:rPr>
        <w:t>variate dot plots. The PBMCs</w:t>
      </w:r>
      <w:r w:rsidR="005D0ACE" w:rsidRPr="00A75DC1">
        <w:rPr>
          <w:rFonts w:ascii="Arial" w:hAnsi="Arial" w:cs="Arial"/>
        </w:rPr>
        <w:t xml:space="preserve"> were identified according to </w:t>
      </w:r>
      <w:r w:rsidR="00774362" w:rsidRPr="00A75DC1">
        <w:rPr>
          <w:rFonts w:ascii="Arial" w:hAnsi="Arial" w:cs="Arial"/>
        </w:rPr>
        <w:t xml:space="preserve">their size and </w:t>
      </w:r>
      <w:r w:rsidR="004611E8" w:rsidRPr="00A75DC1">
        <w:rPr>
          <w:rFonts w:ascii="Arial" w:hAnsi="Arial" w:cs="Arial"/>
        </w:rPr>
        <w:t>granularity</w:t>
      </w:r>
      <w:r w:rsidR="005D0ACE" w:rsidRPr="00A75DC1">
        <w:rPr>
          <w:rFonts w:ascii="Arial" w:hAnsi="Arial" w:cs="Arial"/>
        </w:rPr>
        <w:t xml:space="preserve"> </w:t>
      </w:r>
      <w:r w:rsidR="007A4562" w:rsidRPr="00A75DC1">
        <w:rPr>
          <w:rFonts w:ascii="Arial" w:hAnsi="Arial" w:cs="Arial"/>
        </w:rPr>
        <w:t>from their forward scatter and side scatter and g</w:t>
      </w:r>
      <w:r w:rsidR="00086129">
        <w:rPr>
          <w:rFonts w:ascii="Arial" w:hAnsi="Arial" w:cs="Arial"/>
        </w:rPr>
        <w:t>ated as viable cells, (Figure 52</w:t>
      </w:r>
      <w:r w:rsidR="007A4562" w:rsidRPr="00A75DC1">
        <w:rPr>
          <w:rFonts w:ascii="Arial" w:hAnsi="Arial" w:cs="Arial"/>
        </w:rPr>
        <w:t>)</w:t>
      </w:r>
      <w:r w:rsidR="003D3121" w:rsidRPr="00A75DC1">
        <w:rPr>
          <w:rFonts w:ascii="Arial" w:hAnsi="Arial" w:cs="Arial"/>
        </w:rPr>
        <w:t>. U</w:t>
      </w:r>
      <w:r w:rsidR="00075348" w:rsidRPr="00A75DC1">
        <w:rPr>
          <w:rFonts w:ascii="Arial" w:hAnsi="Arial" w:cs="Arial"/>
        </w:rPr>
        <w:t>nstained, isotype control and dual stai</w:t>
      </w:r>
      <w:r w:rsidR="003D3121" w:rsidRPr="00A75DC1">
        <w:rPr>
          <w:rFonts w:ascii="Arial" w:hAnsi="Arial" w:cs="Arial"/>
        </w:rPr>
        <w:t>ned cells were identified from 10,000 PBMCs</w:t>
      </w:r>
      <w:r w:rsidR="00930405" w:rsidRPr="00A75DC1">
        <w:rPr>
          <w:rFonts w:ascii="Arial" w:hAnsi="Arial" w:cs="Arial"/>
        </w:rPr>
        <w:t>.</w:t>
      </w:r>
      <w:r w:rsidR="00F0686E" w:rsidRPr="00A75DC1">
        <w:rPr>
          <w:rFonts w:ascii="Arial" w:hAnsi="Arial" w:cs="Arial"/>
        </w:rPr>
        <w:t xml:space="preserve"> The cell</w:t>
      </w:r>
      <w:r w:rsidR="00930405" w:rsidRPr="00A75DC1">
        <w:rPr>
          <w:rFonts w:ascii="Arial" w:hAnsi="Arial" w:cs="Arial"/>
        </w:rPr>
        <w:t>s</w:t>
      </w:r>
      <w:r w:rsidR="00F0686E" w:rsidRPr="00A75DC1">
        <w:rPr>
          <w:rFonts w:ascii="Arial" w:hAnsi="Arial" w:cs="Arial"/>
        </w:rPr>
        <w:t xml:space="preserve"> expressing CD14 were described as being CD14</w:t>
      </w:r>
      <w:r w:rsidR="00F0686E" w:rsidRPr="00A75DC1">
        <w:rPr>
          <w:rFonts w:ascii="Arial" w:hAnsi="Arial" w:cs="Arial"/>
          <w:vertAlign w:val="superscript"/>
        </w:rPr>
        <w:t>+</w:t>
      </w:r>
      <w:r w:rsidR="00F0686E" w:rsidRPr="00A75DC1">
        <w:rPr>
          <w:rFonts w:ascii="Arial" w:hAnsi="Arial" w:cs="Arial"/>
        </w:rPr>
        <w:t xml:space="preserve"> and were identified as being monocytes</w:t>
      </w:r>
      <w:r w:rsidR="00075348" w:rsidRPr="00A75DC1">
        <w:rPr>
          <w:rFonts w:ascii="Arial" w:hAnsi="Arial" w:cs="Arial"/>
        </w:rPr>
        <w:t xml:space="preserve">, (Figure </w:t>
      </w:r>
      <w:r w:rsidR="00086129">
        <w:rPr>
          <w:rFonts w:ascii="Arial" w:hAnsi="Arial" w:cs="Arial"/>
        </w:rPr>
        <w:t>52)</w:t>
      </w:r>
      <w:r w:rsidR="00F0686E" w:rsidRPr="00A75DC1">
        <w:rPr>
          <w:rFonts w:ascii="Arial" w:hAnsi="Arial" w:cs="Arial"/>
        </w:rPr>
        <w:t>.</w:t>
      </w:r>
      <w:r w:rsidR="003B2E28">
        <w:rPr>
          <w:rFonts w:ascii="Arial" w:hAnsi="Arial" w:cs="Arial"/>
        </w:rPr>
        <w:t xml:space="preserve"> </w:t>
      </w:r>
      <w:r w:rsidR="00411350">
        <w:rPr>
          <w:rFonts w:ascii="Arial" w:hAnsi="Arial" w:cs="Arial"/>
        </w:rPr>
        <w:t xml:space="preserve">The histograms show the peaks for unstained and isotype control stained cells lay on top of each other indicating non-specific binding. There is a shift in the fluorescent intensity in antibody stained cells as shown by the clear peaks.  </w:t>
      </w:r>
    </w:p>
    <w:p w:rsidR="00685609" w:rsidRDefault="00685609" w:rsidP="00844C20">
      <w:pPr>
        <w:spacing w:line="360" w:lineRule="auto"/>
        <w:jc w:val="both"/>
        <w:rPr>
          <w:rFonts w:ascii="Arial" w:hAnsi="Arial" w:cs="Arial"/>
        </w:rPr>
      </w:pPr>
    </w:p>
    <w:p w:rsidR="00685609" w:rsidRDefault="00685609" w:rsidP="00844C20">
      <w:pPr>
        <w:spacing w:line="360" w:lineRule="auto"/>
        <w:jc w:val="both"/>
        <w:rPr>
          <w:rFonts w:ascii="Arial" w:hAnsi="Arial" w:cs="Arial"/>
        </w:rPr>
      </w:pPr>
    </w:p>
    <w:p w:rsidR="00685609" w:rsidRDefault="00685609" w:rsidP="00900F2C">
      <w:pPr>
        <w:spacing w:line="360" w:lineRule="auto"/>
        <w:rPr>
          <w:rFonts w:ascii="Arial" w:hAnsi="Arial" w:cs="Arial"/>
        </w:rPr>
      </w:pPr>
    </w:p>
    <w:p w:rsidR="00685609" w:rsidRDefault="00685609" w:rsidP="00900F2C">
      <w:pPr>
        <w:spacing w:line="360" w:lineRule="auto"/>
        <w:rPr>
          <w:rFonts w:ascii="Arial" w:hAnsi="Arial" w:cs="Arial"/>
        </w:rPr>
      </w:pPr>
    </w:p>
    <w:p w:rsidR="00685609" w:rsidRDefault="00685609" w:rsidP="00900F2C">
      <w:pPr>
        <w:spacing w:line="360" w:lineRule="auto"/>
        <w:rPr>
          <w:rFonts w:ascii="Arial" w:hAnsi="Arial" w:cs="Arial"/>
        </w:rPr>
      </w:pPr>
    </w:p>
    <w:p w:rsidR="00685609" w:rsidRDefault="00685609" w:rsidP="00900F2C">
      <w:pPr>
        <w:spacing w:line="360" w:lineRule="auto"/>
        <w:rPr>
          <w:rFonts w:ascii="Arial" w:hAnsi="Arial" w:cs="Arial"/>
        </w:rPr>
      </w:pPr>
    </w:p>
    <w:p w:rsidR="00685609" w:rsidRDefault="00685609" w:rsidP="00900F2C">
      <w:pPr>
        <w:spacing w:line="360" w:lineRule="auto"/>
        <w:rPr>
          <w:rFonts w:ascii="Arial" w:hAnsi="Arial" w:cs="Arial"/>
        </w:rPr>
      </w:pPr>
    </w:p>
    <w:p w:rsidR="00685609" w:rsidRDefault="00685609" w:rsidP="00900F2C">
      <w:pPr>
        <w:spacing w:line="360" w:lineRule="auto"/>
        <w:rPr>
          <w:rFonts w:ascii="Arial" w:hAnsi="Arial" w:cs="Arial"/>
        </w:rPr>
      </w:pPr>
    </w:p>
    <w:p w:rsidR="00685609" w:rsidRPr="00A75DC1" w:rsidRDefault="00685609" w:rsidP="00900F2C">
      <w:pPr>
        <w:spacing w:line="360" w:lineRule="auto"/>
        <w:rPr>
          <w:rFonts w:ascii="Arial" w:hAnsi="Arial" w:cs="Arial"/>
        </w:rPr>
      </w:pPr>
    </w:p>
    <w:p w:rsidR="004471F3" w:rsidRDefault="00075348" w:rsidP="009D3BB6">
      <w:pPr>
        <w:jc w:val="center"/>
      </w:pPr>
      <w:r>
        <w:rPr>
          <w:noProof/>
          <w:lang w:eastAsia="zh-CN"/>
        </w:rPr>
        <w:drawing>
          <wp:inline distT="0" distB="0" distL="0" distR="0" wp14:anchorId="35773667" wp14:editId="396EDD4B">
            <wp:extent cx="4069080" cy="1910669"/>
            <wp:effectExtent l="0" t="0" r="762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94816" cy="1922754"/>
                    </a:xfrm>
                    <a:prstGeom prst="rect">
                      <a:avLst/>
                    </a:prstGeom>
                    <a:noFill/>
                  </pic:spPr>
                </pic:pic>
              </a:graphicData>
            </a:graphic>
          </wp:inline>
        </w:drawing>
      </w:r>
    </w:p>
    <w:p w:rsidR="00930405" w:rsidRDefault="00930405" w:rsidP="00900F2C">
      <w:pPr>
        <w:rPr>
          <w:noProof/>
          <w:lang w:eastAsia="en-GB"/>
        </w:rPr>
      </w:pPr>
    </w:p>
    <w:p w:rsidR="00583E63" w:rsidRDefault="00583E63" w:rsidP="009D3BB6">
      <w:pPr>
        <w:jc w:val="center"/>
      </w:pPr>
      <w:r>
        <w:rPr>
          <w:noProof/>
          <w:lang w:eastAsia="zh-CN"/>
        </w:rPr>
        <w:lastRenderedPageBreak/>
        <w:drawing>
          <wp:inline distT="0" distB="0" distL="0" distR="0" wp14:anchorId="6D2C51D9" wp14:editId="584CD63C">
            <wp:extent cx="2457450" cy="1708823"/>
            <wp:effectExtent l="0" t="0" r="0" b="571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72094" cy="1719006"/>
                    </a:xfrm>
                    <a:prstGeom prst="rect">
                      <a:avLst/>
                    </a:prstGeom>
                    <a:noFill/>
                  </pic:spPr>
                </pic:pic>
              </a:graphicData>
            </a:graphic>
          </wp:inline>
        </w:drawing>
      </w:r>
    </w:p>
    <w:p w:rsidR="00461FE6" w:rsidRDefault="007A5519" w:rsidP="009D3BB6">
      <w:pPr>
        <w:keepNext/>
        <w:jc w:val="center"/>
      </w:pPr>
      <w:r>
        <w:rPr>
          <w:noProof/>
          <w:lang w:eastAsia="zh-CN"/>
        </w:rPr>
        <w:drawing>
          <wp:inline distT="0" distB="0" distL="0" distR="0" wp14:anchorId="16C3A4ED" wp14:editId="6A9AC580">
            <wp:extent cx="4467225" cy="3486188"/>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89371" cy="3503470"/>
                    </a:xfrm>
                    <a:prstGeom prst="rect">
                      <a:avLst/>
                    </a:prstGeom>
                    <a:noFill/>
                  </pic:spPr>
                </pic:pic>
              </a:graphicData>
            </a:graphic>
          </wp:inline>
        </w:drawing>
      </w:r>
    </w:p>
    <w:p w:rsidR="00461FE6" w:rsidRPr="00685609" w:rsidRDefault="00461FE6" w:rsidP="00844C20">
      <w:pPr>
        <w:pStyle w:val="Caption"/>
        <w:jc w:val="both"/>
        <w:rPr>
          <w:rFonts w:ascii="Arial" w:hAnsi="Arial" w:cs="Arial"/>
          <w:b w:val="0"/>
          <w:color w:val="000000" w:themeColor="text1"/>
        </w:rPr>
      </w:pPr>
      <w:bookmarkStart w:id="191" w:name="_Toc425419535"/>
      <w:r w:rsidRPr="00685609">
        <w:rPr>
          <w:rFonts w:ascii="Arial" w:hAnsi="Arial" w:cs="Arial"/>
          <w:b w:val="0"/>
          <w:color w:val="000000" w:themeColor="text1"/>
        </w:rPr>
        <w:t xml:space="preserve">Figure </w:t>
      </w:r>
      <w:r w:rsidRPr="00685609">
        <w:rPr>
          <w:rFonts w:ascii="Arial" w:hAnsi="Arial" w:cs="Arial"/>
          <w:b w:val="0"/>
          <w:color w:val="000000" w:themeColor="text1"/>
        </w:rPr>
        <w:fldChar w:fldCharType="begin"/>
      </w:r>
      <w:r w:rsidRPr="00685609">
        <w:rPr>
          <w:rFonts w:ascii="Arial" w:hAnsi="Arial" w:cs="Arial"/>
          <w:b w:val="0"/>
          <w:color w:val="000000" w:themeColor="text1"/>
        </w:rPr>
        <w:instrText xml:space="preserve"> SEQ Figure \* ARABIC </w:instrText>
      </w:r>
      <w:r w:rsidRPr="00685609">
        <w:rPr>
          <w:rFonts w:ascii="Arial" w:hAnsi="Arial" w:cs="Arial"/>
          <w:b w:val="0"/>
          <w:color w:val="000000" w:themeColor="text1"/>
        </w:rPr>
        <w:fldChar w:fldCharType="separate"/>
      </w:r>
      <w:r w:rsidR="0040369A">
        <w:rPr>
          <w:rFonts w:ascii="Arial" w:hAnsi="Arial" w:cs="Arial"/>
          <w:b w:val="0"/>
          <w:noProof/>
          <w:color w:val="000000" w:themeColor="text1"/>
        </w:rPr>
        <w:t>46</w:t>
      </w:r>
      <w:r w:rsidRPr="00685609">
        <w:rPr>
          <w:rFonts w:ascii="Arial" w:hAnsi="Arial" w:cs="Arial"/>
          <w:b w:val="0"/>
          <w:color w:val="000000" w:themeColor="text1"/>
        </w:rPr>
        <w:fldChar w:fldCharType="end"/>
      </w:r>
      <w:r w:rsidR="003D3121" w:rsidRPr="00685609">
        <w:rPr>
          <w:rFonts w:ascii="Arial" w:hAnsi="Arial" w:cs="Arial"/>
          <w:b w:val="0"/>
          <w:color w:val="000000" w:themeColor="text1"/>
        </w:rPr>
        <w:t>: Top panel: PBMCs identified using flow cytometry according to their forward and side scatter. Second panel: Unstained, CD14 isotype control and CD14+ monocytes</w:t>
      </w:r>
      <w:r w:rsidR="00EA2EA7" w:rsidRPr="00685609">
        <w:rPr>
          <w:rFonts w:ascii="Arial" w:hAnsi="Arial" w:cs="Arial"/>
          <w:b w:val="0"/>
          <w:color w:val="000000" w:themeColor="text1"/>
        </w:rPr>
        <w:t>. Bottom panel:</w:t>
      </w:r>
      <w:r w:rsidR="001B6906" w:rsidRPr="00685609">
        <w:rPr>
          <w:rFonts w:ascii="Arial" w:hAnsi="Arial" w:cs="Arial"/>
          <w:b w:val="0"/>
          <w:color w:val="000000" w:themeColor="text1"/>
        </w:rPr>
        <w:t xml:space="preserve"> Dual staining CD14/MCSFR isoty</w:t>
      </w:r>
      <w:r w:rsidR="00EA2EA7" w:rsidRPr="00685609">
        <w:rPr>
          <w:rFonts w:ascii="Arial" w:hAnsi="Arial" w:cs="Arial"/>
          <w:b w:val="0"/>
          <w:color w:val="000000" w:themeColor="text1"/>
        </w:rPr>
        <w:t>pe control (blue peak) and antibody (clear peak), CD14/CD11b isotype control (blue peak) and antibody (clear peak) and CD14/TNFRII isotype control (blue peak) and antibody (clear peak)</w:t>
      </w:r>
      <w:bookmarkEnd w:id="191"/>
    </w:p>
    <w:p w:rsidR="004A7F9C" w:rsidRDefault="004A7F9C" w:rsidP="00844C20">
      <w:pPr>
        <w:spacing w:line="360" w:lineRule="auto"/>
        <w:jc w:val="both"/>
        <w:rPr>
          <w:rFonts w:ascii="Arial" w:hAnsi="Arial" w:cs="Arial"/>
        </w:rPr>
      </w:pPr>
    </w:p>
    <w:p w:rsidR="00685609" w:rsidRDefault="00685609" w:rsidP="00844C20">
      <w:pPr>
        <w:spacing w:line="360" w:lineRule="auto"/>
        <w:jc w:val="both"/>
        <w:rPr>
          <w:rFonts w:ascii="Arial" w:hAnsi="Arial" w:cs="Arial"/>
        </w:rPr>
      </w:pPr>
    </w:p>
    <w:p w:rsidR="00461FE6" w:rsidRPr="00A75DC1" w:rsidRDefault="00461FE6" w:rsidP="00844C20">
      <w:pPr>
        <w:spacing w:line="360" w:lineRule="auto"/>
        <w:jc w:val="both"/>
        <w:rPr>
          <w:rFonts w:ascii="Arial" w:hAnsi="Arial" w:cs="Arial"/>
        </w:rPr>
      </w:pPr>
      <w:r w:rsidRPr="00A75DC1">
        <w:rPr>
          <w:rFonts w:ascii="Arial" w:hAnsi="Arial" w:cs="Arial"/>
        </w:rPr>
        <w:t>Following cell separation and sorting according to their expression of these cell surface receptors the</w:t>
      </w:r>
      <w:r w:rsidR="003D3121" w:rsidRPr="00A75DC1">
        <w:rPr>
          <w:rFonts w:ascii="Arial" w:hAnsi="Arial" w:cs="Arial"/>
        </w:rPr>
        <w:t xml:space="preserve"> num</w:t>
      </w:r>
      <w:r w:rsidR="00DC1090" w:rsidRPr="00A75DC1">
        <w:rPr>
          <w:rFonts w:ascii="Arial" w:hAnsi="Arial" w:cs="Arial"/>
        </w:rPr>
        <w:t>bers were captured on dot plots</w:t>
      </w:r>
      <w:r w:rsidR="007A4562" w:rsidRPr="00A75DC1">
        <w:rPr>
          <w:rFonts w:ascii="Arial" w:hAnsi="Arial" w:cs="Arial"/>
        </w:rPr>
        <w:t xml:space="preserve"> from 10,000 events that represented the viable cells gated.</w:t>
      </w:r>
      <w:r w:rsidRPr="00A75DC1">
        <w:rPr>
          <w:rFonts w:ascii="Arial" w:hAnsi="Arial" w:cs="Arial"/>
        </w:rPr>
        <w:t xml:space="preserve"> </w:t>
      </w:r>
      <w:r w:rsidR="007A4562" w:rsidRPr="00A75DC1">
        <w:rPr>
          <w:rFonts w:ascii="Arial" w:hAnsi="Arial" w:cs="Arial"/>
        </w:rPr>
        <w:t>T</w:t>
      </w:r>
      <w:r w:rsidR="00930405" w:rsidRPr="00A75DC1">
        <w:rPr>
          <w:rFonts w:ascii="Arial" w:hAnsi="Arial" w:cs="Arial"/>
        </w:rPr>
        <w:t xml:space="preserve">he </w:t>
      </w:r>
      <w:r w:rsidRPr="00A75DC1">
        <w:rPr>
          <w:rFonts w:ascii="Arial" w:hAnsi="Arial" w:cs="Arial"/>
        </w:rPr>
        <w:t xml:space="preserve">percentage of </w:t>
      </w:r>
      <w:r w:rsidR="00930405" w:rsidRPr="00A75DC1">
        <w:rPr>
          <w:rFonts w:ascii="Arial" w:hAnsi="Arial" w:cs="Arial"/>
        </w:rPr>
        <w:t>monocytes</w:t>
      </w:r>
      <w:r w:rsidRPr="00A75DC1">
        <w:rPr>
          <w:rFonts w:ascii="Arial" w:hAnsi="Arial" w:cs="Arial"/>
        </w:rPr>
        <w:t xml:space="preserve"> (CD14+) also expressing MCSFR, CD11b and TNFRII were calculate</w:t>
      </w:r>
      <w:r w:rsidR="003D3121" w:rsidRPr="00A75DC1">
        <w:rPr>
          <w:rFonts w:ascii="Arial" w:hAnsi="Arial" w:cs="Arial"/>
        </w:rPr>
        <w:t>d</w:t>
      </w:r>
      <w:r w:rsidR="00086129">
        <w:rPr>
          <w:rFonts w:ascii="Arial" w:hAnsi="Arial" w:cs="Arial"/>
        </w:rPr>
        <w:t>, (Figure 53</w:t>
      </w:r>
      <w:r w:rsidR="003D3121" w:rsidRPr="00A75DC1">
        <w:rPr>
          <w:rFonts w:ascii="Arial" w:hAnsi="Arial" w:cs="Arial"/>
        </w:rPr>
        <w:t>)</w:t>
      </w:r>
      <w:r w:rsidR="00DC1090" w:rsidRPr="00A75DC1">
        <w:rPr>
          <w:rFonts w:ascii="Arial" w:hAnsi="Arial" w:cs="Arial"/>
        </w:rPr>
        <w:t xml:space="preserve">. The number of positively stained cells are located in the upper right quadrant of each dot plot. This analysis was performed for each study participant at baseline and following 1 and 48 weeks </w:t>
      </w:r>
      <w:r w:rsidR="005D0ACE" w:rsidRPr="00A75DC1">
        <w:rPr>
          <w:rFonts w:ascii="Arial" w:hAnsi="Arial" w:cs="Arial"/>
        </w:rPr>
        <w:t xml:space="preserve">ibandronate, alendronate and risedronate </w:t>
      </w:r>
      <w:r w:rsidR="00DC1090" w:rsidRPr="00A75DC1">
        <w:rPr>
          <w:rFonts w:ascii="Arial" w:hAnsi="Arial" w:cs="Arial"/>
        </w:rPr>
        <w:t>treatment</w:t>
      </w:r>
      <w:r w:rsidR="00930405" w:rsidRPr="00A75DC1">
        <w:rPr>
          <w:rFonts w:ascii="Arial" w:hAnsi="Arial" w:cs="Arial"/>
        </w:rPr>
        <w:t xml:space="preserve"> as well as in the subs</w:t>
      </w:r>
      <w:r w:rsidR="005D0ACE" w:rsidRPr="00A75DC1">
        <w:rPr>
          <w:rFonts w:ascii="Arial" w:hAnsi="Arial" w:cs="Arial"/>
        </w:rPr>
        <w:t>et of 25 premenopausal controls receiving no treatments.</w:t>
      </w:r>
    </w:p>
    <w:p w:rsidR="003D3121" w:rsidRDefault="003D3121" w:rsidP="009D3BB6">
      <w:pPr>
        <w:keepNext/>
      </w:pPr>
      <w:r>
        <w:rPr>
          <w:noProof/>
          <w:lang w:eastAsia="zh-CN"/>
        </w:rPr>
        <w:lastRenderedPageBreak/>
        <w:drawing>
          <wp:inline distT="0" distB="0" distL="0" distR="0" wp14:anchorId="4E97C28D" wp14:editId="2F0F6926">
            <wp:extent cx="5687318" cy="5857150"/>
            <wp:effectExtent l="0" t="0" r="889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98886" cy="5869063"/>
                    </a:xfrm>
                    <a:prstGeom prst="rect">
                      <a:avLst/>
                    </a:prstGeom>
                    <a:noFill/>
                  </pic:spPr>
                </pic:pic>
              </a:graphicData>
            </a:graphic>
          </wp:inline>
        </w:drawing>
      </w:r>
    </w:p>
    <w:p w:rsidR="00B03F21" w:rsidRDefault="003D3121" w:rsidP="00844C20">
      <w:pPr>
        <w:pStyle w:val="Caption"/>
        <w:jc w:val="both"/>
        <w:rPr>
          <w:rFonts w:ascii="Arial" w:hAnsi="Arial" w:cs="Arial"/>
          <w:b w:val="0"/>
          <w:color w:val="000000" w:themeColor="text1"/>
        </w:rPr>
      </w:pPr>
      <w:bookmarkStart w:id="192" w:name="_Toc425419536"/>
      <w:r w:rsidRPr="00685609">
        <w:rPr>
          <w:rFonts w:ascii="Arial" w:hAnsi="Arial" w:cs="Arial"/>
          <w:b w:val="0"/>
          <w:color w:val="000000" w:themeColor="text1"/>
        </w:rPr>
        <w:t xml:space="preserve">Figure </w:t>
      </w:r>
      <w:r w:rsidRPr="00685609">
        <w:rPr>
          <w:rFonts w:ascii="Arial" w:hAnsi="Arial" w:cs="Arial"/>
          <w:b w:val="0"/>
          <w:color w:val="000000" w:themeColor="text1"/>
        </w:rPr>
        <w:fldChar w:fldCharType="begin"/>
      </w:r>
      <w:r w:rsidRPr="00685609">
        <w:rPr>
          <w:rFonts w:ascii="Arial" w:hAnsi="Arial" w:cs="Arial"/>
          <w:b w:val="0"/>
          <w:color w:val="000000" w:themeColor="text1"/>
        </w:rPr>
        <w:instrText xml:space="preserve"> SEQ Figure \* ARABIC </w:instrText>
      </w:r>
      <w:r w:rsidRPr="00685609">
        <w:rPr>
          <w:rFonts w:ascii="Arial" w:hAnsi="Arial" w:cs="Arial"/>
          <w:b w:val="0"/>
          <w:color w:val="000000" w:themeColor="text1"/>
        </w:rPr>
        <w:fldChar w:fldCharType="separate"/>
      </w:r>
      <w:r w:rsidR="0040369A">
        <w:rPr>
          <w:rFonts w:ascii="Arial" w:hAnsi="Arial" w:cs="Arial"/>
          <w:b w:val="0"/>
          <w:noProof/>
          <w:color w:val="000000" w:themeColor="text1"/>
        </w:rPr>
        <w:t>47</w:t>
      </w:r>
      <w:r w:rsidRPr="00685609">
        <w:rPr>
          <w:rFonts w:ascii="Arial" w:hAnsi="Arial" w:cs="Arial"/>
          <w:b w:val="0"/>
          <w:color w:val="000000" w:themeColor="text1"/>
        </w:rPr>
        <w:fldChar w:fldCharType="end"/>
      </w:r>
      <w:r w:rsidR="007B4162" w:rsidRPr="00685609">
        <w:rPr>
          <w:rFonts w:ascii="Arial" w:hAnsi="Arial" w:cs="Arial"/>
          <w:b w:val="0"/>
          <w:color w:val="000000" w:themeColor="text1"/>
        </w:rPr>
        <w:t>: Unstained</w:t>
      </w:r>
      <w:r w:rsidR="007568EA">
        <w:rPr>
          <w:rFonts w:ascii="Arial" w:hAnsi="Arial" w:cs="Arial"/>
          <w:b w:val="0"/>
          <w:color w:val="000000" w:themeColor="text1"/>
        </w:rPr>
        <w:t xml:space="preserve"> (top panel)</w:t>
      </w:r>
      <w:r w:rsidR="007B4162" w:rsidRPr="00685609">
        <w:rPr>
          <w:rFonts w:ascii="Arial" w:hAnsi="Arial" w:cs="Arial"/>
          <w:b w:val="0"/>
          <w:color w:val="000000" w:themeColor="text1"/>
        </w:rPr>
        <w:t>, antibody</w:t>
      </w:r>
      <w:r w:rsidR="007568EA">
        <w:rPr>
          <w:rFonts w:ascii="Arial" w:hAnsi="Arial" w:cs="Arial"/>
          <w:b w:val="0"/>
          <w:color w:val="000000" w:themeColor="text1"/>
        </w:rPr>
        <w:t xml:space="preserve"> (right)</w:t>
      </w:r>
      <w:r w:rsidR="007B4162" w:rsidRPr="00685609">
        <w:rPr>
          <w:rFonts w:ascii="Arial" w:hAnsi="Arial" w:cs="Arial"/>
          <w:b w:val="0"/>
          <w:color w:val="000000" w:themeColor="text1"/>
        </w:rPr>
        <w:t xml:space="preserve"> and isotype control</w:t>
      </w:r>
      <w:r w:rsidR="007568EA">
        <w:rPr>
          <w:rFonts w:ascii="Arial" w:hAnsi="Arial" w:cs="Arial"/>
          <w:b w:val="0"/>
          <w:color w:val="000000" w:themeColor="text1"/>
        </w:rPr>
        <w:t>s (left)</w:t>
      </w:r>
      <w:r w:rsidR="007B4162" w:rsidRPr="00685609">
        <w:rPr>
          <w:rFonts w:ascii="Arial" w:hAnsi="Arial" w:cs="Arial"/>
          <w:b w:val="0"/>
          <w:color w:val="000000" w:themeColor="text1"/>
        </w:rPr>
        <w:t xml:space="preserve"> stained PBMCs. The number of PBMCs that are positive for and express CD14/MCSFR, CD14/MCSFR and CD14/TNFRII on their cell surface are </w:t>
      </w:r>
      <w:r w:rsidR="00DC1090" w:rsidRPr="00685609">
        <w:rPr>
          <w:rFonts w:ascii="Arial" w:hAnsi="Arial" w:cs="Arial"/>
          <w:b w:val="0"/>
          <w:color w:val="000000" w:themeColor="text1"/>
        </w:rPr>
        <w:t>shown in the upper right of each quadrant of each dot plot</w:t>
      </w:r>
      <w:bookmarkEnd w:id="192"/>
    </w:p>
    <w:p w:rsidR="00685609" w:rsidRPr="00685609" w:rsidRDefault="00685609" w:rsidP="00844C20">
      <w:pPr>
        <w:jc w:val="both"/>
      </w:pPr>
    </w:p>
    <w:p w:rsidR="00A94B4A" w:rsidRDefault="00A94B4A" w:rsidP="00844C20">
      <w:pPr>
        <w:pStyle w:val="Heading3"/>
        <w:jc w:val="both"/>
      </w:pPr>
      <w:bookmarkStart w:id="193" w:name="_Toc425418957"/>
      <w:r>
        <w:t>Biochemistry</w:t>
      </w:r>
      <w:r w:rsidR="003E3185">
        <w:t xml:space="preserve"> methods</w:t>
      </w:r>
      <w:bookmarkEnd w:id="193"/>
    </w:p>
    <w:p w:rsidR="00A94B4A" w:rsidRPr="003E3185" w:rsidRDefault="00A94B4A" w:rsidP="00844C20">
      <w:pPr>
        <w:spacing w:line="360" w:lineRule="auto"/>
        <w:jc w:val="both"/>
        <w:rPr>
          <w:rFonts w:ascii="Arial" w:hAnsi="Arial" w:cs="Arial"/>
        </w:rPr>
      </w:pPr>
      <w:r>
        <w:rPr>
          <w:rFonts w:ascii="Arial" w:hAnsi="Arial" w:cs="Arial"/>
        </w:rPr>
        <w:t>The CTX and</w:t>
      </w:r>
      <w:r w:rsidRPr="005732A7">
        <w:rPr>
          <w:rFonts w:ascii="Arial" w:hAnsi="Arial" w:cs="Arial"/>
        </w:rPr>
        <w:t xml:space="preserve"> PINP </w:t>
      </w:r>
      <w:r>
        <w:rPr>
          <w:rFonts w:ascii="Arial" w:hAnsi="Arial" w:cs="Arial"/>
        </w:rPr>
        <w:t>date from t</w:t>
      </w:r>
      <w:r w:rsidR="003E3185">
        <w:rPr>
          <w:rFonts w:ascii="Arial" w:hAnsi="Arial" w:cs="Arial"/>
        </w:rPr>
        <w:t>he</w:t>
      </w:r>
      <w:r>
        <w:rPr>
          <w:rFonts w:ascii="Arial" w:hAnsi="Arial" w:cs="Arial"/>
        </w:rPr>
        <w:t xml:space="preserve"> subset of participants </w:t>
      </w:r>
      <w:r w:rsidR="003E3185">
        <w:rPr>
          <w:rFonts w:ascii="Arial" w:hAnsi="Arial" w:cs="Arial"/>
        </w:rPr>
        <w:t>who were used for FACS analysis were</w:t>
      </w:r>
      <w:r>
        <w:rPr>
          <w:rFonts w:ascii="Arial" w:hAnsi="Arial" w:cs="Arial"/>
        </w:rPr>
        <w:t xml:space="preserve"> used</w:t>
      </w:r>
      <w:r w:rsidR="003E3185">
        <w:rPr>
          <w:rFonts w:ascii="Arial" w:hAnsi="Arial" w:cs="Arial"/>
        </w:rPr>
        <w:t>. These were</w:t>
      </w:r>
      <w:r>
        <w:rPr>
          <w:rFonts w:ascii="Arial" w:hAnsi="Arial" w:cs="Arial"/>
        </w:rPr>
        <w:t xml:space="preserve"> previously measured using</w:t>
      </w:r>
      <w:r w:rsidRPr="005732A7">
        <w:rPr>
          <w:rFonts w:ascii="Arial" w:hAnsi="Arial" w:cs="Arial"/>
        </w:rPr>
        <w:t xml:space="preserve"> the IDS-</w:t>
      </w:r>
      <w:r>
        <w:rPr>
          <w:rFonts w:ascii="Arial" w:hAnsi="Arial" w:cs="Arial"/>
        </w:rPr>
        <w:t xml:space="preserve">iSYS CLIA </w:t>
      </w:r>
      <w:r w:rsidRPr="005732A7">
        <w:rPr>
          <w:rFonts w:ascii="Arial" w:hAnsi="Arial" w:cs="Arial"/>
        </w:rPr>
        <w:t>technology automated immunoassay</w:t>
      </w:r>
      <w:r>
        <w:rPr>
          <w:rFonts w:ascii="Arial" w:hAnsi="Arial" w:cs="Arial"/>
        </w:rPr>
        <w:t>, in chapter 5</w:t>
      </w:r>
      <w:r w:rsidRPr="005732A7">
        <w:rPr>
          <w:rFonts w:ascii="Arial" w:hAnsi="Arial" w:cs="Arial"/>
        </w:rPr>
        <w:t>.</w:t>
      </w:r>
      <w:r>
        <w:rPr>
          <w:rFonts w:ascii="Arial" w:hAnsi="Arial" w:cs="Arial"/>
        </w:rPr>
        <w:t xml:space="preserve"> Circulating levels of RANKL and OPG were also </w:t>
      </w:r>
      <w:r w:rsidR="0093559C">
        <w:rPr>
          <w:rFonts w:ascii="Arial" w:hAnsi="Arial" w:cs="Arial"/>
        </w:rPr>
        <w:t xml:space="preserve">measured in these </w:t>
      </w:r>
      <w:r>
        <w:rPr>
          <w:rFonts w:ascii="Arial" w:hAnsi="Arial" w:cs="Arial"/>
        </w:rPr>
        <w:t xml:space="preserve">participants using manual sandwich enzyme immunoassays from Biomedica Gruppe (Vienna, Austria) and </w:t>
      </w:r>
      <w:r w:rsidRPr="0066224E">
        <w:rPr>
          <w:rFonts w:ascii="Arial" w:hAnsi="Arial" w:cs="Arial"/>
          <w:color w:val="000000" w:themeColor="text1"/>
        </w:rPr>
        <w:t>Biovendor (</w:t>
      </w:r>
      <w:r w:rsidRPr="0066224E">
        <w:rPr>
          <w:rFonts w:ascii="Arial" w:hAnsi="Arial" w:cs="Arial"/>
          <w:bCs/>
          <w:color w:val="000000" w:themeColor="text1"/>
          <w:lang w:val="cs-CZ"/>
        </w:rPr>
        <w:t xml:space="preserve">Czech </w:t>
      </w:r>
      <w:r>
        <w:rPr>
          <w:rFonts w:ascii="Arial" w:hAnsi="Arial" w:cs="Arial"/>
          <w:bCs/>
          <w:color w:val="000000" w:themeColor="text1"/>
          <w:lang w:val="cs-CZ"/>
        </w:rPr>
        <w:t xml:space="preserve">Republic), respectively. </w:t>
      </w:r>
      <w:r w:rsidR="00833A70">
        <w:rPr>
          <w:rFonts w:ascii="Arial" w:hAnsi="Arial" w:cs="Arial"/>
        </w:rPr>
        <w:t>The inter-assay CV’s were 4%</w:t>
      </w:r>
      <w:r w:rsidR="00916392">
        <w:rPr>
          <w:rFonts w:ascii="Arial" w:hAnsi="Arial" w:cs="Arial"/>
        </w:rPr>
        <w:t xml:space="preserve"> and 5.2%</w:t>
      </w:r>
      <w:r>
        <w:rPr>
          <w:rFonts w:ascii="Arial" w:hAnsi="Arial" w:cs="Arial"/>
        </w:rPr>
        <w:t xml:space="preserve"> respectively.</w:t>
      </w:r>
    </w:p>
    <w:p w:rsidR="00A94B4A" w:rsidRPr="007A2673" w:rsidRDefault="00A94B4A" w:rsidP="00844C20">
      <w:pPr>
        <w:spacing w:line="360" w:lineRule="auto"/>
        <w:jc w:val="both"/>
        <w:rPr>
          <w:rFonts w:ascii="Arial" w:hAnsi="Arial" w:cs="Arial"/>
        </w:rPr>
      </w:pPr>
      <w:r w:rsidRPr="007A2673">
        <w:rPr>
          <w:rFonts w:ascii="Arial" w:hAnsi="Arial" w:cs="Arial"/>
        </w:rPr>
        <w:t>The CTX and PINP data from all of the TRIO study participants were used to investigate the effects of bisphosphonates on bone turnover and bone balance i.e. the intention to treat population.</w:t>
      </w:r>
    </w:p>
    <w:p w:rsidR="00A94B4A" w:rsidRPr="007A2673" w:rsidRDefault="00A94B4A" w:rsidP="00844C20">
      <w:pPr>
        <w:spacing w:line="360" w:lineRule="auto"/>
        <w:jc w:val="both"/>
        <w:rPr>
          <w:rFonts w:ascii="Arial" w:hAnsi="Arial" w:cs="Arial"/>
        </w:rPr>
      </w:pPr>
      <w:r w:rsidRPr="007A2673">
        <w:rPr>
          <w:rFonts w:ascii="Arial" w:hAnsi="Arial" w:cs="Arial"/>
        </w:rPr>
        <w:lastRenderedPageBreak/>
        <w:t>A subset of 92 postmenopausal women with osteoporosis from the TRIO study were used to investigate the effects of bisphosphonates of c</w:t>
      </w:r>
      <w:r w:rsidR="00345E83">
        <w:rPr>
          <w:rFonts w:ascii="Arial" w:hAnsi="Arial" w:cs="Arial"/>
        </w:rPr>
        <w:t>irculating levels of sclerostin, i.e. per protocol population.</w:t>
      </w:r>
      <w:r w:rsidRPr="007A2673">
        <w:rPr>
          <w:rFonts w:ascii="Arial" w:hAnsi="Arial" w:cs="Arial"/>
        </w:rPr>
        <w:t xml:space="preserve"> Circulating levels of sclerostin were measured in fasting serum samples at baseline 1 and 2 then at w</w:t>
      </w:r>
      <w:r>
        <w:rPr>
          <w:rFonts w:ascii="Arial" w:hAnsi="Arial" w:cs="Arial"/>
        </w:rPr>
        <w:t>eeks 1, 2, 4, 12, 13, 48 and 96</w:t>
      </w:r>
      <w:r w:rsidR="00572A36">
        <w:rPr>
          <w:rFonts w:ascii="Arial" w:hAnsi="Arial" w:cs="Arial"/>
        </w:rPr>
        <w:t xml:space="preserve"> after treatment commenced. A 9</w:t>
      </w:r>
      <w:r w:rsidRPr="00C32032">
        <w:rPr>
          <w:rFonts w:ascii="Arial" w:hAnsi="Arial" w:cs="Arial"/>
        </w:rPr>
        <w:t>6-well plate direct-capture enzyme immunoassay from TECOmedical Group (Sissach, Switzerland)</w:t>
      </w:r>
      <w:r>
        <w:rPr>
          <w:rFonts w:ascii="Arial" w:hAnsi="Arial" w:cs="Arial"/>
        </w:rPr>
        <w:t>, (described in chapter 2)</w:t>
      </w:r>
      <w:r w:rsidR="00572A36">
        <w:rPr>
          <w:rFonts w:ascii="Arial" w:hAnsi="Arial" w:cs="Arial"/>
        </w:rPr>
        <w:t xml:space="preserve"> was used</w:t>
      </w:r>
      <w:r w:rsidR="003E3185">
        <w:rPr>
          <w:rFonts w:ascii="Arial" w:hAnsi="Arial" w:cs="Arial"/>
        </w:rPr>
        <w:t>. The inter assay CV for sclerostin was less than 10% for each three quality control material used.</w:t>
      </w:r>
    </w:p>
    <w:p w:rsidR="00A94B4A" w:rsidRDefault="00A94B4A" w:rsidP="00844C20">
      <w:pPr>
        <w:pStyle w:val="Heading3"/>
        <w:jc w:val="both"/>
      </w:pPr>
      <w:bookmarkStart w:id="194" w:name="_Toc425418958"/>
      <w:r>
        <w:t>Statistical analysis</w:t>
      </w:r>
      <w:bookmarkEnd w:id="194"/>
    </w:p>
    <w:p w:rsidR="00A94B4A" w:rsidRDefault="00A94B4A" w:rsidP="00844C20">
      <w:pPr>
        <w:spacing w:line="360" w:lineRule="auto"/>
        <w:jc w:val="both"/>
        <w:rPr>
          <w:rFonts w:ascii="Arial" w:hAnsi="Arial" w:cs="Arial"/>
        </w:rPr>
      </w:pPr>
      <w:r w:rsidRPr="00843813">
        <w:rPr>
          <w:rFonts w:ascii="Arial" w:hAnsi="Arial" w:cs="Arial"/>
        </w:rPr>
        <w:t xml:space="preserve">A non-parametric Wilcoxon’s signed test was used to compare the percentage of circulating osteoclast precursor cells, CTX and PINP at baseline and after 1 and 48 weeks of treatment. </w:t>
      </w:r>
    </w:p>
    <w:p w:rsidR="003730C2" w:rsidRPr="003730C2" w:rsidRDefault="003730C2" w:rsidP="00844C20">
      <w:pPr>
        <w:tabs>
          <w:tab w:val="left" w:pos="1980"/>
        </w:tabs>
        <w:spacing w:line="360" w:lineRule="auto"/>
        <w:jc w:val="both"/>
        <w:rPr>
          <w:rFonts w:ascii="Arial" w:hAnsi="Arial" w:cs="Arial"/>
          <w:bCs/>
        </w:rPr>
      </w:pPr>
      <w:r w:rsidRPr="003730C2">
        <w:rPr>
          <w:rFonts w:ascii="Arial" w:hAnsi="Arial" w:cs="Arial"/>
          <w:bCs/>
        </w:rPr>
        <w:t xml:space="preserve">A one-way analysis of variance (ANOVA) was used to compare the percentage </w:t>
      </w:r>
      <w:r w:rsidR="005A05B1">
        <w:rPr>
          <w:rFonts w:ascii="Arial" w:hAnsi="Arial" w:cs="Arial"/>
          <w:bCs/>
        </w:rPr>
        <w:t xml:space="preserve">from baseline </w:t>
      </w:r>
      <w:r w:rsidRPr="003730C2">
        <w:rPr>
          <w:rFonts w:ascii="Arial" w:hAnsi="Arial" w:cs="Arial"/>
          <w:bCs/>
        </w:rPr>
        <w:t>of circulating osteoclast precursor cells, CTX and PINP between each treatment group after 48 weeks</w:t>
      </w:r>
      <w:r w:rsidR="00220137">
        <w:rPr>
          <w:rFonts w:ascii="Arial" w:hAnsi="Arial" w:cs="Arial"/>
          <w:bCs/>
        </w:rPr>
        <w:t xml:space="preserve"> of treatment</w:t>
      </w:r>
      <w:r w:rsidRPr="003730C2">
        <w:rPr>
          <w:rFonts w:ascii="Arial" w:hAnsi="Arial" w:cs="Arial"/>
          <w:bCs/>
        </w:rPr>
        <w:t xml:space="preserve">. A Kruskal-Wallis test was used to determine significance. </w:t>
      </w:r>
    </w:p>
    <w:p w:rsidR="00B3463D" w:rsidRPr="00220137" w:rsidRDefault="00A94B4A" w:rsidP="00844C20">
      <w:pPr>
        <w:tabs>
          <w:tab w:val="left" w:pos="1980"/>
        </w:tabs>
        <w:spacing w:line="360" w:lineRule="auto"/>
        <w:jc w:val="both"/>
        <w:rPr>
          <w:rFonts w:ascii="Arial" w:hAnsi="Arial" w:cs="Arial"/>
          <w:bCs/>
        </w:rPr>
      </w:pPr>
      <w:r w:rsidRPr="000512CD">
        <w:rPr>
          <w:rFonts w:ascii="Arial" w:hAnsi="Arial" w:cs="Arial"/>
        </w:rPr>
        <w:t>The values for PINP and CTX were log</w:t>
      </w:r>
      <w:r w:rsidRPr="000512CD">
        <w:rPr>
          <w:rFonts w:ascii="Arial" w:hAnsi="Arial" w:cs="Arial"/>
          <w:vertAlign w:val="subscript"/>
        </w:rPr>
        <w:t>10</w:t>
      </w:r>
      <w:r w:rsidRPr="000512CD">
        <w:rPr>
          <w:rFonts w:ascii="Arial" w:hAnsi="Arial" w:cs="Arial"/>
        </w:rPr>
        <w:t>-transformed and</w:t>
      </w:r>
      <w:r w:rsidR="003F0A8B">
        <w:rPr>
          <w:rFonts w:ascii="Arial" w:hAnsi="Arial" w:cs="Arial"/>
        </w:rPr>
        <w:t xml:space="preserve"> normalised. At each visit the T</w:t>
      </w:r>
      <w:r w:rsidRPr="000512CD">
        <w:rPr>
          <w:rFonts w:ascii="Arial" w:hAnsi="Arial" w:cs="Arial"/>
        </w:rPr>
        <w:t>-scores for PINP and CTX value were calculated for each postmenopausal woman using the mean and standard deviation of the results for the premenopausal women. Bone turnover was the</w:t>
      </w:r>
      <w:r w:rsidR="003F0A8B">
        <w:rPr>
          <w:rFonts w:ascii="Arial" w:hAnsi="Arial" w:cs="Arial"/>
        </w:rPr>
        <w:t xml:space="preserve"> average of the two T</w:t>
      </w:r>
      <w:r w:rsidRPr="000512CD">
        <w:rPr>
          <w:rFonts w:ascii="Arial" w:hAnsi="Arial" w:cs="Arial"/>
        </w:rPr>
        <w:t xml:space="preserve">-scores and bone balance was </w:t>
      </w:r>
      <w:r w:rsidR="003F0A8B">
        <w:rPr>
          <w:rFonts w:ascii="Arial" w:hAnsi="Arial" w:cs="Arial"/>
        </w:rPr>
        <w:t>the difference between the two T</w:t>
      </w:r>
      <w:r w:rsidRPr="000512CD">
        <w:rPr>
          <w:rFonts w:ascii="Arial" w:hAnsi="Arial" w:cs="Arial"/>
        </w:rPr>
        <w:t>-scores (as described in chapter 4).</w:t>
      </w:r>
      <w:r w:rsidR="00220137">
        <w:rPr>
          <w:rFonts w:ascii="Arial" w:hAnsi="Arial" w:cs="Arial"/>
        </w:rPr>
        <w:t xml:space="preserve"> </w:t>
      </w:r>
      <w:r w:rsidR="00220137">
        <w:rPr>
          <w:rFonts w:ascii="Arial" w:hAnsi="Arial" w:cs="Arial"/>
          <w:bCs/>
        </w:rPr>
        <w:t>ANOVA</w:t>
      </w:r>
      <w:r w:rsidR="00220137" w:rsidRPr="003730C2">
        <w:rPr>
          <w:rFonts w:ascii="Arial" w:hAnsi="Arial" w:cs="Arial"/>
          <w:bCs/>
        </w:rPr>
        <w:t xml:space="preserve"> was used to compare the</w:t>
      </w:r>
      <w:r w:rsidR="00220137">
        <w:rPr>
          <w:rFonts w:ascii="Arial" w:hAnsi="Arial" w:cs="Arial"/>
          <w:bCs/>
        </w:rPr>
        <w:t xml:space="preserve"> bone turnover and bone balance between each treatment group after 96 weeks of treatment. </w:t>
      </w:r>
      <w:r w:rsidR="00220137" w:rsidRPr="003730C2">
        <w:rPr>
          <w:rFonts w:ascii="Arial" w:hAnsi="Arial" w:cs="Arial"/>
          <w:bCs/>
        </w:rPr>
        <w:t xml:space="preserve">A Kruskal-Wallis test was </w:t>
      </w:r>
      <w:r w:rsidR="00220137">
        <w:rPr>
          <w:rFonts w:ascii="Arial" w:hAnsi="Arial" w:cs="Arial"/>
          <w:bCs/>
        </w:rPr>
        <w:t>used to determine significance.</w:t>
      </w:r>
    </w:p>
    <w:p w:rsidR="00C704E7" w:rsidRDefault="00843813" w:rsidP="00844C20">
      <w:pPr>
        <w:autoSpaceDE w:val="0"/>
        <w:autoSpaceDN w:val="0"/>
        <w:adjustRightInd w:val="0"/>
        <w:spacing w:after="0" w:line="360" w:lineRule="auto"/>
        <w:jc w:val="both"/>
        <w:rPr>
          <w:rFonts w:ascii="CMR10" w:hAnsi="CMR10" w:cs="CMR10"/>
        </w:rPr>
      </w:pPr>
      <w:r>
        <w:rPr>
          <w:rFonts w:ascii="Arial" w:hAnsi="Arial" w:cs="Arial"/>
        </w:rPr>
        <w:t>The values for sclerostin were log</w:t>
      </w:r>
      <w:r>
        <w:rPr>
          <w:rFonts w:ascii="Arial" w:hAnsi="Arial" w:cs="Arial"/>
          <w:vertAlign w:val="subscript"/>
        </w:rPr>
        <w:t>10</w:t>
      </w:r>
      <w:r>
        <w:rPr>
          <w:rFonts w:ascii="Arial" w:hAnsi="Arial" w:cs="Arial"/>
        </w:rPr>
        <w:t xml:space="preserve">-transformed and normalised. </w:t>
      </w:r>
      <w:r w:rsidR="00A045DF" w:rsidRPr="00A045DF">
        <w:rPr>
          <w:rFonts w:ascii="Arial" w:hAnsi="Arial" w:cs="Arial"/>
          <w:noProof/>
        </w:rPr>
        <w:t>The Wilcoxon signed ranked</w:t>
      </w:r>
      <w:r w:rsidR="00A045DF">
        <w:rPr>
          <w:b/>
          <w:noProof/>
        </w:rPr>
        <w:t xml:space="preserve"> </w:t>
      </w:r>
      <w:r w:rsidR="00A045DF">
        <w:rPr>
          <w:rFonts w:ascii="Arial" w:hAnsi="Arial" w:cs="Arial"/>
        </w:rPr>
        <w:t xml:space="preserve">test was used to determine the statistical difference between the median sclerostin levels for postmenopausal women with osteoporosis and premenopausal women. </w:t>
      </w:r>
      <w:r>
        <w:rPr>
          <w:rFonts w:ascii="Arial" w:hAnsi="Arial" w:cs="Arial"/>
        </w:rPr>
        <w:t>The</w:t>
      </w:r>
      <w:r w:rsidR="00A045DF">
        <w:rPr>
          <w:rFonts w:ascii="Arial" w:hAnsi="Arial" w:cs="Arial"/>
        </w:rPr>
        <w:t xml:space="preserve"> overall</w:t>
      </w:r>
      <w:r>
        <w:rPr>
          <w:rFonts w:ascii="Arial" w:hAnsi="Arial" w:cs="Arial"/>
        </w:rPr>
        <w:t xml:space="preserve"> change from baseline was assessed between the </w:t>
      </w:r>
      <w:r w:rsidR="00B3463D">
        <w:rPr>
          <w:rFonts w:ascii="Arial" w:hAnsi="Arial" w:cs="Arial"/>
        </w:rPr>
        <w:t>postmenopausal women receiving bisphosphonates and premenopausal women and within each of the treatment groups using mixed model repeated measures.</w:t>
      </w:r>
      <w:r w:rsidR="00C704E7" w:rsidRPr="00C704E7">
        <w:rPr>
          <w:rFonts w:ascii="Arial" w:hAnsi="Arial" w:cs="Arial"/>
        </w:rPr>
        <w:t xml:space="preserve"> </w:t>
      </w:r>
      <w:r w:rsidR="00C704E7" w:rsidRPr="00C6271E">
        <w:rPr>
          <w:rFonts w:ascii="Arial" w:hAnsi="Arial" w:cs="Arial"/>
        </w:rPr>
        <w:t xml:space="preserve">This model contains both fixed </w:t>
      </w:r>
      <w:r w:rsidR="00C704E7">
        <w:rPr>
          <w:rFonts w:ascii="Arial" w:hAnsi="Arial" w:cs="Arial"/>
        </w:rPr>
        <w:t xml:space="preserve">(the measurement at baseline) </w:t>
      </w:r>
      <w:r w:rsidR="00C704E7" w:rsidRPr="00C6271E">
        <w:rPr>
          <w:rFonts w:ascii="Arial" w:hAnsi="Arial" w:cs="Arial"/>
        </w:rPr>
        <w:t>and random effects</w:t>
      </w:r>
      <w:r w:rsidR="00C704E7">
        <w:rPr>
          <w:rFonts w:ascii="Arial" w:hAnsi="Arial" w:cs="Arial"/>
        </w:rPr>
        <w:t xml:space="preserve"> (the repeated measures of the same individual)</w:t>
      </w:r>
      <w:r w:rsidR="00C704E7" w:rsidRPr="00C6271E">
        <w:rPr>
          <w:rFonts w:ascii="Arial" w:hAnsi="Arial" w:cs="Arial"/>
        </w:rPr>
        <w:t xml:space="preserve"> and calculates maximum likelihood estimates of these effects.</w:t>
      </w:r>
      <w:r w:rsidR="00C704E7">
        <w:rPr>
          <w:rFonts w:ascii="Arial" w:hAnsi="Arial" w:cs="Arial"/>
        </w:rPr>
        <w:t xml:space="preserve"> The sclerostin value at baseline 1 was fitted as the covariate. The results for each sclerostin measurements </w:t>
      </w:r>
      <w:r w:rsidR="00C704E7" w:rsidRPr="00C6271E">
        <w:rPr>
          <w:rFonts w:ascii="Arial" w:hAnsi="Arial" w:cs="Arial"/>
        </w:rPr>
        <w:t xml:space="preserve">and </w:t>
      </w:r>
      <w:r w:rsidR="00C704E7">
        <w:rPr>
          <w:rFonts w:ascii="Arial" w:hAnsi="Arial" w:cs="Arial"/>
        </w:rPr>
        <w:t xml:space="preserve">the </w:t>
      </w:r>
      <w:r w:rsidR="00C704E7" w:rsidRPr="00C6271E">
        <w:rPr>
          <w:rFonts w:ascii="Arial" w:hAnsi="Arial" w:cs="Arial"/>
        </w:rPr>
        <w:t>p-value to assess significance</w:t>
      </w:r>
      <w:r w:rsidR="00053665">
        <w:rPr>
          <w:rFonts w:ascii="Arial" w:hAnsi="Arial" w:cs="Arial"/>
        </w:rPr>
        <w:t xml:space="preserve"> from baseline was calculated</w:t>
      </w:r>
      <w:r w:rsidR="008A7AD8">
        <w:rPr>
          <w:rFonts w:ascii="Arial" w:hAnsi="Arial" w:cs="Arial"/>
        </w:rPr>
        <w:t xml:space="preserve"> using </w:t>
      </w:r>
      <w:proofErr w:type="gramStart"/>
      <w:r w:rsidR="008A7AD8">
        <w:rPr>
          <w:rFonts w:ascii="Arial" w:hAnsi="Arial" w:cs="Arial"/>
        </w:rPr>
        <w:t>Dunns</w:t>
      </w:r>
      <w:proofErr w:type="gramEnd"/>
      <w:r w:rsidR="008A7AD8">
        <w:rPr>
          <w:rFonts w:ascii="Arial" w:hAnsi="Arial" w:cs="Arial"/>
        </w:rPr>
        <w:t xml:space="preserve"> post hoc test</w:t>
      </w:r>
      <w:r w:rsidR="00C704E7" w:rsidRPr="00C6271E">
        <w:rPr>
          <w:rFonts w:ascii="Arial" w:hAnsi="Arial" w:cs="Arial"/>
        </w:rPr>
        <w:t xml:space="preserve">. For </w:t>
      </w:r>
      <w:r w:rsidR="00053665">
        <w:rPr>
          <w:rFonts w:ascii="Arial" w:hAnsi="Arial" w:cs="Arial"/>
        </w:rPr>
        <w:t xml:space="preserve">the </w:t>
      </w:r>
      <w:r w:rsidR="00C704E7" w:rsidRPr="00C6271E">
        <w:rPr>
          <w:rFonts w:ascii="Arial" w:hAnsi="Arial" w:cs="Arial"/>
        </w:rPr>
        <w:t xml:space="preserve">categorical variables </w:t>
      </w:r>
      <w:r w:rsidR="00053665">
        <w:rPr>
          <w:rFonts w:ascii="Arial" w:hAnsi="Arial" w:cs="Arial"/>
        </w:rPr>
        <w:t>i.e. the</w:t>
      </w:r>
      <w:r w:rsidR="00C704E7" w:rsidRPr="00C6271E">
        <w:rPr>
          <w:rFonts w:ascii="Arial" w:hAnsi="Arial" w:cs="Arial"/>
        </w:rPr>
        <w:t xml:space="preserve"> treatment </w:t>
      </w:r>
      <w:r w:rsidR="00053665">
        <w:rPr>
          <w:rFonts w:ascii="Arial" w:hAnsi="Arial" w:cs="Arial"/>
        </w:rPr>
        <w:t xml:space="preserve">group </w:t>
      </w:r>
      <w:r w:rsidR="00C704E7" w:rsidRPr="00C6271E">
        <w:rPr>
          <w:rFonts w:ascii="Arial" w:hAnsi="Arial" w:cs="Arial"/>
        </w:rPr>
        <w:t>and visit an overall p-value for the significance of differences across all categories was also calculated</w:t>
      </w:r>
      <w:r w:rsidR="008A7AD8">
        <w:rPr>
          <w:rFonts w:ascii="Arial" w:hAnsi="Arial" w:cs="Arial"/>
        </w:rPr>
        <w:t xml:space="preserve"> using the Friedman test. </w:t>
      </w:r>
      <w:r w:rsidR="00C704E7" w:rsidRPr="00C6271E">
        <w:rPr>
          <w:rFonts w:ascii="Arial" w:hAnsi="Arial" w:cs="Arial"/>
        </w:rPr>
        <w:t>The main reason for using this model and not repeated measures ANOVA is that it has the advantage to deal with missing values</w:t>
      </w:r>
      <w:r w:rsidR="00C704E7">
        <w:rPr>
          <w:rFonts w:ascii="CMR10" w:hAnsi="CMR10" w:cs="CMR10"/>
        </w:rPr>
        <w:t xml:space="preserve"> in longitudinal studies.</w:t>
      </w:r>
      <w:r w:rsidR="00053665">
        <w:rPr>
          <w:rFonts w:ascii="CMR10" w:hAnsi="CMR10" w:cs="CMR10"/>
        </w:rPr>
        <w:t xml:space="preserve"> If there was an overall difference between the premenopausal and </w:t>
      </w:r>
      <w:r w:rsidR="00053665">
        <w:rPr>
          <w:rFonts w:ascii="CMR10" w:hAnsi="CMR10" w:cs="CMR10"/>
        </w:rPr>
        <w:lastRenderedPageBreak/>
        <w:t>postmenopausal women receiving bisphosphonates then the effect of treatments at each time point was assessed. Changes from baseline were back transformed and expressed as a percentage change.</w:t>
      </w:r>
    </w:p>
    <w:p w:rsidR="009E673B" w:rsidRDefault="009E673B" w:rsidP="00844C20">
      <w:pPr>
        <w:autoSpaceDE w:val="0"/>
        <w:autoSpaceDN w:val="0"/>
        <w:adjustRightInd w:val="0"/>
        <w:spacing w:after="0" w:line="360" w:lineRule="auto"/>
        <w:jc w:val="both"/>
        <w:rPr>
          <w:rFonts w:ascii="CMR10" w:hAnsi="CMR10" w:cs="CMR10"/>
        </w:rPr>
      </w:pPr>
      <w:r>
        <w:rPr>
          <w:rFonts w:ascii="CMR10" w:hAnsi="CMR10" w:cs="CMR10"/>
        </w:rPr>
        <w:t>The Spearman rank correlation was used in order to assess the</w:t>
      </w:r>
      <w:r w:rsidR="007C1FB8">
        <w:rPr>
          <w:rFonts w:ascii="CMR10" w:hAnsi="CMR10" w:cs="CMR10"/>
        </w:rPr>
        <w:t xml:space="preserve"> relationship</w:t>
      </w:r>
      <w:r w:rsidR="00887074">
        <w:rPr>
          <w:rFonts w:ascii="CMR10" w:hAnsi="CMR10" w:cs="CMR10"/>
        </w:rPr>
        <w:t xml:space="preserve"> between the change in CTX levels and the population of osteoclast precursor cells after 48 weeks of treatment.</w:t>
      </w:r>
    </w:p>
    <w:p w:rsidR="007C1FB8" w:rsidRDefault="007C1FB8" w:rsidP="00844C20">
      <w:pPr>
        <w:autoSpaceDE w:val="0"/>
        <w:autoSpaceDN w:val="0"/>
        <w:adjustRightInd w:val="0"/>
        <w:spacing w:after="0" w:line="360" w:lineRule="auto"/>
        <w:jc w:val="both"/>
        <w:rPr>
          <w:rFonts w:ascii="CMR10" w:hAnsi="CMR10" w:cs="CMR10"/>
        </w:rPr>
      </w:pPr>
      <w:r>
        <w:rPr>
          <w:rFonts w:ascii="CMR10" w:hAnsi="CMR10" w:cs="CMR10"/>
        </w:rPr>
        <w:t>The Spearman rank correlation was used in order to assess the relationship between levels of circulating sclerostin and PINP and CTX.</w:t>
      </w:r>
    </w:p>
    <w:p w:rsidR="003730C2" w:rsidRDefault="003730C2" w:rsidP="00844C20">
      <w:pPr>
        <w:tabs>
          <w:tab w:val="left" w:pos="1980"/>
        </w:tabs>
        <w:jc w:val="both"/>
        <w:rPr>
          <w:rFonts w:ascii="Calibri" w:hAnsi="Calibri"/>
          <w:bCs/>
        </w:rPr>
      </w:pPr>
      <w:r w:rsidRPr="003730C2">
        <w:rPr>
          <w:rFonts w:ascii="Arial" w:hAnsi="Arial" w:cs="Arial"/>
        </w:rPr>
        <w:t xml:space="preserve">For each statistical analyses </w:t>
      </w:r>
      <w:r w:rsidRPr="003730C2">
        <w:rPr>
          <w:rFonts w:ascii="Arial" w:hAnsi="Arial" w:cs="Arial"/>
          <w:bCs/>
        </w:rPr>
        <w:t>p&lt;0.05 was used as the significance cut-off point</w:t>
      </w:r>
      <w:r>
        <w:rPr>
          <w:rFonts w:ascii="Calibri" w:hAnsi="Calibri"/>
          <w:bCs/>
        </w:rPr>
        <w:t xml:space="preserve">. </w:t>
      </w:r>
    </w:p>
    <w:p w:rsidR="00C02DB7" w:rsidRDefault="00C02DB7" w:rsidP="00844C20">
      <w:pPr>
        <w:pStyle w:val="Heading2"/>
        <w:jc w:val="both"/>
      </w:pPr>
      <w:bookmarkStart w:id="195" w:name="_Toc425418959"/>
      <w:r>
        <w:t>Results</w:t>
      </w:r>
      <w:bookmarkEnd w:id="195"/>
    </w:p>
    <w:p w:rsidR="00031824" w:rsidRDefault="00031824" w:rsidP="00844C20">
      <w:pPr>
        <w:pStyle w:val="Heading3"/>
        <w:tabs>
          <w:tab w:val="left" w:pos="6982"/>
        </w:tabs>
        <w:jc w:val="both"/>
      </w:pPr>
      <w:bookmarkStart w:id="196" w:name="_Toc425418960"/>
      <w:r>
        <w:t>The effect of bisphosphonates on osteoclast precursor cells</w:t>
      </w:r>
      <w:r w:rsidR="00934403">
        <w:t xml:space="preserve"> and circulating cytokines</w:t>
      </w:r>
      <w:bookmarkEnd w:id="196"/>
      <w:r w:rsidR="00852FA5">
        <w:tab/>
      </w:r>
    </w:p>
    <w:p w:rsidR="0049782E" w:rsidRPr="00CE08FC" w:rsidRDefault="00086129" w:rsidP="00844C20">
      <w:pPr>
        <w:spacing w:line="360" w:lineRule="auto"/>
        <w:jc w:val="both"/>
        <w:rPr>
          <w:rFonts w:ascii="Arial" w:hAnsi="Arial" w:cs="Arial"/>
        </w:rPr>
      </w:pPr>
      <w:r>
        <w:rPr>
          <w:rFonts w:ascii="Arial" w:hAnsi="Arial" w:cs="Arial"/>
        </w:rPr>
        <w:t>Figure 54</w:t>
      </w:r>
      <w:r w:rsidR="00852FA5" w:rsidRPr="00CE08FC">
        <w:rPr>
          <w:rFonts w:ascii="Arial" w:hAnsi="Arial" w:cs="Arial"/>
        </w:rPr>
        <w:t xml:space="preserve"> shows the</w:t>
      </w:r>
      <w:r w:rsidR="00046A91" w:rsidRPr="00CE08FC">
        <w:rPr>
          <w:rFonts w:ascii="Arial" w:hAnsi="Arial" w:cs="Arial"/>
        </w:rPr>
        <w:t xml:space="preserve"> effects of </w:t>
      </w:r>
      <w:r w:rsidR="00852FA5" w:rsidRPr="00CE08FC">
        <w:rPr>
          <w:rFonts w:ascii="Arial" w:hAnsi="Arial" w:cs="Arial"/>
        </w:rPr>
        <w:t>bisphosphonates on the population of osteoclas</w:t>
      </w:r>
      <w:r w:rsidR="00046A91" w:rsidRPr="00CE08FC">
        <w:rPr>
          <w:rFonts w:ascii="Arial" w:hAnsi="Arial" w:cs="Arial"/>
        </w:rPr>
        <w:t>t precursor cell at baseline, 1 and</w:t>
      </w:r>
      <w:r w:rsidR="00852FA5" w:rsidRPr="00CE08FC">
        <w:rPr>
          <w:rFonts w:ascii="Arial" w:hAnsi="Arial" w:cs="Arial"/>
        </w:rPr>
        <w:t xml:space="preserve"> 48 weeks after treatment. </w:t>
      </w:r>
      <w:r w:rsidR="00BF657D" w:rsidRPr="00CE08FC">
        <w:rPr>
          <w:rFonts w:ascii="Arial" w:hAnsi="Arial" w:cs="Arial"/>
        </w:rPr>
        <w:t xml:space="preserve">At baseline there was no </w:t>
      </w:r>
      <w:r w:rsidR="001119AE" w:rsidRPr="00CE08FC">
        <w:rPr>
          <w:rFonts w:ascii="Arial" w:hAnsi="Arial" w:cs="Arial"/>
        </w:rPr>
        <w:t xml:space="preserve">significant </w:t>
      </w:r>
      <w:r w:rsidR="00BF657D" w:rsidRPr="00CE08FC">
        <w:rPr>
          <w:rFonts w:ascii="Arial" w:hAnsi="Arial" w:cs="Arial"/>
        </w:rPr>
        <w:t xml:space="preserve">difference in the </w:t>
      </w:r>
      <w:r w:rsidR="001119AE" w:rsidRPr="00CE08FC">
        <w:rPr>
          <w:rFonts w:ascii="Arial" w:hAnsi="Arial" w:cs="Arial"/>
        </w:rPr>
        <w:t xml:space="preserve">median </w:t>
      </w:r>
      <w:r w:rsidR="00BF657D" w:rsidRPr="00CE08FC">
        <w:rPr>
          <w:rFonts w:ascii="Arial" w:hAnsi="Arial" w:cs="Arial"/>
        </w:rPr>
        <w:t>percentage of osteoclast precursor cells expressing CD14</w:t>
      </w:r>
      <w:r w:rsidR="00BF657D" w:rsidRPr="00CE08FC">
        <w:rPr>
          <w:rFonts w:ascii="Arial" w:hAnsi="Arial" w:cs="Arial"/>
          <w:vertAlign w:val="superscript"/>
        </w:rPr>
        <w:t>+</w:t>
      </w:r>
      <w:r w:rsidR="00BF657D" w:rsidRPr="00CE08FC">
        <w:rPr>
          <w:rFonts w:ascii="Arial" w:hAnsi="Arial" w:cs="Arial"/>
        </w:rPr>
        <w:t>/M-CSFR</w:t>
      </w:r>
      <w:r w:rsidR="00BF657D" w:rsidRPr="00CE08FC">
        <w:rPr>
          <w:rFonts w:ascii="Arial" w:hAnsi="Arial" w:cs="Arial"/>
          <w:vertAlign w:val="superscript"/>
        </w:rPr>
        <w:t>+</w:t>
      </w:r>
      <w:r w:rsidR="00BF657D" w:rsidRPr="00CE08FC">
        <w:rPr>
          <w:rFonts w:ascii="Arial" w:hAnsi="Arial" w:cs="Arial"/>
        </w:rPr>
        <w:t>, CD14</w:t>
      </w:r>
      <w:r w:rsidR="00BF657D" w:rsidRPr="00CE08FC">
        <w:rPr>
          <w:rFonts w:ascii="Arial" w:hAnsi="Arial" w:cs="Arial"/>
          <w:vertAlign w:val="superscript"/>
        </w:rPr>
        <w:t>+</w:t>
      </w:r>
      <w:r w:rsidR="00BF657D" w:rsidRPr="00CE08FC">
        <w:rPr>
          <w:rFonts w:ascii="Arial" w:hAnsi="Arial" w:cs="Arial"/>
        </w:rPr>
        <w:t>/CD11b</w:t>
      </w:r>
      <w:r w:rsidR="00BF657D" w:rsidRPr="00CE08FC">
        <w:rPr>
          <w:rFonts w:ascii="Arial" w:hAnsi="Arial" w:cs="Arial"/>
          <w:vertAlign w:val="superscript"/>
        </w:rPr>
        <w:t>+</w:t>
      </w:r>
      <w:r w:rsidR="00BF657D" w:rsidRPr="00CE08FC">
        <w:rPr>
          <w:rFonts w:ascii="Arial" w:hAnsi="Arial" w:cs="Arial"/>
        </w:rPr>
        <w:t xml:space="preserve"> and CD14</w:t>
      </w:r>
      <w:r w:rsidR="00BF657D" w:rsidRPr="00CE08FC">
        <w:rPr>
          <w:rFonts w:ascii="Arial" w:hAnsi="Arial" w:cs="Arial"/>
          <w:vertAlign w:val="superscript"/>
        </w:rPr>
        <w:t>+</w:t>
      </w:r>
      <w:r w:rsidR="00BF657D" w:rsidRPr="00CE08FC">
        <w:rPr>
          <w:rFonts w:ascii="Arial" w:hAnsi="Arial" w:cs="Arial"/>
        </w:rPr>
        <w:t xml:space="preserve">/TNFRII between postmenopausal women with osteoporosis and premenopausal women. </w:t>
      </w:r>
      <w:r w:rsidR="0073324B" w:rsidRPr="00CE08FC">
        <w:rPr>
          <w:rFonts w:ascii="Arial" w:hAnsi="Arial" w:cs="Arial"/>
        </w:rPr>
        <w:t xml:space="preserve">The percentage of these osteoclast precursor cells were therefore within that of the premenopausal women reference intervals for each. </w:t>
      </w:r>
      <w:r w:rsidR="00852FA5" w:rsidRPr="00CE08FC">
        <w:rPr>
          <w:rFonts w:ascii="Arial" w:hAnsi="Arial" w:cs="Arial"/>
        </w:rPr>
        <w:t>After 1 week of treatment</w:t>
      </w:r>
      <w:r w:rsidR="00C921D7" w:rsidRPr="00CE08FC">
        <w:rPr>
          <w:rFonts w:ascii="Arial" w:hAnsi="Arial" w:cs="Arial"/>
        </w:rPr>
        <w:t xml:space="preserve"> there was no significant change in</w:t>
      </w:r>
      <w:r w:rsidR="00E823D6" w:rsidRPr="00CE08FC">
        <w:rPr>
          <w:rFonts w:ascii="Arial" w:hAnsi="Arial" w:cs="Arial"/>
        </w:rPr>
        <w:t xml:space="preserve"> the percentage of CD14</w:t>
      </w:r>
      <w:r w:rsidR="00E823D6" w:rsidRPr="00CE08FC">
        <w:rPr>
          <w:rFonts w:ascii="Arial" w:hAnsi="Arial" w:cs="Arial"/>
          <w:vertAlign w:val="superscript"/>
        </w:rPr>
        <w:t xml:space="preserve">+ </w:t>
      </w:r>
      <w:r w:rsidR="00E823D6" w:rsidRPr="00CE08FC">
        <w:rPr>
          <w:rFonts w:ascii="Arial" w:hAnsi="Arial" w:cs="Arial"/>
        </w:rPr>
        <w:t>cells (monocyte population) expressing M-SCFR, CD11b or TNFRII</w:t>
      </w:r>
      <w:r w:rsidR="0073324B" w:rsidRPr="00CE08FC">
        <w:rPr>
          <w:rFonts w:ascii="Arial" w:hAnsi="Arial" w:cs="Arial"/>
        </w:rPr>
        <w:t>. 48 weeks after treatment</w:t>
      </w:r>
      <w:r w:rsidR="00C2424D" w:rsidRPr="00CE08FC">
        <w:rPr>
          <w:rFonts w:ascii="Arial" w:hAnsi="Arial" w:cs="Arial"/>
        </w:rPr>
        <w:t xml:space="preserve"> there was a significant reduc</w:t>
      </w:r>
      <w:r w:rsidR="001C7215" w:rsidRPr="00CE08FC">
        <w:rPr>
          <w:rFonts w:ascii="Arial" w:hAnsi="Arial" w:cs="Arial"/>
        </w:rPr>
        <w:t xml:space="preserve">tion in the percentage of </w:t>
      </w:r>
      <w:r w:rsidR="00C2424D" w:rsidRPr="00CE08FC">
        <w:rPr>
          <w:rFonts w:ascii="Arial" w:hAnsi="Arial" w:cs="Arial"/>
        </w:rPr>
        <w:t>CD14</w:t>
      </w:r>
      <w:r w:rsidR="00C2424D" w:rsidRPr="00CE08FC">
        <w:rPr>
          <w:rFonts w:ascii="Arial" w:hAnsi="Arial" w:cs="Arial"/>
          <w:vertAlign w:val="superscript"/>
        </w:rPr>
        <w:t>+</w:t>
      </w:r>
      <w:r w:rsidR="00C2424D" w:rsidRPr="00CE08FC">
        <w:rPr>
          <w:rFonts w:ascii="Arial" w:hAnsi="Arial" w:cs="Arial"/>
        </w:rPr>
        <w:t>/M-CSFR</w:t>
      </w:r>
      <w:r w:rsidR="00C2424D" w:rsidRPr="00CE08FC">
        <w:rPr>
          <w:rFonts w:ascii="Arial" w:hAnsi="Arial" w:cs="Arial"/>
          <w:vertAlign w:val="superscript"/>
        </w:rPr>
        <w:t>+</w:t>
      </w:r>
      <w:r w:rsidR="00C2424D" w:rsidRPr="00CE08FC">
        <w:rPr>
          <w:rFonts w:ascii="Arial" w:hAnsi="Arial" w:cs="Arial"/>
        </w:rPr>
        <w:t xml:space="preserve"> and CD14</w:t>
      </w:r>
      <w:r w:rsidR="00C2424D" w:rsidRPr="00CE08FC">
        <w:rPr>
          <w:rFonts w:ascii="Arial" w:hAnsi="Arial" w:cs="Arial"/>
          <w:vertAlign w:val="superscript"/>
        </w:rPr>
        <w:t>+</w:t>
      </w:r>
      <w:r w:rsidR="00C2424D" w:rsidRPr="00CE08FC">
        <w:rPr>
          <w:rFonts w:ascii="Arial" w:hAnsi="Arial" w:cs="Arial"/>
        </w:rPr>
        <w:t>/CD11b</w:t>
      </w:r>
      <w:r w:rsidR="00C2424D" w:rsidRPr="00CE08FC">
        <w:rPr>
          <w:rFonts w:ascii="Arial" w:hAnsi="Arial" w:cs="Arial"/>
          <w:vertAlign w:val="superscript"/>
        </w:rPr>
        <w:t>+</w:t>
      </w:r>
      <w:r w:rsidR="0073324B" w:rsidRPr="00CE08FC">
        <w:rPr>
          <w:rFonts w:ascii="Arial" w:hAnsi="Arial" w:cs="Arial"/>
        </w:rPr>
        <w:t xml:space="preserve"> </w:t>
      </w:r>
      <w:r w:rsidR="001C7215" w:rsidRPr="00CE08FC">
        <w:rPr>
          <w:rFonts w:ascii="Arial" w:hAnsi="Arial" w:cs="Arial"/>
        </w:rPr>
        <w:t>osteoclast precursor cells, p&lt;0.001. As a result at week 48 the percentage of the osteoclast precursor cells were reduced to the lower part or lower than the premenopausal reference intervals. There was no difference in the percentage of CD14</w:t>
      </w:r>
      <w:r w:rsidR="001C7215" w:rsidRPr="00CE08FC">
        <w:rPr>
          <w:rFonts w:ascii="Arial" w:hAnsi="Arial" w:cs="Arial"/>
          <w:vertAlign w:val="superscript"/>
        </w:rPr>
        <w:t>+</w:t>
      </w:r>
      <w:r w:rsidR="001C7215" w:rsidRPr="00CE08FC">
        <w:rPr>
          <w:rFonts w:ascii="Arial" w:hAnsi="Arial" w:cs="Arial"/>
        </w:rPr>
        <w:t>/TNFRII</w:t>
      </w:r>
      <w:r w:rsidR="001C7215" w:rsidRPr="00CE08FC">
        <w:rPr>
          <w:rFonts w:ascii="Arial" w:hAnsi="Arial" w:cs="Arial"/>
          <w:vertAlign w:val="superscript"/>
        </w:rPr>
        <w:t xml:space="preserve">+ </w:t>
      </w:r>
      <w:r w:rsidR="001C7215" w:rsidRPr="00CE08FC">
        <w:rPr>
          <w:rFonts w:ascii="Arial" w:hAnsi="Arial" w:cs="Arial"/>
        </w:rPr>
        <w:t>osteoclast precursor cells.</w:t>
      </w:r>
    </w:p>
    <w:p w:rsidR="00315196" w:rsidRDefault="00046A91" w:rsidP="00900F2C">
      <w:r>
        <w:rPr>
          <w:noProof/>
          <w:lang w:eastAsia="zh-CN"/>
        </w:rPr>
        <w:lastRenderedPageBreak/>
        <mc:AlternateContent>
          <mc:Choice Requires="wps">
            <w:drawing>
              <wp:anchor distT="0" distB="0" distL="114300" distR="114300" simplePos="0" relativeHeight="251261440" behindDoc="0" locked="0" layoutInCell="1" allowOverlap="1" wp14:anchorId="7D41AD0B" wp14:editId="5B9881D2">
                <wp:simplePos x="0" y="0"/>
                <wp:positionH relativeFrom="column">
                  <wp:posOffset>-47625</wp:posOffset>
                </wp:positionH>
                <wp:positionV relativeFrom="paragraph">
                  <wp:posOffset>3735070</wp:posOffset>
                </wp:positionV>
                <wp:extent cx="5891530" cy="588010"/>
                <wp:effectExtent l="0" t="0" r="0" b="2540"/>
                <wp:wrapNone/>
                <wp:docPr id="18604" name="Text Box 18604"/>
                <wp:cNvGraphicFramePr/>
                <a:graphic xmlns:a="http://schemas.openxmlformats.org/drawingml/2006/main">
                  <a:graphicData uri="http://schemas.microsoft.com/office/word/2010/wordprocessingShape">
                    <wps:wsp>
                      <wps:cNvSpPr txBox="1"/>
                      <wps:spPr>
                        <a:xfrm>
                          <a:off x="0" y="0"/>
                          <a:ext cx="5891530" cy="588010"/>
                        </a:xfrm>
                        <a:prstGeom prst="rect">
                          <a:avLst/>
                        </a:prstGeom>
                        <a:solidFill>
                          <a:prstClr val="white"/>
                        </a:solidFill>
                        <a:ln>
                          <a:noFill/>
                        </a:ln>
                        <a:effectLst/>
                      </wps:spPr>
                      <wps:txbx>
                        <w:txbxContent>
                          <w:p w:rsidR="004166BC" w:rsidRDefault="004166BC" w:rsidP="003E5C23">
                            <w:pPr>
                              <w:pStyle w:val="Caption"/>
                              <w:jc w:val="both"/>
                              <w:rPr>
                                <w:rFonts w:ascii="Arial" w:hAnsi="Arial" w:cs="Arial"/>
                                <w:b w:val="0"/>
                                <w:color w:val="auto"/>
                              </w:rPr>
                            </w:pPr>
                            <w:bookmarkStart w:id="197" w:name="_Toc422736095"/>
                            <w:bookmarkStart w:id="198" w:name="_Toc422736203"/>
                            <w:bookmarkStart w:id="199" w:name="_Toc425419537"/>
                            <w:r w:rsidRPr="00421B6B">
                              <w:rPr>
                                <w:rFonts w:ascii="Arial" w:hAnsi="Arial" w:cs="Arial"/>
                                <w:b w:val="0"/>
                                <w:color w:val="auto"/>
                              </w:rPr>
                              <w:t xml:space="preserve">Figure </w:t>
                            </w:r>
                            <w:r w:rsidRPr="00421B6B">
                              <w:rPr>
                                <w:rFonts w:ascii="Arial" w:hAnsi="Arial" w:cs="Arial"/>
                                <w:b w:val="0"/>
                                <w:color w:val="auto"/>
                              </w:rPr>
                              <w:fldChar w:fldCharType="begin"/>
                            </w:r>
                            <w:r w:rsidRPr="00421B6B">
                              <w:rPr>
                                <w:rFonts w:ascii="Arial" w:hAnsi="Arial" w:cs="Arial"/>
                                <w:b w:val="0"/>
                                <w:color w:val="auto"/>
                              </w:rPr>
                              <w:instrText xml:space="preserve"> SEQ Figure \* ARABIC </w:instrText>
                            </w:r>
                            <w:r w:rsidRPr="00421B6B">
                              <w:rPr>
                                <w:rFonts w:ascii="Arial" w:hAnsi="Arial" w:cs="Arial"/>
                                <w:b w:val="0"/>
                                <w:color w:val="auto"/>
                              </w:rPr>
                              <w:fldChar w:fldCharType="separate"/>
                            </w:r>
                            <w:r>
                              <w:rPr>
                                <w:rFonts w:ascii="Arial" w:hAnsi="Arial" w:cs="Arial"/>
                                <w:b w:val="0"/>
                                <w:noProof/>
                                <w:color w:val="auto"/>
                              </w:rPr>
                              <w:t>48</w:t>
                            </w:r>
                            <w:r w:rsidRPr="00421B6B">
                              <w:rPr>
                                <w:rFonts w:ascii="Arial" w:hAnsi="Arial" w:cs="Arial"/>
                                <w:b w:val="0"/>
                                <w:color w:val="auto"/>
                              </w:rPr>
                              <w:fldChar w:fldCharType="end"/>
                            </w:r>
                            <w:r w:rsidRPr="00421B6B">
                              <w:rPr>
                                <w:rFonts w:ascii="Arial" w:hAnsi="Arial" w:cs="Arial"/>
                                <w:b w:val="0"/>
                                <w:color w:val="auto"/>
                              </w:rPr>
                              <w:t>: Box and whisker plots representing the percentage of CD14+ cells which are positive for M-CSFR, CD11b and TNFRII before and after 48 weeks of</w:t>
                            </w:r>
                            <w:r>
                              <w:rPr>
                                <w:rFonts w:ascii="Arial" w:hAnsi="Arial" w:cs="Arial"/>
                                <w:b w:val="0"/>
                                <w:color w:val="auto"/>
                              </w:rPr>
                              <w:t xml:space="preserve"> bisphosphonate</w:t>
                            </w:r>
                            <w:r w:rsidRPr="00421B6B">
                              <w:rPr>
                                <w:rFonts w:ascii="Arial" w:hAnsi="Arial" w:cs="Arial"/>
                                <w:b w:val="0"/>
                                <w:color w:val="auto"/>
                              </w:rPr>
                              <w:t xml:space="preserve"> treatment in postmenopausal women ( N= 62) . Upper and lower quartiles (box), 5 – 95 percentiles (whiskers). The shaded area represents the median value and 25% and 75% percentiles of the premenopausal women (N = 25).</w:t>
                            </w:r>
                            <w:bookmarkEnd w:id="197"/>
                            <w:bookmarkEnd w:id="198"/>
                            <w:bookmarkEnd w:id="199"/>
                            <w:r w:rsidRPr="00421B6B">
                              <w:rPr>
                                <w:rFonts w:ascii="Arial" w:hAnsi="Arial" w:cs="Arial"/>
                                <w:b w:val="0"/>
                                <w:color w:val="auto"/>
                              </w:rPr>
                              <w:t xml:space="preserve"> </w:t>
                            </w:r>
                          </w:p>
                          <w:p w:rsidR="004166BC" w:rsidRDefault="004166BC" w:rsidP="003E5C23">
                            <w:pPr>
                              <w:jc w:val="both"/>
                            </w:pPr>
                          </w:p>
                          <w:p w:rsidR="004166BC" w:rsidRDefault="004166BC" w:rsidP="003E5C23">
                            <w:pPr>
                              <w:jc w:val="both"/>
                            </w:pPr>
                          </w:p>
                          <w:p w:rsidR="004166BC" w:rsidRPr="00046A91" w:rsidRDefault="004166BC" w:rsidP="003E5C23">
                            <w:pPr>
                              <w:jc w:val="both"/>
                            </w:pPr>
                          </w:p>
                          <w:p w:rsidR="004166BC" w:rsidRPr="00085581" w:rsidRDefault="004166BC" w:rsidP="003E5C23">
                            <w:pPr>
                              <w:pStyle w:val="Caption"/>
                              <w:jc w:val="both"/>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41AD0B" id="Text Box 18604" o:spid="_x0000_s1155" type="#_x0000_t202" style="position:absolute;margin-left:-3.75pt;margin-top:294.1pt;width:463.9pt;height:46.3pt;z-index:25126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" stroked="f">
                <v:textbox inset="0,0,0,0">
                  <w:txbxContent>
                    <w:p w:rsidR="004166BC" w:rsidRDefault="004166BC" w:rsidP="003E5C23">
                      <w:pPr>
                        <w:pStyle w:val="Caption"/>
                        <w:jc w:val="both"/>
                        <w:rPr>
                          <w:rFonts w:ascii="Arial" w:hAnsi="Arial" w:cs="Arial"/>
                          <w:b w:val="0"/>
                          <w:color w:val="auto"/>
                        </w:rPr>
                      </w:pPr>
                      <w:bookmarkStart w:id="257" w:name="_Toc422736095"/>
                      <w:bookmarkStart w:id="258" w:name="_Toc422736203"/>
                      <w:bookmarkStart w:id="259" w:name="_Toc425419537"/>
                      <w:r w:rsidRPr="00421B6B">
                        <w:rPr>
                          <w:rFonts w:ascii="Arial" w:hAnsi="Arial" w:cs="Arial"/>
                          <w:b w:val="0"/>
                          <w:color w:val="auto"/>
                        </w:rPr>
                        <w:t xml:space="preserve">Figure </w:t>
                      </w:r>
                      <w:r w:rsidRPr="00421B6B">
                        <w:rPr>
                          <w:rFonts w:ascii="Arial" w:hAnsi="Arial" w:cs="Arial"/>
                          <w:b w:val="0"/>
                          <w:color w:val="auto"/>
                        </w:rPr>
                        <w:fldChar w:fldCharType="begin"/>
                      </w:r>
                      <w:r w:rsidRPr="00421B6B">
                        <w:rPr>
                          <w:rFonts w:ascii="Arial" w:hAnsi="Arial" w:cs="Arial"/>
                          <w:b w:val="0"/>
                          <w:color w:val="auto"/>
                        </w:rPr>
                        <w:instrText xml:space="preserve"> SEQ Figure \* ARABIC </w:instrText>
                      </w:r>
                      <w:r w:rsidRPr="00421B6B">
                        <w:rPr>
                          <w:rFonts w:ascii="Arial" w:hAnsi="Arial" w:cs="Arial"/>
                          <w:b w:val="0"/>
                          <w:color w:val="auto"/>
                        </w:rPr>
                        <w:fldChar w:fldCharType="separate"/>
                      </w:r>
                      <w:r>
                        <w:rPr>
                          <w:rFonts w:ascii="Arial" w:hAnsi="Arial" w:cs="Arial"/>
                          <w:b w:val="0"/>
                          <w:noProof/>
                          <w:color w:val="auto"/>
                        </w:rPr>
                        <w:t>48</w:t>
                      </w:r>
                      <w:r w:rsidRPr="00421B6B">
                        <w:rPr>
                          <w:rFonts w:ascii="Arial" w:hAnsi="Arial" w:cs="Arial"/>
                          <w:b w:val="0"/>
                          <w:color w:val="auto"/>
                        </w:rPr>
                        <w:fldChar w:fldCharType="end"/>
                      </w:r>
                      <w:r w:rsidRPr="00421B6B">
                        <w:rPr>
                          <w:rFonts w:ascii="Arial" w:hAnsi="Arial" w:cs="Arial"/>
                          <w:b w:val="0"/>
                          <w:color w:val="auto"/>
                        </w:rPr>
                        <w:t>: Box and whisker plots representing the percentage of CD14+ cells which are positive for M-CSFR, CD11b and TNFRII before and after 48 weeks of</w:t>
                      </w:r>
                      <w:r>
                        <w:rPr>
                          <w:rFonts w:ascii="Arial" w:hAnsi="Arial" w:cs="Arial"/>
                          <w:b w:val="0"/>
                          <w:color w:val="auto"/>
                        </w:rPr>
                        <w:t xml:space="preserve"> bisphosphonate</w:t>
                      </w:r>
                      <w:r w:rsidRPr="00421B6B">
                        <w:rPr>
                          <w:rFonts w:ascii="Arial" w:hAnsi="Arial" w:cs="Arial"/>
                          <w:b w:val="0"/>
                          <w:color w:val="auto"/>
                        </w:rPr>
                        <w:t xml:space="preserve"> treatment in postmenopausal women ( N= 62) . Upper and lower quartiles (box), 5 – 95 percentiles (whiskers). The shaded area represents the median value and 25% and 75% percentiles of the premenopausal women (N = 25).</w:t>
                      </w:r>
                      <w:bookmarkEnd w:id="257"/>
                      <w:bookmarkEnd w:id="258"/>
                      <w:bookmarkEnd w:id="259"/>
                      <w:r w:rsidRPr="00421B6B">
                        <w:rPr>
                          <w:rFonts w:ascii="Arial" w:hAnsi="Arial" w:cs="Arial"/>
                          <w:b w:val="0"/>
                          <w:color w:val="auto"/>
                        </w:rPr>
                        <w:t xml:space="preserve"> </w:t>
                      </w:r>
                    </w:p>
                    <w:p w:rsidR="004166BC" w:rsidRDefault="004166BC" w:rsidP="003E5C23">
                      <w:pPr>
                        <w:jc w:val="both"/>
                      </w:pPr>
                    </w:p>
                    <w:p w:rsidR="004166BC" w:rsidRDefault="004166BC" w:rsidP="003E5C23">
                      <w:pPr>
                        <w:jc w:val="both"/>
                      </w:pPr>
                    </w:p>
                    <w:p w:rsidR="004166BC" w:rsidRPr="00046A91" w:rsidRDefault="004166BC" w:rsidP="003E5C23">
                      <w:pPr>
                        <w:jc w:val="both"/>
                      </w:pPr>
                    </w:p>
                    <w:p w:rsidR="004166BC" w:rsidRPr="00085581" w:rsidRDefault="004166BC" w:rsidP="003E5C23">
                      <w:pPr>
                        <w:pStyle w:val="Caption"/>
                        <w:jc w:val="both"/>
                        <w:rPr>
                          <w:noProof/>
                        </w:rPr>
                      </w:pPr>
                    </w:p>
                  </w:txbxContent>
                </v:textbox>
              </v:shape>
            </w:pict>
          </mc:Fallback>
        </mc:AlternateContent>
      </w:r>
      <w:r w:rsidR="00A045DF">
        <w:rPr>
          <w:noProof/>
          <w:lang w:eastAsia="zh-CN"/>
        </w:rPr>
        <w:drawing>
          <wp:inline distT="0" distB="0" distL="0" distR="0" wp14:anchorId="04B934D4" wp14:editId="502C4CD5">
            <wp:extent cx="5495925" cy="3672809"/>
            <wp:effectExtent l="0" t="0" r="0" b="4445"/>
            <wp:docPr id="18588" name="Picture 1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22731" cy="3690723"/>
                    </a:xfrm>
                    <a:prstGeom prst="rect">
                      <a:avLst/>
                    </a:prstGeom>
                    <a:noFill/>
                  </pic:spPr>
                </pic:pic>
              </a:graphicData>
            </a:graphic>
          </wp:inline>
        </w:drawing>
      </w:r>
    </w:p>
    <w:p w:rsidR="00D959FD" w:rsidRPr="00315196" w:rsidRDefault="00D959FD" w:rsidP="00900F2C"/>
    <w:p w:rsidR="004A7F9C" w:rsidRDefault="004A7F9C" w:rsidP="00900F2C">
      <w:pPr>
        <w:spacing w:before="240" w:line="360" w:lineRule="auto"/>
        <w:rPr>
          <w:rFonts w:ascii="Arial" w:hAnsi="Arial" w:cs="Arial"/>
        </w:rPr>
      </w:pPr>
    </w:p>
    <w:p w:rsidR="00046A91" w:rsidRPr="00046A91" w:rsidRDefault="00086129" w:rsidP="003E5C23">
      <w:pPr>
        <w:spacing w:before="240" w:line="360" w:lineRule="auto"/>
        <w:jc w:val="both"/>
      </w:pPr>
      <w:r>
        <w:rPr>
          <w:rFonts w:ascii="Arial" w:hAnsi="Arial" w:cs="Arial"/>
        </w:rPr>
        <w:t>Figure 55</w:t>
      </w:r>
      <w:r w:rsidR="00046A91" w:rsidRPr="00CE08FC">
        <w:rPr>
          <w:rFonts w:ascii="Arial" w:hAnsi="Arial" w:cs="Arial"/>
        </w:rPr>
        <w:t xml:space="preserve"> shows the effects of ibandronate, alendronate and risedronate on the population of osteoclast precursor cell at baseline, 1 and 48 weeks after treatment. After</w:t>
      </w:r>
      <w:r w:rsidR="00AF09B9" w:rsidRPr="00CE08FC">
        <w:rPr>
          <w:rFonts w:ascii="Arial" w:hAnsi="Arial" w:cs="Arial"/>
        </w:rPr>
        <w:t xml:space="preserve"> 1 week </w:t>
      </w:r>
      <w:r w:rsidR="00046A91" w:rsidRPr="00CE08FC">
        <w:rPr>
          <w:rFonts w:ascii="Arial" w:hAnsi="Arial" w:cs="Arial"/>
        </w:rPr>
        <w:t xml:space="preserve">there was no significant change in the percentage </w:t>
      </w:r>
      <w:bookmarkStart w:id="200" w:name="OLE_LINK1"/>
      <w:r w:rsidR="00046A91" w:rsidRPr="00CE08FC">
        <w:rPr>
          <w:rFonts w:ascii="Arial" w:hAnsi="Arial" w:cs="Arial"/>
        </w:rPr>
        <w:t>CD14</w:t>
      </w:r>
      <w:r w:rsidR="00046A91" w:rsidRPr="00CE08FC">
        <w:rPr>
          <w:rFonts w:ascii="Arial" w:hAnsi="Arial" w:cs="Arial"/>
          <w:vertAlign w:val="superscript"/>
        </w:rPr>
        <w:t>+</w:t>
      </w:r>
      <w:r w:rsidR="00046A91" w:rsidRPr="00CE08FC">
        <w:rPr>
          <w:rFonts w:ascii="Arial" w:hAnsi="Arial" w:cs="Arial"/>
        </w:rPr>
        <w:t>/M-CSFR</w:t>
      </w:r>
      <w:r w:rsidR="00046A91" w:rsidRPr="00CE08FC">
        <w:rPr>
          <w:rFonts w:ascii="Arial" w:hAnsi="Arial" w:cs="Arial"/>
          <w:vertAlign w:val="superscript"/>
        </w:rPr>
        <w:t>+</w:t>
      </w:r>
      <w:r w:rsidR="00046A91" w:rsidRPr="00CE08FC">
        <w:rPr>
          <w:rFonts w:ascii="Arial" w:hAnsi="Arial" w:cs="Arial"/>
        </w:rPr>
        <w:t>, CD14</w:t>
      </w:r>
      <w:r w:rsidR="00046A91" w:rsidRPr="00CE08FC">
        <w:rPr>
          <w:rFonts w:ascii="Arial" w:hAnsi="Arial" w:cs="Arial"/>
          <w:vertAlign w:val="superscript"/>
        </w:rPr>
        <w:t>+</w:t>
      </w:r>
      <w:r w:rsidR="00046A91" w:rsidRPr="00CE08FC">
        <w:rPr>
          <w:rFonts w:ascii="Arial" w:hAnsi="Arial" w:cs="Arial"/>
        </w:rPr>
        <w:t>/CD11b</w:t>
      </w:r>
      <w:r w:rsidR="00046A91" w:rsidRPr="00CE08FC">
        <w:rPr>
          <w:rFonts w:ascii="Arial" w:hAnsi="Arial" w:cs="Arial"/>
          <w:vertAlign w:val="superscript"/>
        </w:rPr>
        <w:t>+</w:t>
      </w:r>
      <w:r w:rsidR="00046A91" w:rsidRPr="00CE08FC">
        <w:rPr>
          <w:rFonts w:ascii="Arial" w:hAnsi="Arial" w:cs="Arial"/>
        </w:rPr>
        <w:t xml:space="preserve"> </w:t>
      </w:r>
      <w:bookmarkEnd w:id="200"/>
      <w:r w:rsidR="00AF09B9" w:rsidRPr="00CE08FC">
        <w:rPr>
          <w:rFonts w:ascii="Arial" w:hAnsi="Arial" w:cs="Arial"/>
        </w:rPr>
        <w:t>and CD14</w:t>
      </w:r>
      <w:r w:rsidR="00AF09B9" w:rsidRPr="00CE08FC">
        <w:rPr>
          <w:rFonts w:ascii="Arial" w:hAnsi="Arial" w:cs="Arial"/>
          <w:vertAlign w:val="superscript"/>
        </w:rPr>
        <w:t>+</w:t>
      </w:r>
      <w:r w:rsidR="00AF09B9" w:rsidRPr="00CE08FC">
        <w:rPr>
          <w:rFonts w:ascii="Arial" w:hAnsi="Arial" w:cs="Arial"/>
        </w:rPr>
        <w:t>/TNFRII</w:t>
      </w:r>
      <w:r w:rsidR="00AF09B9" w:rsidRPr="00CE08FC">
        <w:rPr>
          <w:rFonts w:ascii="Arial" w:hAnsi="Arial" w:cs="Arial"/>
          <w:vertAlign w:val="superscript"/>
        </w:rPr>
        <w:t>+</w:t>
      </w:r>
      <w:r w:rsidR="00AF09B9" w:rsidRPr="00CE08FC">
        <w:rPr>
          <w:rFonts w:ascii="Arial" w:hAnsi="Arial" w:cs="Arial"/>
        </w:rPr>
        <w:t xml:space="preserve"> cells with either of the bisphosphonates</w:t>
      </w:r>
      <w:r w:rsidR="00046A91" w:rsidRPr="00CE08FC">
        <w:rPr>
          <w:rFonts w:ascii="Arial" w:hAnsi="Arial" w:cs="Arial"/>
        </w:rPr>
        <w:t>.</w:t>
      </w:r>
      <w:r w:rsidR="00AF09B9" w:rsidRPr="00CE08FC">
        <w:rPr>
          <w:rFonts w:ascii="Arial" w:hAnsi="Arial" w:cs="Arial"/>
        </w:rPr>
        <w:t xml:space="preserve"> After 48 weeks</w:t>
      </w:r>
      <w:r w:rsidR="00046A91" w:rsidRPr="00CE08FC">
        <w:rPr>
          <w:rFonts w:ascii="Arial" w:hAnsi="Arial" w:cs="Arial"/>
        </w:rPr>
        <w:t xml:space="preserve"> </w:t>
      </w:r>
      <w:r w:rsidR="00AF09B9" w:rsidRPr="00CE08FC">
        <w:rPr>
          <w:rFonts w:ascii="Arial" w:hAnsi="Arial" w:cs="Arial"/>
        </w:rPr>
        <w:t xml:space="preserve">of </w:t>
      </w:r>
      <w:r w:rsidR="00046A91" w:rsidRPr="00CE08FC">
        <w:rPr>
          <w:rFonts w:ascii="Arial" w:hAnsi="Arial" w:cs="Arial"/>
        </w:rPr>
        <w:t xml:space="preserve">treatment </w:t>
      </w:r>
      <w:r w:rsidR="00AF09B9" w:rsidRPr="00CE08FC">
        <w:rPr>
          <w:rFonts w:ascii="Arial" w:hAnsi="Arial" w:cs="Arial"/>
        </w:rPr>
        <w:t xml:space="preserve">with ibandronate there was a significant </w:t>
      </w:r>
      <w:r w:rsidR="00F87A7C" w:rsidRPr="00CE08FC">
        <w:rPr>
          <w:rFonts w:ascii="Arial" w:hAnsi="Arial" w:cs="Arial"/>
        </w:rPr>
        <w:t>decrease</w:t>
      </w:r>
      <w:r w:rsidR="00AF09B9" w:rsidRPr="00CE08FC">
        <w:rPr>
          <w:rFonts w:ascii="Arial" w:hAnsi="Arial" w:cs="Arial"/>
        </w:rPr>
        <w:t xml:space="preserve"> </w:t>
      </w:r>
      <w:r w:rsidR="00C96D0C" w:rsidRPr="00CE08FC">
        <w:rPr>
          <w:rFonts w:ascii="Arial" w:hAnsi="Arial" w:cs="Arial"/>
        </w:rPr>
        <w:t xml:space="preserve">from baseline </w:t>
      </w:r>
      <w:r w:rsidR="00AF09B9" w:rsidRPr="00CE08FC">
        <w:rPr>
          <w:rFonts w:ascii="Arial" w:hAnsi="Arial" w:cs="Arial"/>
        </w:rPr>
        <w:t>in the population of cells expressing CD14</w:t>
      </w:r>
      <w:r w:rsidR="00AF09B9" w:rsidRPr="00CE08FC">
        <w:rPr>
          <w:rFonts w:ascii="Arial" w:hAnsi="Arial" w:cs="Arial"/>
          <w:vertAlign w:val="superscript"/>
        </w:rPr>
        <w:t>+</w:t>
      </w:r>
      <w:r w:rsidR="00AF09B9" w:rsidRPr="00CE08FC">
        <w:rPr>
          <w:rFonts w:ascii="Arial" w:hAnsi="Arial" w:cs="Arial"/>
        </w:rPr>
        <w:t>/M-CSFR</w:t>
      </w:r>
      <w:r w:rsidR="00AF09B9" w:rsidRPr="00CE08FC">
        <w:rPr>
          <w:rFonts w:ascii="Arial" w:hAnsi="Arial" w:cs="Arial"/>
          <w:vertAlign w:val="superscript"/>
        </w:rPr>
        <w:t>+</w:t>
      </w:r>
      <w:r w:rsidR="00C96D0C" w:rsidRPr="00CE08FC">
        <w:rPr>
          <w:rFonts w:ascii="Arial" w:hAnsi="Arial" w:cs="Arial"/>
        </w:rPr>
        <w:t xml:space="preserve"> b</w:t>
      </w:r>
      <w:r w:rsidR="002B5463">
        <w:rPr>
          <w:rFonts w:ascii="Arial" w:hAnsi="Arial" w:cs="Arial"/>
        </w:rPr>
        <w:t>y 65</w:t>
      </w:r>
      <w:r w:rsidR="00AF09B9" w:rsidRPr="00CE08FC">
        <w:rPr>
          <w:rFonts w:ascii="Arial" w:hAnsi="Arial" w:cs="Arial"/>
        </w:rPr>
        <w:t>%</w:t>
      </w:r>
      <w:r w:rsidR="00876376" w:rsidRPr="00CE08FC">
        <w:rPr>
          <w:rFonts w:ascii="Arial" w:hAnsi="Arial" w:cs="Arial"/>
        </w:rPr>
        <w:t>, p&lt;0.05</w:t>
      </w:r>
      <w:r w:rsidR="00046A91" w:rsidRPr="00CE08FC">
        <w:rPr>
          <w:rFonts w:ascii="Arial" w:hAnsi="Arial" w:cs="Arial"/>
        </w:rPr>
        <w:t>.</w:t>
      </w:r>
      <w:r w:rsidR="00876376">
        <w:t xml:space="preserve"> </w:t>
      </w:r>
      <w:r w:rsidR="005E43D6" w:rsidRPr="00CE08FC">
        <w:rPr>
          <w:rFonts w:ascii="Arial" w:hAnsi="Arial" w:cs="Arial"/>
        </w:rPr>
        <w:t>There was a decrease in the population of cells expressing CD14</w:t>
      </w:r>
      <w:r w:rsidR="005E43D6" w:rsidRPr="00CE08FC">
        <w:rPr>
          <w:rFonts w:ascii="Arial" w:hAnsi="Arial" w:cs="Arial"/>
          <w:vertAlign w:val="superscript"/>
        </w:rPr>
        <w:t>+</w:t>
      </w:r>
      <w:r w:rsidR="005E43D6" w:rsidRPr="00CE08FC">
        <w:rPr>
          <w:rFonts w:ascii="Arial" w:hAnsi="Arial" w:cs="Arial"/>
        </w:rPr>
        <w:t>/CD11b</w:t>
      </w:r>
      <w:r w:rsidR="005E43D6" w:rsidRPr="00CE08FC">
        <w:rPr>
          <w:rFonts w:ascii="Arial" w:hAnsi="Arial" w:cs="Arial"/>
          <w:vertAlign w:val="superscript"/>
        </w:rPr>
        <w:t>+</w:t>
      </w:r>
      <w:r w:rsidR="002B5463">
        <w:rPr>
          <w:rFonts w:ascii="Arial" w:hAnsi="Arial" w:cs="Arial"/>
        </w:rPr>
        <w:t xml:space="preserve"> by 40</w:t>
      </w:r>
      <w:r w:rsidR="007F0AC4">
        <w:rPr>
          <w:rFonts w:ascii="Arial" w:hAnsi="Arial" w:cs="Arial"/>
        </w:rPr>
        <w:t xml:space="preserve">% </w:t>
      </w:r>
      <w:r w:rsidR="005E43D6" w:rsidRPr="00CE08FC">
        <w:rPr>
          <w:rFonts w:ascii="Arial" w:hAnsi="Arial" w:cs="Arial"/>
        </w:rPr>
        <w:t xml:space="preserve">but this was not statistically significant. </w:t>
      </w:r>
      <w:r w:rsidR="00876376" w:rsidRPr="00CE08FC">
        <w:rPr>
          <w:rFonts w:ascii="Arial" w:hAnsi="Arial" w:cs="Arial"/>
        </w:rPr>
        <w:t>After 48 weeks of treatment with risedronate there was a significant reduction from baseline in the population of cells expressing CD14</w:t>
      </w:r>
      <w:r w:rsidR="00876376" w:rsidRPr="00CE08FC">
        <w:rPr>
          <w:rFonts w:ascii="Arial" w:hAnsi="Arial" w:cs="Arial"/>
          <w:vertAlign w:val="superscript"/>
        </w:rPr>
        <w:t>+</w:t>
      </w:r>
      <w:r w:rsidR="00876376" w:rsidRPr="00CE08FC">
        <w:rPr>
          <w:rFonts w:ascii="Arial" w:hAnsi="Arial" w:cs="Arial"/>
        </w:rPr>
        <w:t>/M-CSFR</w:t>
      </w:r>
      <w:r w:rsidR="00876376" w:rsidRPr="00CE08FC">
        <w:rPr>
          <w:rFonts w:ascii="Arial" w:hAnsi="Arial" w:cs="Arial"/>
          <w:vertAlign w:val="superscript"/>
        </w:rPr>
        <w:t>+</w:t>
      </w:r>
      <w:r w:rsidR="00876376" w:rsidRPr="00CE08FC">
        <w:rPr>
          <w:rFonts w:ascii="Arial" w:hAnsi="Arial" w:cs="Arial"/>
        </w:rPr>
        <w:t xml:space="preserve"> and CD14</w:t>
      </w:r>
      <w:r w:rsidR="00876376" w:rsidRPr="00CE08FC">
        <w:rPr>
          <w:rFonts w:ascii="Arial" w:hAnsi="Arial" w:cs="Arial"/>
          <w:vertAlign w:val="superscript"/>
        </w:rPr>
        <w:t>+</w:t>
      </w:r>
      <w:r w:rsidR="00876376" w:rsidRPr="00CE08FC">
        <w:rPr>
          <w:rFonts w:ascii="Arial" w:hAnsi="Arial" w:cs="Arial"/>
        </w:rPr>
        <w:t>/CD11b</w:t>
      </w:r>
      <w:r w:rsidR="00876376" w:rsidRPr="00CE08FC">
        <w:rPr>
          <w:rFonts w:ascii="Arial" w:hAnsi="Arial" w:cs="Arial"/>
          <w:vertAlign w:val="superscript"/>
        </w:rPr>
        <w:t>+</w:t>
      </w:r>
      <w:r w:rsidR="00876376" w:rsidRPr="00CE08FC">
        <w:rPr>
          <w:rFonts w:ascii="Arial" w:hAnsi="Arial" w:cs="Arial"/>
        </w:rPr>
        <w:t xml:space="preserve"> </w:t>
      </w:r>
      <w:r w:rsidR="002B5463">
        <w:rPr>
          <w:rFonts w:ascii="Arial" w:hAnsi="Arial" w:cs="Arial"/>
        </w:rPr>
        <w:t>by 61</w:t>
      </w:r>
      <w:r w:rsidR="00876376" w:rsidRPr="00CE08FC">
        <w:rPr>
          <w:rFonts w:ascii="Arial" w:hAnsi="Arial" w:cs="Arial"/>
        </w:rPr>
        <w:t>%</w:t>
      </w:r>
      <w:r w:rsidR="002B5463">
        <w:rPr>
          <w:rFonts w:ascii="Arial" w:hAnsi="Arial" w:cs="Arial"/>
        </w:rPr>
        <w:t xml:space="preserve"> and 54</w:t>
      </w:r>
      <w:r w:rsidR="00876376" w:rsidRPr="00CE08FC">
        <w:rPr>
          <w:rFonts w:ascii="Arial" w:hAnsi="Arial" w:cs="Arial"/>
        </w:rPr>
        <w:t>%</w:t>
      </w:r>
      <w:r w:rsidR="002B5463">
        <w:rPr>
          <w:rFonts w:ascii="Arial" w:hAnsi="Arial" w:cs="Arial"/>
        </w:rPr>
        <w:t>, p&lt;0.01</w:t>
      </w:r>
      <w:r w:rsidR="00CC489F" w:rsidRPr="00CE08FC">
        <w:rPr>
          <w:rFonts w:ascii="Arial" w:hAnsi="Arial" w:cs="Arial"/>
        </w:rPr>
        <w:t>,</w:t>
      </w:r>
      <w:r w:rsidR="00876376" w:rsidRPr="00CE08FC">
        <w:rPr>
          <w:rFonts w:ascii="Arial" w:hAnsi="Arial" w:cs="Arial"/>
        </w:rPr>
        <w:t xml:space="preserve"> respectively.</w:t>
      </w:r>
      <w:r w:rsidR="00F87A7C" w:rsidRPr="00CE08FC">
        <w:rPr>
          <w:rFonts w:ascii="Arial" w:hAnsi="Arial" w:cs="Arial"/>
        </w:rPr>
        <w:t xml:space="preserve"> These decreases resulted in a high portion of participants having a percentage of osteoclast precursor cells</w:t>
      </w:r>
      <w:r w:rsidR="00A25DAB" w:rsidRPr="00CE08FC">
        <w:rPr>
          <w:rFonts w:ascii="Arial" w:hAnsi="Arial" w:cs="Arial"/>
        </w:rPr>
        <w:t xml:space="preserve"> lower than the median percentage in premenopausal women.</w:t>
      </w:r>
      <w:r w:rsidR="00D51117" w:rsidRPr="00CE08FC">
        <w:rPr>
          <w:rFonts w:ascii="Arial" w:hAnsi="Arial" w:cs="Arial"/>
        </w:rPr>
        <w:t xml:space="preserve"> Treatment with alendronate did not significantly affect the population of these osteoclast precursor cells and neither treatment effected the population of CD14</w:t>
      </w:r>
      <w:r w:rsidR="00D51117" w:rsidRPr="00CE08FC">
        <w:rPr>
          <w:rFonts w:ascii="Arial" w:hAnsi="Arial" w:cs="Arial"/>
          <w:vertAlign w:val="superscript"/>
        </w:rPr>
        <w:t>+</w:t>
      </w:r>
      <w:r w:rsidR="00D51117" w:rsidRPr="00CE08FC">
        <w:rPr>
          <w:rFonts w:ascii="Arial" w:hAnsi="Arial" w:cs="Arial"/>
        </w:rPr>
        <w:t>/TNFRII</w:t>
      </w:r>
      <w:r w:rsidR="00D51117" w:rsidRPr="00CE08FC">
        <w:rPr>
          <w:rFonts w:ascii="Arial" w:hAnsi="Arial" w:cs="Arial"/>
          <w:vertAlign w:val="superscript"/>
        </w:rPr>
        <w:t xml:space="preserve">+ </w:t>
      </w:r>
      <w:r w:rsidR="00D51117" w:rsidRPr="00CE08FC">
        <w:rPr>
          <w:rFonts w:ascii="Arial" w:hAnsi="Arial" w:cs="Arial"/>
        </w:rPr>
        <w:t>cells</w:t>
      </w:r>
      <w:r w:rsidR="00093E1B">
        <w:t xml:space="preserve">, </w:t>
      </w:r>
      <w:r>
        <w:rPr>
          <w:rFonts w:ascii="Arial" w:hAnsi="Arial" w:cs="Arial"/>
        </w:rPr>
        <w:t>(Table 24</w:t>
      </w:r>
      <w:r w:rsidR="002B5463" w:rsidRPr="00093E1B">
        <w:rPr>
          <w:rFonts w:ascii="Arial" w:hAnsi="Arial" w:cs="Arial"/>
        </w:rPr>
        <w:t>)</w:t>
      </w:r>
      <w:r w:rsidR="003E5C23">
        <w:rPr>
          <w:rFonts w:ascii="Arial" w:hAnsi="Arial" w:cs="Arial"/>
        </w:rPr>
        <w:t>.</w:t>
      </w:r>
    </w:p>
    <w:p w:rsidR="007F0AC4" w:rsidRPr="00093E1B" w:rsidRDefault="00093E1B" w:rsidP="009D3BB6">
      <w:pPr>
        <w:jc w:val="center"/>
      </w:pPr>
      <w:r>
        <w:rPr>
          <w:noProof/>
          <w:lang w:eastAsia="zh-CN"/>
        </w:rPr>
        <w:lastRenderedPageBreak/>
        <mc:AlternateContent>
          <mc:Choice Requires="wps">
            <w:drawing>
              <wp:anchor distT="0" distB="0" distL="114300" distR="114300" simplePos="0" relativeHeight="252685824" behindDoc="0" locked="0" layoutInCell="1" allowOverlap="1" wp14:anchorId="4E8C5A79" wp14:editId="7977BEA7">
                <wp:simplePos x="0" y="0"/>
                <wp:positionH relativeFrom="column">
                  <wp:posOffset>-82550</wp:posOffset>
                </wp:positionH>
                <wp:positionV relativeFrom="paragraph">
                  <wp:posOffset>4118610</wp:posOffset>
                </wp:positionV>
                <wp:extent cx="5891530" cy="566382"/>
                <wp:effectExtent l="0" t="0" r="0" b="5715"/>
                <wp:wrapNone/>
                <wp:docPr id="18601" name="Text Box 18601"/>
                <wp:cNvGraphicFramePr/>
                <a:graphic xmlns:a="http://schemas.openxmlformats.org/drawingml/2006/main">
                  <a:graphicData uri="http://schemas.microsoft.com/office/word/2010/wordprocessingShape">
                    <wps:wsp>
                      <wps:cNvSpPr txBox="1"/>
                      <wps:spPr>
                        <a:xfrm>
                          <a:off x="0" y="0"/>
                          <a:ext cx="5891530" cy="566382"/>
                        </a:xfrm>
                        <a:prstGeom prst="rect">
                          <a:avLst/>
                        </a:prstGeom>
                        <a:solidFill>
                          <a:prstClr val="white"/>
                        </a:solidFill>
                        <a:ln>
                          <a:noFill/>
                        </a:ln>
                        <a:effectLst/>
                      </wps:spPr>
                      <wps:txbx>
                        <w:txbxContent>
                          <w:p w:rsidR="004166BC" w:rsidRDefault="004166BC" w:rsidP="003E5C23">
                            <w:pPr>
                              <w:pStyle w:val="Caption"/>
                              <w:jc w:val="both"/>
                              <w:rPr>
                                <w:rFonts w:ascii="Arial" w:hAnsi="Arial" w:cs="Arial"/>
                                <w:b w:val="0"/>
                                <w:color w:val="000000" w:themeColor="text1"/>
                              </w:rPr>
                            </w:pPr>
                            <w:bookmarkStart w:id="201" w:name="_Toc422736096"/>
                            <w:bookmarkStart w:id="202" w:name="_Toc422736204"/>
                            <w:bookmarkStart w:id="203" w:name="_Toc425419538"/>
                            <w:r w:rsidRPr="00E47435">
                              <w:rPr>
                                <w:rFonts w:ascii="Arial" w:hAnsi="Arial" w:cs="Arial"/>
                                <w:b w:val="0"/>
                                <w:color w:val="000000" w:themeColor="text1"/>
                              </w:rPr>
                              <w:t xml:space="preserve">Figure </w:t>
                            </w:r>
                            <w:r w:rsidRPr="00E47435">
                              <w:rPr>
                                <w:rFonts w:ascii="Arial" w:hAnsi="Arial" w:cs="Arial"/>
                                <w:b w:val="0"/>
                                <w:color w:val="000000" w:themeColor="text1"/>
                              </w:rPr>
                              <w:fldChar w:fldCharType="begin"/>
                            </w:r>
                            <w:r w:rsidRPr="00E47435">
                              <w:rPr>
                                <w:rFonts w:ascii="Arial" w:hAnsi="Arial" w:cs="Arial"/>
                                <w:b w:val="0"/>
                                <w:color w:val="000000" w:themeColor="text1"/>
                              </w:rPr>
                              <w:instrText xml:space="preserve"> SEQ Figure \* ARABIC </w:instrText>
                            </w:r>
                            <w:r w:rsidRPr="00E47435">
                              <w:rPr>
                                <w:rFonts w:ascii="Arial" w:hAnsi="Arial" w:cs="Arial"/>
                                <w:b w:val="0"/>
                                <w:color w:val="000000" w:themeColor="text1"/>
                              </w:rPr>
                              <w:fldChar w:fldCharType="separate"/>
                            </w:r>
                            <w:r>
                              <w:rPr>
                                <w:rFonts w:ascii="Arial" w:hAnsi="Arial" w:cs="Arial"/>
                                <w:b w:val="0"/>
                                <w:noProof/>
                                <w:color w:val="000000" w:themeColor="text1"/>
                              </w:rPr>
                              <w:t>49</w:t>
                            </w:r>
                            <w:r w:rsidRPr="00E47435">
                              <w:rPr>
                                <w:rFonts w:ascii="Arial" w:hAnsi="Arial" w:cs="Arial"/>
                                <w:b w:val="0"/>
                                <w:color w:val="000000" w:themeColor="text1"/>
                              </w:rPr>
                              <w:fldChar w:fldCharType="end"/>
                            </w:r>
                            <w:r w:rsidRPr="00E47435">
                              <w:rPr>
                                <w:rFonts w:ascii="Arial" w:hAnsi="Arial" w:cs="Arial"/>
                                <w:b w:val="0"/>
                                <w:color w:val="000000" w:themeColor="text1"/>
                              </w:rPr>
                              <w:t>: Box and whisker plots representing the percentage of CD14+ cells which are positive for M-CSFR, CD11b and TNFRII in postmenopausal women taking ibandronate ( N =  22), alendronate ( N = 19) and risedronate</w:t>
                            </w:r>
                            <w:r>
                              <w:rPr>
                                <w:rFonts w:ascii="Arial" w:hAnsi="Arial" w:cs="Arial"/>
                                <w:b w:val="0"/>
                                <w:color w:val="000000" w:themeColor="text1"/>
                              </w:rPr>
                              <w:t xml:space="preserve"> </w:t>
                            </w:r>
                            <w:r w:rsidRPr="00E47435">
                              <w:rPr>
                                <w:rFonts w:ascii="Arial" w:hAnsi="Arial" w:cs="Arial"/>
                                <w:b w:val="0"/>
                                <w:color w:val="000000" w:themeColor="text1"/>
                              </w:rPr>
                              <w:t>(N = 21) over 48 weeks. ). The shaded area represents the median value and 25% and 75% percentiles of the premenopausal women (N = 25).</w:t>
                            </w:r>
                            <w:bookmarkEnd w:id="201"/>
                            <w:bookmarkEnd w:id="202"/>
                            <w:bookmarkEnd w:id="203"/>
                            <w:r w:rsidRPr="00E47435">
                              <w:rPr>
                                <w:rFonts w:ascii="Arial" w:hAnsi="Arial" w:cs="Arial"/>
                                <w:b w:val="0"/>
                                <w:color w:val="000000" w:themeColor="text1"/>
                              </w:rPr>
                              <w:t xml:space="preserve"> </w:t>
                            </w:r>
                          </w:p>
                          <w:p w:rsidR="004166BC" w:rsidRPr="004A7F9C" w:rsidRDefault="004166BC" w:rsidP="003E5C23">
                            <w:pPr>
                              <w:jc w:val="both"/>
                            </w:pPr>
                          </w:p>
                          <w:p w:rsidR="004166BC" w:rsidRPr="00E47435" w:rsidRDefault="004166BC" w:rsidP="003E5C23">
                            <w:pPr>
                              <w:pStyle w:val="Caption"/>
                              <w:jc w:val="both"/>
                              <w:rPr>
                                <w:b w:val="0"/>
                                <w:color w:val="000000" w:themeColor="text1"/>
                              </w:rPr>
                            </w:pPr>
                          </w:p>
                          <w:p w:rsidR="004166BC" w:rsidRPr="00E47435" w:rsidRDefault="004166BC" w:rsidP="00D959FD">
                            <w:pPr>
                              <w:pStyle w:val="Caption"/>
                              <w:rPr>
                                <w:rFonts w:ascii="Arial" w:hAnsi="Arial"/>
                                <w:b w:val="0"/>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C5A79" id="Text Box 18601" o:spid="_x0000_s1156" type="#_x0000_t202" style="position:absolute;left:0;text-align:left;margin-left:-6.5pt;margin-top:324.3pt;width:463.9pt;height:44.6pt;z-index:25268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" stroked="f">
                <v:textbox inset="0,0,0,0">
                  <w:txbxContent>
                    <w:p w:rsidR="004166BC" w:rsidRDefault="004166BC" w:rsidP="003E5C23">
                      <w:pPr>
                        <w:pStyle w:val="Caption"/>
                        <w:jc w:val="both"/>
                        <w:rPr>
                          <w:rFonts w:ascii="Arial" w:hAnsi="Arial" w:cs="Arial"/>
                          <w:b w:val="0"/>
                          <w:color w:val="000000" w:themeColor="text1"/>
                        </w:rPr>
                      </w:pPr>
                      <w:bookmarkStart w:id="264" w:name="_Toc422736096"/>
                      <w:bookmarkStart w:id="265" w:name="_Toc422736204"/>
                      <w:bookmarkStart w:id="266" w:name="_Toc425419538"/>
                      <w:r w:rsidRPr="00E47435">
                        <w:rPr>
                          <w:rFonts w:ascii="Arial" w:hAnsi="Arial" w:cs="Arial"/>
                          <w:b w:val="0"/>
                          <w:color w:val="000000" w:themeColor="text1"/>
                        </w:rPr>
                        <w:t xml:space="preserve">Figure </w:t>
                      </w:r>
                      <w:r w:rsidRPr="00E47435">
                        <w:rPr>
                          <w:rFonts w:ascii="Arial" w:hAnsi="Arial" w:cs="Arial"/>
                          <w:b w:val="0"/>
                          <w:color w:val="000000" w:themeColor="text1"/>
                        </w:rPr>
                        <w:fldChar w:fldCharType="begin"/>
                      </w:r>
                      <w:r w:rsidRPr="00E47435">
                        <w:rPr>
                          <w:rFonts w:ascii="Arial" w:hAnsi="Arial" w:cs="Arial"/>
                          <w:b w:val="0"/>
                          <w:color w:val="000000" w:themeColor="text1"/>
                        </w:rPr>
                        <w:instrText xml:space="preserve"> SEQ Figure \* ARABIC </w:instrText>
                      </w:r>
                      <w:r w:rsidRPr="00E47435">
                        <w:rPr>
                          <w:rFonts w:ascii="Arial" w:hAnsi="Arial" w:cs="Arial"/>
                          <w:b w:val="0"/>
                          <w:color w:val="000000" w:themeColor="text1"/>
                        </w:rPr>
                        <w:fldChar w:fldCharType="separate"/>
                      </w:r>
                      <w:r>
                        <w:rPr>
                          <w:rFonts w:ascii="Arial" w:hAnsi="Arial" w:cs="Arial"/>
                          <w:b w:val="0"/>
                          <w:noProof/>
                          <w:color w:val="000000" w:themeColor="text1"/>
                        </w:rPr>
                        <w:t>49</w:t>
                      </w:r>
                      <w:r w:rsidRPr="00E47435">
                        <w:rPr>
                          <w:rFonts w:ascii="Arial" w:hAnsi="Arial" w:cs="Arial"/>
                          <w:b w:val="0"/>
                          <w:color w:val="000000" w:themeColor="text1"/>
                        </w:rPr>
                        <w:fldChar w:fldCharType="end"/>
                      </w:r>
                      <w:r w:rsidRPr="00E47435">
                        <w:rPr>
                          <w:rFonts w:ascii="Arial" w:hAnsi="Arial" w:cs="Arial"/>
                          <w:b w:val="0"/>
                          <w:color w:val="000000" w:themeColor="text1"/>
                        </w:rPr>
                        <w:t>: Box and whisker plots representing the percentage of CD14+ cells which are positive for M-CSFR, CD11b and TNFRII in postmenopausal women taking ibandronate ( N =  22), alendronate ( N = 19) and risedronate</w:t>
                      </w:r>
                      <w:r>
                        <w:rPr>
                          <w:rFonts w:ascii="Arial" w:hAnsi="Arial" w:cs="Arial"/>
                          <w:b w:val="0"/>
                          <w:color w:val="000000" w:themeColor="text1"/>
                        </w:rPr>
                        <w:t xml:space="preserve"> </w:t>
                      </w:r>
                      <w:r w:rsidRPr="00E47435">
                        <w:rPr>
                          <w:rFonts w:ascii="Arial" w:hAnsi="Arial" w:cs="Arial"/>
                          <w:b w:val="0"/>
                          <w:color w:val="000000" w:themeColor="text1"/>
                        </w:rPr>
                        <w:t>(N = 21) over 48 weeks. ). The shaded area represents the median value and 25% and 75% percentiles of the premenopausal women (N = 25).</w:t>
                      </w:r>
                      <w:bookmarkEnd w:id="264"/>
                      <w:bookmarkEnd w:id="265"/>
                      <w:bookmarkEnd w:id="266"/>
                      <w:r w:rsidRPr="00E47435">
                        <w:rPr>
                          <w:rFonts w:ascii="Arial" w:hAnsi="Arial" w:cs="Arial"/>
                          <w:b w:val="0"/>
                          <w:color w:val="000000" w:themeColor="text1"/>
                        </w:rPr>
                        <w:t xml:space="preserve"> </w:t>
                      </w:r>
                    </w:p>
                    <w:p w:rsidR="004166BC" w:rsidRPr="004A7F9C" w:rsidRDefault="004166BC" w:rsidP="003E5C23">
                      <w:pPr>
                        <w:jc w:val="both"/>
                      </w:pPr>
                    </w:p>
                    <w:p w:rsidR="004166BC" w:rsidRPr="00E47435" w:rsidRDefault="004166BC" w:rsidP="003E5C23">
                      <w:pPr>
                        <w:pStyle w:val="Caption"/>
                        <w:jc w:val="both"/>
                        <w:rPr>
                          <w:b w:val="0"/>
                          <w:color w:val="000000" w:themeColor="text1"/>
                        </w:rPr>
                      </w:pPr>
                    </w:p>
                    <w:p w:rsidR="004166BC" w:rsidRPr="00E47435" w:rsidRDefault="004166BC" w:rsidP="00D959FD">
                      <w:pPr>
                        <w:pStyle w:val="Caption"/>
                        <w:rPr>
                          <w:rFonts w:ascii="Arial" w:hAnsi="Arial"/>
                          <w:b w:val="0"/>
                          <w:noProof/>
                          <w:color w:val="000000" w:themeColor="text1"/>
                          <w:sz w:val="22"/>
                          <w:szCs w:val="22"/>
                        </w:rPr>
                      </w:pPr>
                    </w:p>
                  </w:txbxContent>
                </v:textbox>
              </v:shape>
            </w:pict>
          </mc:Fallback>
        </mc:AlternateContent>
      </w:r>
      <w:r w:rsidR="000518BA">
        <w:rPr>
          <w:noProof/>
          <w:lang w:eastAsia="zh-CN"/>
        </w:rPr>
        <w:drawing>
          <wp:inline distT="0" distB="0" distL="0" distR="0" wp14:anchorId="01D9FFB0" wp14:editId="2332AF86">
            <wp:extent cx="5706099" cy="4070883"/>
            <wp:effectExtent l="0" t="0" r="0" b="635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44746" cy="4098455"/>
                    </a:xfrm>
                    <a:prstGeom prst="rect">
                      <a:avLst/>
                    </a:prstGeom>
                    <a:noFill/>
                  </pic:spPr>
                </pic:pic>
              </a:graphicData>
            </a:graphic>
          </wp:inline>
        </w:drawing>
      </w:r>
    </w:p>
    <w:p w:rsidR="004A7F9C" w:rsidRDefault="004A7F9C" w:rsidP="00900F2C">
      <w:pPr>
        <w:pStyle w:val="Caption"/>
        <w:keepNext/>
        <w:rPr>
          <w:rFonts w:ascii="Arial" w:hAnsi="Arial" w:cs="Arial"/>
          <w:b w:val="0"/>
          <w:color w:val="auto"/>
        </w:rPr>
      </w:pPr>
    </w:p>
    <w:p w:rsidR="004A7F9C" w:rsidRDefault="004A7F9C" w:rsidP="00900F2C">
      <w:pPr>
        <w:pStyle w:val="Caption"/>
        <w:keepNext/>
        <w:rPr>
          <w:rFonts w:ascii="Arial" w:hAnsi="Arial" w:cs="Arial"/>
          <w:b w:val="0"/>
          <w:color w:val="auto"/>
        </w:rPr>
      </w:pPr>
    </w:p>
    <w:p w:rsidR="004A7F9C" w:rsidRDefault="004A7F9C" w:rsidP="003E5C23">
      <w:pPr>
        <w:pStyle w:val="Caption"/>
        <w:keepNext/>
        <w:jc w:val="both"/>
        <w:rPr>
          <w:rFonts w:ascii="Arial" w:hAnsi="Arial" w:cs="Arial"/>
          <w:b w:val="0"/>
          <w:color w:val="auto"/>
        </w:rPr>
      </w:pPr>
    </w:p>
    <w:p w:rsidR="00093E1B" w:rsidRPr="005A05B1" w:rsidRDefault="00093E1B" w:rsidP="003E5C23">
      <w:pPr>
        <w:pStyle w:val="Caption"/>
        <w:keepNext/>
        <w:jc w:val="both"/>
        <w:rPr>
          <w:rFonts w:ascii="Arial" w:hAnsi="Arial" w:cs="Arial"/>
          <w:color w:val="auto"/>
        </w:rPr>
      </w:pPr>
      <w:bookmarkStart w:id="204" w:name="_Toc424043698"/>
      <w:r w:rsidRPr="00093E1B">
        <w:rPr>
          <w:rFonts w:ascii="Arial" w:hAnsi="Arial" w:cs="Arial"/>
          <w:b w:val="0"/>
          <w:color w:val="auto"/>
        </w:rPr>
        <w:t xml:space="preserve">Table </w:t>
      </w:r>
      <w:r w:rsidRPr="00093E1B">
        <w:rPr>
          <w:rFonts w:ascii="Arial" w:hAnsi="Arial" w:cs="Arial"/>
          <w:b w:val="0"/>
          <w:color w:val="auto"/>
        </w:rPr>
        <w:fldChar w:fldCharType="begin"/>
      </w:r>
      <w:r w:rsidRPr="00093E1B">
        <w:rPr>
          <w:rFonts w:ascii="Arial" w:hAnsi="Arial" w:cs="Arial"/>
          <w:b w:val="0"/>
          <w:color w:val="auto"/>
        </w:rPr>
        <w:instrText xml:space="preserve"> SEQ Table \* ARABIC </w:instrText>
      </w:r>
      <w:r w:rsidRPr="00093E1B">
        <w:rPr>
          <w:rFonts w:ascii="Arial" w:hAnsi="Arial" w:cs="Arial"/>
          <w:b w:val="0"/>
          <w:color w:val="auto"/>
        </w:rPr>
        <w:fldChar w:fldCharType="separate"/>
      </w:r>
      <w:r w:rsidR="00DD116A">
        <w:rPr>
          <w:rFonts w:ascii="Arial" w:hAnsi="Arial" w:cs="Arial"/>
          <w:b w:val="0"/>
          <w:noProof/>
          <w:color w:val="auto"/>
        </w:rPr>
        <w:t>24</w:t>
      </w:r>
      <w:r w:rsidRPr="00093E1B">
        <w:rPr>
          <w:rFonts w:ascii="Arial" w:hAnsi="Arial" w:cs="Arial"/>
          <w:b w:val="0"/>
          <w:color w:val="auto"/>
        </w:rPr>
        <w:fldChar w:fldCharType="end"/>
      </w:r>
      <w:r w:rsidRPr="00093E1B">
        <w:rPr>
          <w:rFonts w:ascii="Arial" w:hAnsi="Arial" w:cs="Arial"/>
          <w:b w:val="0"/>
          <w:color w:val="auto"/>
        </w:rPr>
        <w:t>: Percentage of CD14+ cells from the PBMC cell population which are positive MSCF-R, CD11b and TNFRII and median levels of bone turnover markers at baseline and 48 weeks after treatment (percentage decrease from baseline shown). Significance compared to baseline was tested using non-</w:t>
      </w:r>
      <w:r w:rsidRPr="007F0AC4">
        <w:rPr>
          <w:rFonts w:ascii="Arial" w:hAnsi="Arial" w:cs="Arial"/>
          <w:b w:val="0"/>
          <w:color w:val="auto"/>
        </w:rPr>
        <w:t>parametric Wilcoxon signed test, *p&lt;0.05, **p&lt;0.01 and ***p&lt;0.001.</w:t>
      </w:r>
      <w:bookmarkEnd w:id="204"/>
    </w:p>
    <w:bookmarkStart w:id="205" w:name="_MON_1485251988"/>
    <w:bookmarkEnd w:id="205"/>
    <w:p w:rsidR="00934403" w:rsidRPr="002C1E13" w:rsidRDefault="00093E1B" w:rsidP="003E5C23">
      <w:pPr>
        <w:spacing w:line="360" w:lineRule="auto"/>
        <w:ind w:hanging="851"/>
        <w:jc w:val="both"/>
        <w:rPr>
          <w:rFonts w:ascii="Arial" w:hAnsi="Arial" w:cs="Arial"/>
        </w:rPr>
      </w:pPr>
      <w:r>
        <w:object w:dxaOrig="10635" w:dyaOrig="32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1.75pt;height:162.75pt" o:ole="">
            <v:imagedata r:id="rId160" o:title=""/>
          </v:shape>
          <o:OLEObject Type="Embed" ProgID="Word.Document.12" ShapeID="_x0000_i1025" DrawAspect="Content" ObjectID="_1690277097" r:id="rId161">
            <o:FieldCodes>\s</o:FieldCodes>
          </o:OLEObject>
        </w:object>
      </w:r>
      <w:r w:rsidR="00934403" w:rsidRPr="002C1E13">
        <w:rPr>
          <w:rFonts w:ascii="Arial" w:hAnsi="Arial" w:cs="Arial"/>
        </w:rPr>
        <w:t>At baseline 1 median levels of circulating ser</w:t>
      </w:r>
      <w:r w:rsidR="00534742" w:rsidRPr="002C1E13">
        <w:rPr>
          <w:rFonts w:ascii="Arial" w:hAnsi="Arial" w:cs="Arial"/>
        </w:rPr>
        <w:t>um RANKL and OPG were 0.07 pmol/l and 5.2pmol/l</w:t>
      </w:r>
      <w:r w:rsidR="00934403" w:rsidRPr="002C1E13">
        <w:rPr>
          <w:rFonts w:ascii="Arial" w:hAnsi="Arial" w:cs="Arial"/>
        </w:rPr>
        <w:t xml:space="preserve"> respectively. There were no significant changes in RANKL and OPG after 48 weeks of bisp</w:t>
      </w:r>
      <w:r w:rsidR="00CD394E">
        <w:rPr>
          <w:rFonts w:ascii="Arial" w:hAnsi="Arial" w:cs="Arial"/>
        </w:rPr>
        <w:t>hosphonate treatment, (Figure 56</w:t>
      </w:r>
      <w:r w:rsidR="00934403" w:rsidRPr="002C1E13">
        <w:rPr>
          <w:rFonts w:ascii="Arial" w:hAnsi="Arial" w:cs="Arial"/>
        </w:rPr>
        <w:t>).</w:t>
      </w:r>
    </w:p>
    <w:p w:rsidR="00934403" w:rsidRDefault="00934403" w:rsidP="00900F2C">
      <w:pPr>
        <w:keepNext/>
      </w:pPr>
      <w:r>
        <w:rPr>
          <w:noProof/>
          <w:lang w:eastAsia="zh-CN"/>
        </w:rPr>
        <w:lastRenderedPageBreak/>
        <w:drawing>
          <wp:inline distT="0" distB="0" distL="0" distR="0" wp14:anchorId="6A845E14" wp14:editId="731A1129">
            <wp:extent cx="5285206" cy="2149522"/>
            <wp:effectExtent l="0" t="0" r="0" b="3175"/>
            <wp:docPr id="18587" name="Picture 1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49482" cy="2175664"/>
                    </a:xfrm>
                    <a:prstGeom prst="rect">
                      <a:avLst/>
                    </a:prstGeom>
                    <a:noFill/>
                  </pic:spPr>
                </pic:pic>
              </a:graphicData>
            </a:graphic>
          </wp:inline>
        </w:drawing>
      </w:r>
    </w:p>
    <w:p w:rsidR="00B4610B" w:rsidRPr="003E5C23" w:rsidRDefault="00934403" w:rsidP="003E5C23">
      <w:pPr>
        <w:pStyle w:val="Caption"/>
        <w:jc w:val="both"/>
        <w:rPr>
          <w:rFonts w:ascii="Arial" w:hAnsi="Arial" w:cs="Arial"/>
        </w:rPr>
      </w:pPr>
      <w:bookmarkStart w:id="206" w:name="_Toc425419539"/>
      <w:r w:rsidRPr="003E5C23">
        <w:rPr>
          <w:rFonts w:ascii="Arial" w:hAnsi="Arial" w:cs="Arial"/>
          <w:b w:val="0"/>
          <w:color w:val="000000" w:themeColor="text1"/>
        </w:rPr>
        <w:t xml:space="preserve">Figure </w:t>
      </w:r>
      <w:r w:rsidRPr="003E5C23">
        <w:rPr>
          <w:rFonts w:ascii="Arial" w:hAnsi="Arial" w:cs="Arial"/>
          <w:b w:val="0"/>
          <w:color w:val="000000" w:themeColor="text1"/>
        </w:rPr>
        <w:fldChar w:fldCharType="begin"/>
      </w:r>
      <w:r w:rsidRPr="003E5C23">
        <w:rPr>
          <w:rFonts w:ascii="Arial" w:hAnsi="Arial" w:cs="Arial"/>
          <w:b w:val="0"/>
          <w:color w:val="000000" w:themeColor="text1"/>
        </w:rPr>
        <w:instrText xml:space="preserve"> SEQ Figure \* ARABIC </w:instrText>
      </w:r>
      <w:r w:rsidRPr="003E5C23">
        <w:rPr>
          <w:rFonts w:ascii="Arial" w:hAnsi="Arial" w:cs="Arial"/>
          <w:b w:val="0"/>
          <w:color w:val="000000" w:themeColor="text1"/>
        </w:rPr>
        <w:fldChar w:fldCharType="separate"/>
      </w:r>
      <w:r w:rsidR="0040369A">
        <w:rPr>
          <w:rFonts w:ascii="Arial" w:hAnsi="Arial" w:cs="Arial"/>
          <w:b w:val="0"/>
          <w:noProof/>
          <w:color w:val="000000" w:themeColor="text1"/>
        </w:rPr>
        <w:t>50</w:t>
      </w:r>
      <w:r w:rsidRPr="003E5C23">
        <w:rPr>
          <w:rFonts w:ascii="Arial" w:hAnsi="Arial" w:cs="Arial"/>
          <w:b w:val="0"/>
          <w:color w:val="000000" w:themeColor="text1"/>
        </w:rPr>
        <w:fldChar w:fldCharType="end"/>
      </w:r>
      <w:r w:rsidRPr="003E5C23">
        <w:rPr>
          <w:rFonts w:ascii="Arial" w:hAnsi="Arial" w:cs="Arial"/>
          <w:b w:val="0"/>
          <w:color w:val="000000" w:themeColor="text1"/>
        </w:rPr>
        <w:t>: Box and whisker plots representing circulating levels of RANKL and OPG in postmenopausal women with osteoporosis receiving bisphosphonate treatments (N = 62) over 48 weeks.</w:t>
      </w:r>
      <w:bookmarkEnd w:id="206"/>
    </w:p>
    <w:p w:rsidR="001E31D6" w:rsidRDefault="000518BA" w:rsidP="003E5C23">
      <w:pPr>
        <w:pStyle w:val="Heading3"/>
        <w:jc w:val="both"/>
      </w:pPr>
      <w:bookmarkStart w:id="207" w:name="_Toc425418961"/>
      <w:r>
        <w:t>The effect of bisphosphonates on CTX and PINP</w:t>
      </w:r>
      <w:bookmarkEnd w:id="207"/>
    </w:p>
    <w:p w:rsidR="00401714" w:rsidRPr="00783029" w:rsidRDefault="00086129" w:rsidP="003E5C23">
      <w:pPr>
        <w:spacing w:line="360" w:lineRule="auto"/>
        <w:jc w:val="both"/>
      </w:pPr>
      <w:r>
        <w:rPr>
          <w:rFonts w:ascii="Arial" w:hAnsi="Arial" w:cs="Arial"/>
        </w:rPr>
        <w:t>Figure 57</w:t>
      </w:r>
      <w:r w:rsidR="00401714" w:rsidRPr="00CE08FC">
        <w:rPr>
          <w:rFonts w:ascii="Arial" w:hAnsi="Arial" w:cs="Arial"/>
        </w:rPr>
        <w:t xml:space="preserve"> shows the effects of ibandronate, alendronate and risedronate on </w:t>
      </w:r>
      <w:r w:rsidR="00401714">
        <w:rPr>
          <w:rFonts w:ascii="Arial" w:hAnsi="Arial" w:cs="Arial"/>
        </w:rPr>
        <w:t xml:space="preserve">CTX and PINP </w:t>
      </w:r>
      <w:r w:rsidR="00401714" w:rsidRPr="00CE08FC">
        <w:rPr>
          <w:rFonts w:ascii="Arial" w:hAnsi="Arial" w:cs="Arial"/>
        </w:rPr>
        <w:t>at baseline</w:t>
      </w:r>
      <w:r w:rsidR="00401714">
        <w:rPr>
          <w:rFonts w:ascii="Arial" w:hAnsi="Arial" w:cs="Arial"/>
        </w:rPr>
        <w:t xml:space="preserve"> 1</w:t>
      </w:r>
      <w:r w:rsidR="00401714" w:rsidRPr="00CE08FC">
        <w:rPr>
          <w:rFonts w:ascii="Arial" w:hAnsi="Arial" w:cs="Arial"/>
        </w:rPr>
        <w:t xml:space="preserve">, 1 and 48 weeks after treatment. </w:t>
      </w:r>
      <w:r w:rsidR="00401714">
        <w:rPr>
          <w:rFonts w:ascii="Arial" w:hAnsi="Arial" w:cs="Arial"/>
        </w:rPr>
        <w:t>Similar effects were seen in this subset of participants as in the intention to treat study population described in chapter 5.</w:t>
      </w:r>
      <w:r w:rsidR="005B3F10">
        <w:rPr>
          <w:rFonts w:ascii="Arial" w:hAnsi="Arial" w:cs="Arial"/>
        </w:rPr>
        <w:t xml:space="preserve"> These graphs show</w:t>
      </w:r>
      <w:r w:rsidR="00B4610B">
        <w:rPr>
          <w:rFonts w:ascii="Arial" w:hAnsi="Arial" w:cs="Arial"/>
        </w:rPr>
        <w:t xml:space="preserve"> that there were significant decreases in CTX after one week of treatment with each of the bisphosphates, p&lt;0.001. There were significant decreases in PINP at week 48 with each of the bisphosphonates, p&lt;0.001. Spearman’s correlation analysis showed that </w:t>
      </w:r>
      <w:r w:rsidR="00783029">
        <w:rPr>
          <w:rFonts w:ascii="Arial" w:hAnsi="Arial" w:cs="Arial"/>
        </w:rPr>
        <w:t xml:space="preserve">these </w:t>
      </w:r>
      <w:r w:rsidR="00B4610B">
        <w:rPr>
          <w:rFonts w:ascii="Arial" w:hAnsi="Arial" w:cs="Arial"/>
        </w:rPr>
        <w:t xml:space="preserve">changes in CTX after ibandronate, alendronate and risedronate </w:t>
      </w:r>
      <w:r w:rsidR="00783029">
        <w:rPr>
          <w:rFonts w:ascii="Arial" w:hAnsi="Arial" w:cs="Arial"/>
        </w:rPr>
        <w:t xml:space="preserve">were not correlated with the changes in the </w:t>
      </w:r>
      <w:r w:rsidR="00783029" w:rsidRPr="00CE08FC">
        <w:rPr>
          <w:rFonts w:ascii="Arial" w:hAnsi="Arial" w:cs="Arial"/>
        </w:rPr>
        <w:t>CD14</w:t>
      </w:r>
      <w:r w:rsidR="00783029" w:rsidRPr="00CE08FC">
        <w:rPr>
          <w:rFonts w:ascii="Arial" w:hAnsi="Arial" w:cs="Arial"/>
          <w:vertAlign w:val="superscript"/>
        </w:rPr>
        <w:t>+</w:t>
      </w:r>
      <w:r w:rsidR="00783029" w:rsidRPr="00CE08FC">
        <w:rPr>
          <w:rFonts w:ascii="Arial" w:hAnsi="Arial" w:cs="Arial"/>
        </w:rPr>
        <w:t>/M-CSFR</w:t>
      </w:r>
      <w:r w:rsidR="00783029" w:rsidRPr="00CE08FC">
        <w:rPr>
          <w:rFonts w:ascii="Arial" w:hAnsi="Arial" w:cs="Arial"/>
          <w:vertAlign w:val="superscript"/>
        </w:rPr>
        <w:t>+</w:t>
      </w:r>
      <w:r w:rsidR="00783029">
        <w:rPr>
          <w:rFonts w:ascii="Arial" w:hAnsi="Arial" w:cs="Arial"/>
        </w:rPr>
        <w:t xml:space="preserve"> and</w:t>
      </w:r>
      <w:r w:rsidR="00783029" w:rsidRPr="00CE08FC">
        <w:rPr>
          <w:rFonts w:ascii="Arial" w:hAnsi="Arial" w:cs="Arial"/>
        </w:rPr>
        <w:t xml:space="preserve"> CD14</w:t>
      </w:r>
      <w:r w:rsidR="00783029" w:rsidRPr="00CE08FC">
        <w:rPr>
          <w:rFonts w:ascii="Arial" w:hAnsi="Arial" w:cs="Arial"/>
          <w:vertAlign w:val="superscript"/>
        </w:rPr>
        <w:t>+</w:t>
      </w:r>
      <w:r w:rsidR="00783029" w:rsidRPr="00CE08FC">
        <w:rPr>
          <w:rFonts w:ascii="Arial" w:hAnsi="Arial" w:cs="Arial"/>
        </w:rPr>
        <w:t>/CD11b</w:t>
      </w:r>
      <w:r w:rsidR="00783029" w:rsidRPr="00CE08FC">
        <w:rPr>
          <w:rFonts w:ascii="Arial" w:hAnsi="Arial" w:cs="Arial"/>
          <w:vertAlign w:val="superscript"/>
        </w:rPr>
        <w:t>+</w:t>
      </w:r>
      <w:r w:rsidR="00783029">
        <w:rPr>
          <w:rFonts w:ascii="Arial" w:hAnsi="Arial" w:cs="Arial"/>
        </w:rPr>
        <w:t xml:space="preserve"> osteoclast precursor cell populations.</w:t>
      </w:r>
    </w:p>
    <w:p w:rsidR="000518BA" w:rsidRDefault="00E47435" w:rsidP="00900F2C">
      <w:pPr>
        <w:keepNext/>
      </w:pPr>
      <w:r>
        <w:rPr>
          <w:noProof/>
          <w:lang w:eastAsia="zh-CN"/>
        </w:rPr>
        <w:drawing>
          <wp:inline distT="0" distB="0" distL="0" distR="0" wp14:anchorId="4A114150" wp14:editId="130377CD">
            <wp:extent cx="5882895" cy="2377299"/>
            <wp:effectExtent l="0" t="0" r="3810" b="444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23348" cy="2393646"/>
                    </a:xfrm>
                    <a:prstGeom prst="rect">
                      <a:avLst/>
                    </a:prstGeom>
                    <a:noFill/>
                  </pic:spPr>
                </pic:pic>
              </a:graphicData>
            </a:graphic>
          </wp:inline>
        </w:drawing>
      </w:r>
    </w:p>
    <w:p w:rsidR="000518BA" w:rsidRPr="004418F1" w:rsidRDefault="000518BA" w:rsidP="003E5C23">
      <w:pPr>
        <w:pStyle w:val="Caption"/>
        <w:jc w:val="both"/>
        <w:rPr>
          <w:rFonts w:ascii="Arial" w:hAnsi="Arial" w:cs="Arial"/>
          <w:color w:val="000000" w:themeColor="text1"/>
        </w:rPr>
      </w:pPr>
      <w:bookmarkStart w:id="208" w:name="_Toc425419540"/>
      <w:r w:rsidRPr="00E47435">
        <w:rPr>
          <w:rFonts w:ascii="Arial" w:hAnsi="Arial" w:cs="Arial"/>
          <w:b w:val="0"/>
          <w:color w:val="000000" w:themeColor="text1"/>
        </w:rPr>
        <w:t xml:space="preserve">Figure </w:t>
      </w:r>
      <w:r w:rsidRPr="00E47435">
        <w:rPr>
          <w:rFonts w:ascii="Arial" w:hAnsi="Arial" w:cs="Arial"/>
          <w:b w:val="0"/>
          <w:color w:val="000000" w:themeColor="text1"/>
        </w:rPr>
        <w:fldChar w:fldCharType="begin"/>
      </w:r>
      <w:r w:rsidRPr="00E47435">
        <w:rPr>
          <w:rFonts w:ascii="Arial" w:hAnsi="Arial" w:cs="Arial"/>
          <w:b w:val="0"/>
          <w:color w:val="000000" w:themeColor="text1"/>
        </w:rPr>
        <w:instrText xml:space="preserve"> SEQ Figure \* ARABIC </w:instrText>
      </w:r>
      <w:r w:rsidRPr="00E47435">
        <w:rPr>
          <w:rFonts w:ascii="Arial" w:hAnsi="Arial" w:cs="Arial"/>
          <w:b w:val="0"/>
          <w:color w:val="000000" w:themeColor="text1"/>
        </w:rPr>
        <w:fldChar w:fldCharType="separate"/>
      </w:r>
      <w:r w:rsidR="0040369A">
        <w:rPr>
          <w:rFonts w:ascii="Arial" w:hAnsi="Arial" w:cs="Arial"/>
          <w:b w:val="0"/>
          <w:noProof/>
          <w:color w:val="000000" w:themeColor="text1"/>
        </w:rPr>
        <w:t>51</w:t>
      </w:r>
      <w:r w:rsidRPr="00E47435">
        <w:rPr>
          <w:rFonts w:ascii="Arial" w:hAnsi="Arial" w:cs="Arial"/>
          <w:b w:val="0"/>
          <w:color w:val="000000" w:themeColor="text1"/>
        </w:rPr>
        <w:fldChar w:fldCharType="end"/>
      </w:r>
      <w:r w:rsidR="00E47435" w:rsidRPr="00E47435">
        <w:rPr>
          <w:rFonts w:ascii="Arial" w:hAnsi="Arial" w:cs="Arial"/>
          <w:b w:val="0"/>
          <w:color w:val="000000" w:themeColor="text1"/>
        </w:rPr>
        <w:t>: Box and whisker plots representing levels of PINP and in postmenopausal women taking ibandronate (N = 22), alendronate (N = 19) and risedronate (N = 21) over 48 weeks</w:t>
      </w:r>
      <w:r w:rsidR="00E47435">
        <w:rPr>
          <w:rFonts w:ascii="Arial" w:hAnsi="Arial" w:cs="Arial"/>
          <w:b w:val="0"/>
          <w:color w:val="000000" w:themeColor="text1"/>
        </w:rPr>
        <w:t xml:space="preserve">. </w:t>
      </w:r>
      <w:r w:rsidR="00E47435" w:rsidRPr="00E47435">
        <w:rPr>
          <w:rFonts w:ascii="Arial" w:hAnsi="Arial" w:cs="Arial"/>
          <w:b w:val="0"/>
          <w:color w:val="000000" w:themeColor="text1"/>
        </w:rPr>
        <w:t>). The shaded area represents the median value and 25% and 75% percentiles of the premenopausal women (N = 25).</w:t>
      </w:r>
      <w:bookmarkEnd w:id="208"/>
      <w:r w:rsidR="004418F1">
        <w:rPr>
          <w:rFonts w:ascii="Arial" w:hAnsi="Arial" w:cs="Arial"/>
          <w:color w:val="000000" w:themeColor="text1"/>
        </w:rPr>
        <w:t xml:space="preserve"> </w:t>
      </w:r>
    </w:p>
    <w:p w:rsidR="00031824" w:rsidRPr="00031824" w:rsidRDefault="00031824" w:rsidP="003E5C23">
      <w:pPr>
        <w:pStyle w:val="Heading3"/>
        <w:jc w:val="both"/>
      </w:pPr>
      <w:bookmarkStart w:id="209" w:name="_Toc425418962"/>
      <w:r>
        <w:t xml:space="preserve">The effect of bisphosphonates on bone </w:t>
      </w:r>
      <w:r w:rsidR="00CD394E">
        <w:t>turnover and bone balance (the T</w:t>
      </w:r>
      <w:r>
        <w:t>-score bone marker method/plot)</w:t>
      </w:r>
      <w:bookmarkEnd w:id="209"/>
    </w:p>
    <w:p w:rsidR="000E6AA8" w:rsidRPr="002C1E13" w:rsidRDefault="000E6AA8" w:rsidP="003E5C23">
      <w:pPr>
        <w:spacing w:line="360" w:lineRule="auto"/>
        <w:jc w:val="both"/>
        <w:rPr>
          <w:rFonts w:ascii="Arial" w:hAnsi="Arial" w:cs="Arial"/>
        </w:rPr>
      </w:pPr>
      <w:r w:rsidRPr="002C1E13">
        <w:rPr>
          <w:rFonts w:ascii="Arial" w:hAnsi="Arial" w:cs="Arial"/>
        </w:rPr>
        <w:t xml:space="preserve">The baseline characteristics </w:t>
      </w:r>
      <w:r w:rsidR="007F06F3" w:rsidRPr="002C1E13">
        <w:rPr>
          <w:rFonts w:ascii="Arial" w:hAnsi="Arial" w:cs="Arial"/>
        </w:rPr>
        <w:t>of</w:t>
      </w:r>
      <w:r w:rsidRPr="002C1E13">
        <w:rPr>
          <w:rFonts w:ascii="Arial" w:hAnsi="Arial" w:cs="Arial"/>
        </w:rPr>
        <w:t xml:space="preserve"> the postmen</w:t>
      </w:r>
      <w:r w:rsidR="007F06F3" w:rsidRPr="002C1E13">
        <w:rPr>
          <w:rFonts w:ascii="Arial" w:hAnsi="Arial" w:cs="Arial"/>
        </w:rPr>
        <w:t>opausal women receiving bisphosphonate treatment</w:t>
      </w:r>
      <w:r w:rsidRPr="002C1E13">
        <w:rPr>
          <w:rFonts w:ascii="Arial" w:hAnsi="Arial" w:cs="Arial"/>
        </w:rPr>
        <w:t xml:space="preserve"> </w:t>
      </w:r>
      <w:r w:rsidR="007F06F3" w:rsidRPr="002C1E13">
        <w:rPr>
          <w:rFonts w:ascii="Arial" w:hAnsi="Arial" w:cs="Arial"/>
        </w:rPr>
        <w:t xml:space="preserve">and the healthy premenopausal women </w:t>
      </w:r>
      <w:r w:rsidRPr="002C1E13">
        <w:rPr>
          <w:rFonts w:ascii="Arial" w:hAnsi="Arial" w:cs="Arial"/>
        </w:rPr>
        <w:t xml:space="preserve">are shown in </w:t>
      </w:r>
      <w:r w:rsidR="002C1E13">
        <w:rPr>
          <w:rFonts w:ascii="Arial" w:hAnsi="Arial" w:cs="Arial"/>
        </w:rPr>
        <w:t>tables 22</w:t>
      </w:r>
      <w:r w:rsidR="007F06F3" w:rsidRPr="002C1E13">
        <w:rPr>
          <w:rFonts w:ascii="Arial" w:hAnsi="Arial" w:cs="Arial"/>
        </w:rPr>
        <w:t xml:space="preserve"> and</w:t>
      </w:r>
      <w:r w:rsidR="002C1E13">
        <w:rPr>
          <w:rFonts w:ascii="Arial" w:hAnsi="Arial" w:cs="Arial"/>
        </w:rPr>
        <w:t xml:space="preserve"> 23</w:t>
      </w:r>
      <w:r w:rsidR="007F06F3" w:rsidRPr="002C1E13">
        <w:rPr>
          <w:rFonts w:ascii="Arial" w:hAnsi="Arial" w:cs="Arial"/>
        </w:rPr>
        <w:t xml:space="preserve"> respectively. </w:t>
      </w:r>
    </w:p>
    <w:p w:rsidR="005E16CC" w:rsidRPr="002C1E13" w:rsidRDefault="003505A2" w:rsidP="003E5C23">
      <w:pPr>
        <w:spacing w:line="360" w:lineRule="auto"/>
        <w:jc w:val="both"/>
        <w:rPr>
          <w:rFonts w:ascii="Arial" w:hAnsi="Arial" w:cs="Arial"/>
        </w:rPr>
      </w:pPr>
      <w:r>
        <w:rPr>
          <w:rFonts w:ascii="Arial" w:hAnsi="Arial" w:cs="Arial"/>
        </w:rPr>
        <w:lastRenderedPageBreak/>
        <w:t>The T</w:t>
      </w:r>
      <w:r w:rsidR="005E16CC" w:rsidRPr="002C1E13">
        <w:rPr>
          <w:rFonts w:ascii="Arial" w:hAnsi="Arial" w:cs="Arial"/>
        </w:rPr>
        <w:t xml:space="preserve">-scores for PINP and CTX were calculated </w:t>
      </w:r>
      <w:r w:rsidR="00CD2683" w:rsidRPr="002C1E13">
        <w:rPr>
          <w:rFonts w:ascii="Arial" w:hAnsi="Arial" w:cs="Arial"/>
        </w:rPr>
        <w:t xml:space="preserve">and plotted </w:t>
      </w:r>
      <w:r w:rsidR="005E16CC" w:rsidRPr="002C1E13">
        <w:rPr>
          <w:rFonts w:ascii="Arial" w:hAnsi="Arial" w:cs="Arial"/>
        </w:rPr>
        <w:t>at each visi</w:t>
      </w:r>
      <w:r w:rsidR="00CD2683" w:rsidRPr="002C1E13">
        <w:rPr>
          <w:rFonts w:ascii="Arial" w:hAnsi="Arial" w:cs="Arial"/>
        </w:rPr>
        <w:t>t, (Figu</w:t>
      </w:r>
      <w:r w:rsidR="005E16CC" w:rsidRPr="002C1E13">
        <w:rPr>
          <w:rFonts w:ascii="Arial" w:hAnsi="Arial" w:cs="Arial"/>
        </w:rPr>
        <w:t>re</w:t>
      </w:r>
      <w:r w:rsidR="0010101F" w:rsidRPr="002C1E13">
        <w:rPr>
          <w:rFonts w:ascii="Arial" w:hAnsi="Arial" w:cs="Arial"/>
        </w:rPr>
        <w:t xml:space="preserve"> 5</w:t>
      </w:r>
      <w:r w:rsidR="00086129">
        <w:rPr>
          <w:rFonts w:ascii="Arial" w:hAnsi="Arial" w:cs="Arial"/>
        </w:rPr>
        <w:t>8</w:t>
      </w:r>
      <w:r w:rsidR="00CD2683" w:rsidRPr="002C1E13">
        <w:rPr>
          <w:rFonts w:ascii="Arial" w:hAnsi="Arial" w:cs="Arial"/>
        </w:rPr>
        <w:t>)</w:t>
      </w:r>
      <w:r w:rsidR="003A223B" w:rsidRPr="002C1E13">
        <w:rPr>
          <w:rFonts w:ascii="Arial" w:hAnsi="Arial" w:cs="Arial"/>
        </w:rPr>
        <w:t>.</w:t>
      </w:r>
      <w:r w:rsidR="009332D3" w:rsidRPr="002C1E13">
        <w:rPr>
          <w:rFonts w:ascii="Arial" w:hAnsi="Arial" w:cs="Arial"/>
        </w:rPr>
        <w:t xml:space="preserve"> Thi</w:t>
      </w:r>
      <w:r w:rsidR="00B4610B" w:rsidRPr="002C1E13">
        <w:rPr>
          <w:rFonts w:ascii="Arial" w:hAnsi="Arial" w:cs="Arial"/>
        </w:rPr>
        <w:t xml:space="preserve">s graph </w:t>
      </w:r>
      <w:r>
        <w:rPr>
          <w:rFonts w:ascii="Arial" w:hAnsi="Arial" w:cs="Arial"/>
        </w:rPr>
        <w:t>shows that the T</w:t>
      </w:r>
      <w:r w:rsidR="005E16CC" w:rsidRPr="002C1E13">
        <w:rPr>
          <w:rFonts w:ascii="Arial" w:hAnsi="Arial" w:cs="Arial"/>
        </w:rPr>
        <w:t>-score for PINP</w:t>
      </w:r>
      <w:r w:rsidR="00E35DE9" w:rsidRPr="002C1E13">
        <w:rPr>
          <w:rFonts w:ascii="Arial" w:hAnsi="Arial" w:cs="Arial"/>
        </w:rPr>
        <w:t xml:space="preserve"> (in re</w:t>
      </w:r>
      <w:r w:rsidR="003C0656" w:rsidRPr="002C1E13">
        <w:rPr>
          <w:rFonts w:ascii="Arial" w:hAnsi="Arial" w:cs="Arial"/>
        </w:rPr>
        <w:t xml:space="preserve">d) remained between 1 and 1.5 SD units </w:t>
      </w:r>
      <w:r w:rsidR="00CD2683" w:rsidRPr="002C1E13">
        <w:rPr>
          <w:rFonts w:ascii="Arial" w:hAnsi="Arial" w:cs="Arial"/>
        </w:rPr>
        <w:t>above</w:t>
      </w:r>
      <w:r w:rsidR="003C0656" w:rsidRPr="002C1E13">
        <w:rPr>
          <w:rFonts w:ascii="Arial" w:hAnsi="Arial" w:cs="Arial"/>
        </w:rPr>
        <w:t xml:space="preserve"> the mean of the healthy pr</w:t>
      </w:r>
      <w:r w:rsidR="004A30AF" w:rsidRPr="002C1E13">
        <w:rPr>
          <w:rFonts w:ascii="Arial" w:hAnsi="Arial" w:cs="Arial"/>
        </w:rPr>
        <w:t>emenopausal women (y = 0</w:t>
      </w:r>
      <w:r w:rsidR="003C0656" w:rsidRPr="002C1E13">
        <w:rPr>
          <w:rFonts w:ascii="Arial" w:hAnsi="Arial" w:cs="Arial"/>
        </w:rPr>
        <w:t>)</w:t>
      </w:r>
      <w:r w:rsidR="00CD2683" w:rsidRPr="002C1E13">
        <w:rPr>
          <w:rFonts w:ascii="Arial" w:hAnsi="Arial" w:cs="Arial"/>
        </w:rPr>
        <w:t xml:space="preserve"> </w:t>
      </w:r>
      <w:r w:rsidR="003C0656" w:rsidRPr="002C1E13">
        <w:rPr>
          <w:rFonts w:ascii="Arial" w:hAnsi="Arial" w:cs="Arial"/>
        </w:rPr>
        <w:t xml:space="preserve">from baseline </w:t>
      </w:r>
      <w:r w:rsidR="00E35DE9" w:rsidRPr="002C1E13">
        <w:rPr>
          <w:rFonts w:ascii="Arial" w:hAnsi="Arial" w:cs="Arial"/>
        </w:rPr>
        <w:t xml:space="preserve">until </w:t>
      </w:r>
      <w:r w:rsidR="005E16CC" w:rsidRPr="002C1E13">
        <w:rPr>
          <w:rFonts w:ascii="Arial" w:hAnsi="Arial" w:cs="Arial"/>
        </w:rPr>
        <w:t>week 4</w:t>
      </w:r>
      <w:r w:rsidR="00E35DE9" w:rsidRPr="002C1E13">
        <w:rPr>
          <w:rFonts w:ascii="Arial" w:hAnsi="Arial" w:cs="Arial"/>
        </w:rPr>
        <w:t xml:space="preserve">. This </w:t>
      </w:r>
      <w:r w:rsidR="0023035F" w:rsidRPr="002C1E13">
        <w:rPr>
          <w:rFonts w:ascii="Arial" w:hAnsi="Arial" w:cs="Arial"/>
        </w:rPr>
        <w:t xml:space="preserve">value </w:t>
      </w:r>
      <w:r w:rsidR="005E16CC" w:rsidRPr="002C1E13">
        <w:rPr>
          <w:rFonts w:ascii="Arial" w:hAnsi="Arial" w:cs="Arial"/>
        </w:rPr>
        <w:t xml:space="preserve">decreased </w:t>
      </w:r>
      <w:r w:rsidR="0023035F" w:rsidRPr="002C1E13">
        <w:rPr>
          <w:rFonts w:ascii="Arial" w:hAnsi="Arial" w:cs="Arial"/>
        </w:rPr>
        <w:t xml:space="preserve">at week 4 and continued to do so </w:t>
      </w:r>
      <w:r w:rsidR="003C0656" w:rsidRPr="002C1E13">
        <w:rPr>
          <w:rFonts w:ascii="Arial" w:hAnsi="Arial" w:cs="Arial"/>
        </w:rPr>
        <w:t xml:space="preserve">for the remainder of the treatment period </w:t>
      </w:r>
      <w:r w:rsidR="0023035F" w:rsidRPr="002C1E13">
        <w:rPr>
          <w:rFonts w:ascii="Arial" w:hAnsi="Arial" w:cs="Arial"/>
        </w:rPr>
        <w:t xml:space="preserve">to </w:t>
      </w:r>
      <w:r w:rsidR="003C0656" w:rsidRPr="002C1E13">
        <w:rPr>
          <w:rFonts w:ascii="Arial" w:hAnsi="Arial" w:cs="Arial"/>
        </w:rPr>
        <w:t>-1.8 SD units below the mean value</w:t>
      </w:r>
      <w:r w:rsidR="005E16CC" w:rsidRPr="002C1E13">
        <w:rPr>
          <w:rFonts w:ascii="Arial" w:hAnsi="Arial" w:cs="Arial"/>
        </w:rPr>
        <w:t xml:space="preserve"> for premenopausal w</w:t>
      </w:r>
      <w:r w:rsidR="003C0656" w:rsidRPr="002C1E13">
        <w:rPr>
          <w:rFonts w:ascii="Arial" w:hAnsi="Arial" w:cs="Arial"/>
        </w:rPr>
        <w:t>omen</w:t>
      </w:r>
      <w:r w:rsidR="005E16CC" w:rsidRPr="002C1E13">
        <w:rPr>
          <w:rFonts w:ascii="Arial" w:hAnsi="Arial" w:cs="Arial"/>
        </w:rPr>
        <w:t>. In comparison th</w:t>
      </w:r>
      <w:r w:rsidR="00010A6C">
        <w:rPr>
          <w:rFonts w:ascii="Arial" w:hAnsi="Arial" w:cs="Arial"/>
        </w:rPr>
        <w:t>e T</w:t>
      </w:r>
      <w:r w:rsidR="0023035F" w:rsidRPr="002C1E13">
        <w:rPr>
          <w:rFonts w:ascii="Arial" w:hAnsi="Arial" w:cs="Arial"/>
        </w:rPr>
        <w:t xml:space="preserve">-scores for CTX </w:t>
      </w:r>
      <w:r w:rsidR="005E16CC" w:rsidRPr="002C1E13">
        <w:rPr>
          <w:rFonts w:ascii="Arial" w:hAnsi="Arial" w:cs="Arial"/>
        </w:rPr>
        <w:t>decrease</w:t>
      </w:r>
      <w:r w:rsidR="0023035F" w:rsidRPr="002C1E13">
        <w:rPr>
          <w:rFonts w:ascii="Arial" w:hAnsi="Arial" w:cs="Arial"/>
        </w:rPr>
        <w:t>d</w:t>
      </w:r>
      <w:r w:rsidR="005E16CC" w:rsidRPr="002C1E13">
        <w:rPr>
          <w:rFonts w:ascii="Arial" w:hAnsi="Arial" w:cs="Arial"/>
        </w:rPr>
        <w:t xml:space="preserve"> from baseline </w:t>
      </w:r>
      <w:r w:rsidR="000D3DAA" w:rsidRPr="002C1E13">
        <w:rPr>
          <w:rFonts w:ascii="Arial" w:hAnsi="Arial" w:cs="Arial"/>
        </w:rPr>
        <w:t>to -2</w:t>
      </w:r>
      <w:r w:rsidR="003C0656" w:rsidRPr="002C1E13">
        <w:rPr>
          <w:rFonts w:ascii="Arial" w:hAnsi="Arial" w:cs="Arial"/>
        </w:rPr>
        <w:t xml:space="preserve"> SD units</w:t>
      </w:r>
      <w:r w:rsidR="000D3DAA" w:rsidRPr="002C1E13">
        <w:rPr>
          <w:rFonts w:ascii="Arial" w:hAnsi="Arial" w:cs="Arial"/>
        </w:rPr>
        <w:t xml:space="preserve"> below the </w:t>
      </w:r>
      <w:r w:rsidR="00EC07DA" w:rsidRPr="002C1E13">
        <w:rPr>
          <w:rFonts w:ascii="Arial" w:hAnsi="Arial" w:cs="Arial"/>
        </w:rPr>
        <w:t>premenopausal mean</w:t>
      </w:r>
      <w:r w:rsidR="000D3DAA" w:rsidRPr="002C1E13">
        <w:rPr>
          <w:rFonts w:ascii="Arial" w:hAnsi="Arial" w:cs="Arial"/>
        </w:rPr>
        <w:t xml:space="preserve"> at week 96. </w:t>
      </w:r>
    </w:p>
    <w:p w:rsidR="003A223B" w:rsidRDefault="003C0656" w:rsidP="00900F2C">
      <w:pPr>
        <w:keepNext/>
      </w:pPr>
      <w:r w:rsidRPr="003C0656">
        <w:rPr>
          <w:rFonts w:ascii="Arial" w:hAnsi="Arial" w:cs="Arial"/>
          <w:b/>
          <w:noProof/>
          <w:lang w:eastAsia="zh-CN"/>
        </w:rPr>
        <mc:AlternateContent>
          <mc:Choice Requires="wps">
            <w:drawing>
              <wp:anchor distT="45720" distB="45720" distL="114300" distR="114300" simplePos="0" relativeHeight="250371584" behindDoc="0" locked="0" layoutInCell="1" allowOverlap="1" wp14:anchorId="0717AFDE" wp14:editId="32C29A8F">
                <wp:simplePos x="0" y="0"/>
                <wp:positionH relativeFrom="column">
                  <wp:posOffset>-57150</wp:posOffset>
                </wp:positionH>
                <wp:positionV relativeFrom="paragraph">
                  <wp:posOffset>935355</wp:posOffset>
                </wp:positionV>
                <wp:extent cx="342900" cy="933450"/>
                <wp:effectExtent l="0" t="0" r="0" b="0"/>
                <wp:wrapSquare wrapText="bothSides"/>
                <wp:docPr id="18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933450"/>
                        </a:xfrm>
                        <a:prstGeom prst="rect">
                          <a:avLst/>
                        </a:prstGeom>
                        <a:solidFill>
                          <a:srgbClr val="FFFFFF"/>
                        </a:solidFill>
                        <a:ln w="9525">
                          <a:noFill/>
                          <a:miter lim="800000"/>
                          <a:headEnd/>
                          <a:tailEnd/>
                        </a:ln>
                      </wps:spPr>
                      <wps:txbx>
                        <w:txbxContent>
                          <w:p w:rsidR="004166BC" w:rsidRDefault="004166BC" w:rsidP="00F56EE6">
                            <w:pPr>
                              <w:ind w:left="720" w:hanging="720"/>
                            </w:pPr>
                            <w:r>
                              <w:t>Mean T-score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7AFDE" id="_x0000_s1157" type="#_x0000_t202" style="position:absolute;margin-left:-4.5pt;margin-top:73.65pt;width:27pt;height:73.5pt;z-index:2503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" stroked="f">
                <v:textbox style="layout-flow:vertical;mso-layout-flow-alt:bottom-to-top">
                  <w:txbxContent>
                    <w:p w:rsidR="004166BC" w:rsidRDefault="004166BC" w:rsidP="00F56EE6">
                      <w:pPr>
                        <w:ind w:left="720" w:hanging="720"/>
                      </w:pPr>
                      <w:r>
                        <w:t>Mean T-score</w:t>
                      </w:r>
                    </w:p>
                  </w:txbxContent>
                </v:textbox>
                <w10:wrap type="square"/>
              </v:shape>
            </w:pict>
          </mc:Fallback>
        </mc:AlternateContent>
      </w:r>
      <w:r w:rsidR="003A223B">
        <w:rPr>
          <w:noProof/>
          <w:lang w:eastAsia="zh-CN"/>
        </w:rPr>
        <w:drawing>
          <wp:inline distT="0" distB="0" distL="0" distR="0" wp14:anchorId="6EB041A7" wp14:editId="7AD39E79">
            <wp:extent cx="5387327" cy="3331210"/>
            <wp:effectExtent l="0" t="0" r="4445" b="2540"/>
            <wp:docPr id="18591" name="Picture 1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PINP_CTX_All2.png"/>
                    <pic:cNvPicPr/>
                  </pic:nvPicPr>
                  <pic:blipFill rotWithShape="1">
                    <a:blip r:embed="rId164" cstate="print">
                      <a:extLst>
                        <a:ext uri="{28A0092B-C50C-407E-A947-70E740481C1C}">
                          <a14:useLocalDpi xmlns:a14="http://schemas.microsoft.com/office/drawing/2010/main" val="0"/>
                        </a:ext>
                      </a:extLst>
                    </a:blip>
                    <a:srcRect l="5984" t="12431" b="6180"/>
                    <a:stretch/>
                  </pic:blipFill>
                  <pic:spPr bwMode="auto">
                    <a:xfrm>
                      <a:off x="0" y="0"/>
                      <a:ext cx="5388533" cy="3331956"/>
                    </a:xfrm>
                    <a:prstGeom prst="rect">
                      <a:avLst/>
                    </a:prstGeom>
                    <a:ln>
                      <a:noFill/>
                    </a:ln>
                    <a:extLst>
                      <a:ext uri="{53640926-AAD7-44D8-BBD7-CCE9431645EC}">
                        <a14:shadowObscured xmlns:a14="http://schemas.microsoft.com/office/drawing/2010/main"/>
                      </a:ext>
                    </a:extLst>
                  </pic:spPr>
                </pic:pic>
              </a:graphicData>
            </a:graphic>
          </wp:inline>
        </w:drawing>
      </w:r>
    </w:p>
    <w:p w:rsidR="002F0262" w:rsidRDefault="003A223B" w:rsidP="003E5C23">
      <w:pPr>
        <w:pStyle w:val="Caption"/>
        <w:jc w:val="both"/>
      </w:pPr>
      <w:bookmarkStart w:id="210" w:name="_Toc425419541"/>
      <w:r w:rsidRPr="00AB04B0">
        <w:rPr>
          <w:rFonts w:ascii="Arial" w:hAnsi="Arial" w:cs="Arial"/>
          <w:b w:val="0"/>
          <w:color w:val="auto"/>
        </w:rPr>
        <w:t xml:space="preserve">Figure </w:t>
      </w:r>
      <w:r w:rsidR="006E7AB1" w:rsidRPr="00AB04B0">
        <w:rPr>
          <w:rFonts w:ascii="Arial" w:hAnsi="Arial" w:cs="Arial"/>
          <w:b w:val="0"/>
          <w:color w:val="auto"/>
        </w:rPr>
        <w:fldChar w:fldCharType="begin"/>
      </w:r>
      <w:r w:rsidR="006E7AB1" w:rsidRPr="00AB04B0">
        <w:rPr>
          <w:rFonts w:ascii="Arial" w:hAnsi="Arial" w:cs="Arial"/>
          <w:b w:val="0"/>
          <w:color w:val="auto"/>
        </w:rPr>
        <w:instrText xml:space="preserve"> SEQ Figure \* ARABIC </w:instrText>
      </w:r>
      <w:r w:rsidR="006E7AB1" w:rsidRPr="00AB04B0">
        <w:rPr>
          <w:rFonts w:ascii="Arial" w:hAnsi="Arial" w:cs="Arial"/>
          <w:b w:val="0"/>
          <w:color w:val="auto"/>
        </w:rPr>
        <w:fldChar w:fldCharType="separate"/>
      </w:r>
      <w:r w:rsidR="0040369A">
        <w:rPr>
          <w:rFonts w:ascii="Arial" w:hAnsi="Arial" w:cs="Arial"/>
          <w:b w:val="0"/>
          <w:noProof/>
          <w:color w:val="auto"/>
        </w:rPr>
        <w:t>52</w:t>
      </w:r>
      <w:r w:rsidR="006E7AB1" w:rsidRPr="00AB04B0">
        <w:rPr>
          <w:rFonts w:ascii="Arial" w:hAnsi="Arial" w:cs="Arial"/>
          <w:b w:val="0"/>
          <w:noProof/>
          <w:color w:val="auto"/>
        </w:rPr>
        <w:fldChar w:fldCharType="end"/>
      </w:r>
      <w:r w:rsidR="00AB04B0" w:rsidRPr="00AB04B0">
        <w:rPr>
          <w:rFonts w:ascii="Arial" w:hAnsi="Arial" w:cs="Arial"/>
          <w:b w:val="0"/>
          <w:noProof/>
          <w:color w:val="auto"/>
        </w:rPr>
        <w:t xml:space="preserve">: </w:t>
      </w:r>
      <w:r w:rsidR="00AB04B0" w:rsidRPr="00AB04B0">
        <w:rPr>
          <w:rFonts w:ascii="Arial" w:hAnsi="Arial" w:cs="Arial"/>
          <w:b w:val="0"/>
          <w:color w:val="auto"/>
        </w:rPr>
        <w:t xml:space="preserve">The </w:t>
      </w:r>
      <w:r w:rsidR="00F56EE6">
        <w:rPr>
          <w:rFonts w:ascii="Arial" w:hAnsi="Arial" w:cs="Arial"/>
          <w:b w:val="0"/>
          <w:color w:val="auto"/>
        </w:rPr>
        <w:t>mean T</w:t>
      </w:r>
      <w:r w:rsidR="00AB04B0" w:rsidRPr="001A3E70">
        <w:rPr>
          <w:rFonts w:ascii="Arial" w:hAnsi="Arial" w:cs="Arial"/>
          <w:b w:val="0"/>
          <w:color w:val="auto"/>
        </w:rPr>
        <w:t xml:space="preserve">-scores calculated for PINP (red line) and CTX (blue line) for postmenopausal women treated </w:t>
      </w:r>
      <w:r w:rsidR="00AB04B0">
        <w:rPr>
          <w:rFonts w:ascii="Arial" w:hAnsi="Arial" w:cs="Arial"/>
          <w:b w:val="0"/>
          <w:color w:val="auto"/>
        </w:rPr>
        <w:t>with bisphosphonate</w:t>
      </w:r>
      <w:r w:rsidR="003C0656">
        <w:rPr>
          <w:rFonts w:ascii="Arial" w:hAnsi="Arial" w:cs="Arial"/>
          <w:b w:val="0"/>
          <w:color w:val="auto"/>
        </w:rPr>
        <w:t>s</w:t>
      </w:r>
      <w:r w:rsidR="00AB04B0">
        <w:rPr>
          <w:rFonts w:ascii="Arial" w:hAnsi="Arial" w:cs="Arial"/>
          <w:b w:val="0"/>
          <w:color w:val="auto"/>
        </w:rPr>
        <w:t xml:space="preserve"> (combined) </w:t>
      </w:r>
      <w:r w:rsidR="00AB04B0" w:rsidRPr="001A3E70">
        <w:rPr>
          <w:rFonts w:ascii="Arial" w:hAnsi="Arial" w:cs="Arial"/>
          <w:b w:val="0"/>
          <w:color w:val="auto"/>
        </w:rPr>
        <w:t>over 96 weeks.</w:t>
      </w:r>
      <w:r w:rsidR="003C0656">
        <w:rPr>
          <w:rFonts w:ascii="Arial" w:hAnsi="Arial" w:cs="Arial"/>
          <w:b w:val="0"/>
          <w:color w:val="auto"/>
        </w:rPr>
        <w:t xml:space="preserve"> The dashed line at Y = 0 represents the mean T-score for healthy premenopausal women.</w:t>
      </w:r>
      <w:bookmarkEnd w:id="210"/>
    </w:p>
    <w:p w:rsidR="00F639CC" w:rsidRPr="002C1E13" w:rsidRDefault="00341A68" w:rsidP="003E5C23">
      <w:pPr>
        <w:spacing w:line="360" w:lineRule="auto"/>
        <w:jc w:val="both"/>
        <w:rPr>
          <w:rFonts w:ascii="Arial" w:hAnsi="Arial" w:cs="Arial"/>
        </w:rPr>
      </w:pPr>
      <w:r w:rsidRPr="002C1E13">
        <w:rPr>
          <w:rFonts w:ascii="Arial" w:hAnsi="Arial" w:cs="Arial"/>
        </w:rPr>
        <w:t>T</w:t>
      </w:r>
      <w:r w:rsidR="0010101F" w:rsidRPr="002C1E13">
        <w:rPr>
          <w:rFonts w:ascii="Arial" w:hAnsi="Arial" w:cs="Arial"/>
        </w:rPr>
        <w:t>he combined effect</w:t>
      </w:r>
      <w:r w:rsidR="00507B26" w:rsidRPr="002C1E13">
        <w:rPr>
          <w:rFonts w:ascii="Arial" w:hAnsi="Arial" w:cs="Arial"/>
        </w:rPr>
        <w:t xml:space="preserve"> of bisphosphonates on bone turnover and bone balance</w:t>
      </w:r>
      <w:r w:rsidR="00F56EE6">
        <w:rPr>
          <w:rFonts w:ascii="Arial" w:hAnsi="Arial" w:cs="Arial"/>
        </w:rPr>
        <w:t xml:space="preserve"> (as calculated from the T</w:t>
      </w:r>
      <w:r w:rsidR="00475BF8" w:rsidRPr="002C1E13">
        <w:rPr>
          <w:rFonts w:ascii="Arial" w:hAnsi="Arial" w:cs="Arial"/>
        </w:rPr>
        <w:t>-scores of the BTMs)</w:t>
      </w:r>
      <w:r w:rsidR="00D959FD" w:rsidRPr="002C1E13">
        <w:rPr>
          <w:rFonts w:ascii="Arial" w:hAnsi="Arial" w:cs="Arial"/>
        </w:rPr>
        <w:t xml:space="preserve"> are shown in figure</w:t>
      </w:r>
      <w:r w:rsidR="00086129">
        <w:rPr>
          <w:rFonts w:ascii="Arial" w:hAnsi="Arial" w:cs="Arial"/>
        </w:rPr>
        <w:t xml:space="preserve"> 59</w:t>
      </w:r>
      <w:r w:rsidR="00507B26" w:rsidRPr="002C1E13">
        <w:rPr>
          <w:rFonts w:ascii="Arial" w:hAnsi="Arial" w:cs="Arial"/>
        </w:rPr>
        <w:t>.</w:t>
      </w:r>
      <w:r w:rsidR="00F639CC" w:rsidRPr="002C1E13">
        <w:rPr>
          <w:rFonts w:ascii="Arial" w:hAnsi="Arial" w:cs="Arial"/>
        </w:rPr>
        <w:t xml:space="preserve"> The mean levels of bone balance and bone turnover and change in these from b</w:t>
      </w:r>
      <w:r w:rsidR="00086129">
        <w:rPr>
          <w:rFonts w:ascii="Arial" w:hAnsi="Arial" w:cs="Arial"/>
        </w:rPr>
        <w:t>aseline 1 are shown in tables 25 and 26</w:t>
      </w:r>
      <w:r w:rsidR="0010101F" w:rsidRPr="002C1E13">
        <w:rPr>
          <w:rFonts w:ascii="Arial" w:hAnsi="Arial" w:cs="Arial"/>
        </w:rPr>
        <w:t>, respectively</w:t>
      </w:r>
      <w:r w:rsidR="00F639CC" w:rsidRPr="002C1E13">
        <w:rPr>
          <w:rFonts w:ascii="Arial" w:hAnsi="Arial" w:cs="Arial"/>
        </w:rPr>
        <w:t>.</w:t>
      </w:r>
    </w:p>
    <w:p w:rsidR="003E5C23" w:rsidRPr="002C1E13" w:rsidRDefault="003B5BAC" w:rsidP="003E5C23">
      <w:pPr>
        <w:spacing w:line="360" w:lineRule="auto"/>
        <w:jc w:val="both"/>
        <w:rPr>
          <w:rFonts w:ascii="Arial" w:hAnsi="Arial" w:cs="Arial"/>
        </w:rPr>
      </w:pPr>
      <w:r w:rsidRPr="002C1E13">
        <w:rPr>
          <w:rFonts w:ascii="Arial" w:hAnsi="Arial" w:cs="Arial"/>
        </w:rPr>
        <w:t>At baseline 1 prior to treatment,</w:t>
      </w:r>
      <w:r w:rsidR="00475BF8" w:rsidRPr="002C1E13">
        <w:rPr>
          <w:rFonts w:ascii="Arial" w:hAnsi="Arial" w:cs="Arial"/>
        </w:rPr>
        <w:t xml:space="preserve"> mean levels of bone turn</w:t>
      </w:r>
      <w:r w:rsidR="00D947CF" w:rsidRPr="002C1E13">
        <w:rPr>
          <w:rFonts w:ascii="Arial" w:hAnsi="Arial" w:cs="Arial"/>
        </w:rPr>
        <w:t>over and bone balance were 1.379</w:t>
      </w:r>
      <w:r w:rsidR="00475BF8" w:rsidRPr="002C1E13">
        <w:rPr>
          <w:rFonts w:ascii="Arial" w:hAnsi="Arial" w:cs="Arial"/>
        </w:rPr>
        <w:t xml:space="preserve"> </w:t>
      </w:r>
      <w:r w:rsidRPr="002C1E13">
        <w:rPr>
          <w:rFonts w:ascii="Arial" w:hAnsi="Arial" w:cs="Arial"/>
        </w:rPr>
        <w:t xml:space="preserve">and </w:t>
      </w:r>
      <w:r w:rsidR="00475BF8" w:rsidRPr="002C1E13">
        <w:rPr>
          <w:rFonts w:ascii="Arial" w:hAnsi="Arial" w:cs="Arial"/>
        </w:rPr>
        <w:t>0.047</w:t>
      </w:r>
      <w:r w:rsidR="008933AD" w:rsidRPr="002C1E13">
        <w:rPr>
          <w:rFonts w:ascii="Arial" w:hAnsi="Arial" w:cs="Arial"/>
        </w:rPr>
        <w:t xml:space="preserve"> SD units above the premenopausal mean,</w:t>
      </w:r>
      <w:r w:rsidR="00475BF8" w:rsidRPr="002C1E13">
        <w:rPr>
          <w:rFonts w:ascii="Arial" w:hAnsi="Arial" w:cs="Arial"/>
        </w:rPr>
        <w:t xml:space="preserve"> respectively.</w:t>
      </w:r>
      <w:r w:rsidRPr="002C1E13">
        <w:rPr>
          <w:rFonts w:ascii="Arial" w:hAnsi="Arial" w:cs="Arial"/>
        </w:rPr>
        <w:t xml:space="preserve"> </w:t>
      </w:r>
      <w:r w:rsidR="00507B26" w:rsidRPr="002C1E13">
        <w:rPr>
          <w:rFonts w:ascii="Arial" w:hAnsi="Arial" w:cs="Arial"/>
        </w:rPr>
        <w:t xml:space="preserve"> </w:t>
      </w:r>
      <w:r w:rsidR="00475BF8" w:rsidRPr="002C1E13">
        <w:rPr>
          <w:rFonts w:ascii="Arial" w:hAnsi="Arial" w:cs="Arial"/>
        </w:rPr>
        <w:t xml:space="preserve">After 1 week </w:t>
      </w:r>
      <w:r w:rsidR="00475BF8" w:rsidRPr="002C1E13">
        <w:rPr>
          <w:rFonts w:ascii="Arial" w:hAnsi="Arial" w:cs="Arial"/>
        </w:rPr>
        <w:lastRenderedPageBreak/>
        <w:t xml:space="preserve">of treatment bone turnover significantly decreased </w:t>
      </w:r>
      <w:r w:rsidR="00D947CF" w:rsidRPr="002C1E13">
        <w:rPr>
          <w:rFonts w:ascii="Arial" w:hAnsi="Arial" w:cs="Arial"/>
        </w:rPr>
        <w:t>from baseline 1</w:t>
      </w:r>
      <w:r w:rsidR="00475BF8" w:rsidRPr="002C1E13">
        <w:rPr>
          <w:rFonts w:ascii="Arial" w:hAnsi="Arial" w:cs="Arial"/>
        </w:rPr>
        <w:t xml:space="preserve"> </w:t>
      </w:r>
      <w:r w:rsidR="003B66E4" w:rsidRPr="002C1E13">
        <w:rPr>
          <w:rFonts w:ascii="Arial" w:hAnsi="Arial" w:cs="Arial"/>
        </w:rPr>
        <w:t xml:space="preserve">by -1.403 </w:t>
      </w:r>
      <w:r w:rsidR="00475BF8" w:rsidRPr="002C1E13">
        <w:rPr>
          <w:rFonts w:ascii="Arial" w:hAnsi="Arial" w:cs="Arial"/>
        </w:rPr>
        <w:t>to 0.160</w:t>
      </w:r>
      <w:r w:rsidR="003B66E4" w:rsidRPr="002C1E13">
        <w:rPr>
          <w:rFonts w:ascii="Arial" w:hAnsi="Arial" w:cs="Arial"/>
        </w:rPr>
        <w:t xml:space="preserve"> SD and bone balance increased by 2.350 to 2.397 SD units above the premenopausal mean</w:t>
      </w:r>
      <w:r w:rsidR="00341A68" w:rsidRPr="002C1E13">
        <w:rPr>
          <w:rFonts w:ascii="Arial" w:hAnsi="Arial" w:cs="Arial"/>
        </w:rPr>
        <w:t>, p&lt;0.001</w:t>
      </w:r>
      <w:r w:rsidR="00DA0F0D" w:rsidRPr="002C1E13">
        <w:rPr>
          <w:rFonts w:ascii="Arial" w:hAnsi="Arial" w:cs="Arial"/>
        </w:rPr>
        <w:t>. After week 4 levels of turnover contin</w:t>
      </w:r>
      <w:r w:rsidR="003B66E4" w:rsidRPr="002C1E13">
        <w:rPr>
          <w:rFonts w:ascii="Arial" w:hAnsi="Arial" w:cs="Arial"/>
        </w:rPr>
        <w:t>ued to decrease to below the premenopausal mean to -2.023</w:t>
      </w:r>
      <w:r w:rsidR="00F639CC" w:rsidRPr="002C1E13">
        <w:rPr>
          <w:rFonts w:ascii="Arial" w:hAnsi="Arial" w:cs="Arial"/>
        </w:rPr>
        <w:t xml:space="preserve"> </w:t>
      </w:r>
      <w:r w:rsidR="00477C3E" w:rsidRPr="002C1E13">
        <w:rPr>
          <w:rFonts w:ascii="Arial" w:hAnsi="Arial" w:cs="Arial"/>
        </w:rPr>
        <w:t>SD units by</w:t>
      </w:r>
      <w:r w:rsidR="00F639CC" w:rsidRPr="002C1E13">
        <w:rPr>
          <w:rFonts w:ascii="Arial" w:hAnsi="Arial" w:cs="Arial"/>
        </w:rPr>
        <w:t xml:space="preserve"> week 96</w:t>
      </w:r>
      <w:r w:rsidR="003B66E4" w:rsidRPr="002C1E13">
        <w:rPr>
          <w:rFonts w:ascii="Arial" w:hAnsi="Arial" w:cs="Arial"/>
        </w:rPr>
        <w:t>, p&lt;0.001</w:t>
      </w:r>
      <w:r w:rsidR="004A30AF" w:rsidRPr="002C1E13">
        <w:rPr>
          <w:rFonts w:ascii="Arial" w:hAnsi="Arial" w:cs="Arial"/>
        </w:rPr>
        <w:t xml:space="preserve">. At week 48 bone balance had decreased to </w:t>
      </w:r>
      <w:r w:rsidR="00F639CC" w:rsidRPr="002C1E13">
        <w:rPr>
          <w:rFonts w:ascii="Arial" w:hAnsi="Arial" w:cs="Arial"/>
        </w:rPr>
        <w:t xml:space="preserve">0.228 SD units above the premenopausal mean and this change was significant from baseline 1, p&lt;0.05, however this was not significant at week 96. </w:t>
      </w:r>
      <w:r w:rsidR="008F22BC" w:rsidRPr="002C1E13">
        <w:rPr>
          <w:rFonts w:ascii="Arial" w:hAnsi="Arial" w:cs="Arial"/>
        </w:rPr>
        <w:t>Mean levels of bone turnover were significantly higher than the control group at baselines 1 and 2 p&lt;0.001 and lower at weeks 12, 48 and 96 p&lt;0.001. Mean levels of bone balance were significantl</w:t>
      </w:r>
      <w:r w:rsidR="0066097A" w:rsidRPr="002C1E13">
        <w:rPr>
          <w:rFonts w:ascii="Arial" w:hAnsi="Arial" w:cs="Arial"/>
        </w:rPr>
        <w:t>y more positive</w:t>
      </w:r>
      <w:r w:rsidR="008F22BC" w:rsidRPr="002C1E13">
        <w:rPr>
          <w:rFonts w:ascii="Arial" w:hAnsi="Arial" w:cs="Arial"/>
        </w:rPr>
        <w:t xml:space="preserve"> than the control group at baseline 2 and weeks 1, 2, 4, 12/13 p&lt;0.001 and 48 p = 0.003.  </w:t>
      </w:r>
    </w:p>
    <w:p w:rsidR="00825B7A" w:rsidRDefault="00477C3E" w:rsidP="00900F2C">
      <w:r w:rsidRPr="003C0656">
        <w:rPr>
          <w:rFonts w:ascii="Arial" w:hAnsi="Arial" w:cs="Arial"/>
          <w:b/>
          <w:noProof/>
          <w:lang w:eastAsia="zh-CN"/>
        </w:rPr>
        <mc:AlternateContent>
          <mc:Choice Requires="wps">
            <w:drawing>
              <wp:anchor distT="45720" distB="45720" distL="114300" distR="114300" simplePos="0" relativeHeight="250408448" behindDoc="0" locked="0" layoutInCell="1" allowOverlap="1" wp14:anchorId="23737D12" wp14:editId="2091F1C9">
                <wp:simplePos x="0" y="0"/>
                <wp:positionH relativeFrom="column">
                  <wp:posOffset>9525</wp:posOffset>
                </wp:positionH>
                <wp:positionV relativeFrom="paragraph">
                  <wp:posOffset>978535</wp:posOffset>
                </wp:positionV>
                <wp:extent cx="342900" cy="1838325"/>
                <wp:effectExtent l="0" t="0" r="0" b="9525"/>
                <wp:wrapSquare wrapText="bothSides"/>
                <wp:docPr id="18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838325"/>
                        </a:xfrm>
                        <a:prstGeom prst="rect">
                          <a:avLst/>
                        </a:prstGeom>
                        <a:solidFill>
                          <a:srgbClr val="FFFFFF"/>
                        </a:solidFill>
                        <a:ln w="9525">
                          <a:noFill/>
                          <a:miter lim="800000"/>
                          <a:headEnd/>
                          <a:tailEnd/>
                        </a:ln>
                      </wps:spPr>
                      <wps:txbx>
                        <w:txbxContent>
                          <w:p w:rsidR="004166BC" w:rsidRPr="00477C3E" w:rsidRDefault="004166BC" w:rsidP="00477C3E">
                            <w:r>
                              <w:t>Bone turnover, (T</w:t>
                            </w:r>
                            <w:r>
                              <w:rPr>
                                <w:vertAlign w:val="subscript"/>
                              </w:rPr>
                              <w:t>PINP</w:t>
                            </w:r>
                            <w:r>
                              <w:t xml:space="preserve"> + T</w:t>
                            </w:r>
                            <w:r>
                              <w:rPr>
                                <w:vertAlign w:val="subscript"/>
                              </w:rPr>
                              <w:t>CTX</w:t>
                            </w:r>
                            <w: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37D12" id="_x0000_s1158" type="#_x0000_t202" style="position:absolute;margin-left:.75pt;margin-top:77.05pt;width:27pt;height:144.75pt;z-index:2504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" stroked="f">
                <v:textbox style="layout-flow:vertical;mso-layout-flow-alt:bottom-to-top">
                  <w:txbxContent>
                    <w:p w:rsidR="004166BC" w:rsidRPr="00477C3E" w:rsidRDefault="004166BC" w:rsidP="00477C3E">
                      <w:r>
                        <w:t>Bone turnover, (T</w:t>
                      </w:r>
                      <w:r>
                        <w:rPr>
                          <w:vertAlign w:val="subscript"/>
                        </w:rPr>
                        <w:t>PINP</w:t>
                      </w:r>
                      <w:r>
                        <w:t xml:space="preserve"> + T</w:t>
                      </w:r>
                      <w:r>
                        <w:rPr>
                          <w:vertAlign w:val="subscript"/>
                        </w:rPr>
                        <w:t>CTX</w:t>
                      </w:r>
                      <w:r>
                        <w:t>)/2</w:t>
                      </w:r>
                    </w:p>
                  </w:txbxContent>
                </v:textbox>
                <w10:wrap type="square"/>
              </v:shape>
            </w:pict>
          </mc:Fallback>
        </mc:AlternateContent>
      </w:r>
      <w:r w:rsidR="00825B7A">
        <w:rPr>
          <w:noProof/>
          <w:lang w:eastAsia="zh-CN"/>
        </w:rPr>
        <w:drawing>
          <wp:inline distT="0" distB="0" distL="0" distR="0" wp14:anchorId="19F5621F" wp14:editId="75C1F847">
            <wp:extent cx="4791075" cy="37551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O_Turnover_CI_Combined.png"/>
                    <pic:cNvPicPr/>
                  </pic:nvPicPr>
                  <pic:blipFill rotWithShape="1">
                    <a:blip r:embed="rId165" cstate="print">
                      <a:extLst>
                        <a:ext uri="{28A0092B-C50C-407E-A947-70E740481C1C}">
                          <a14:useLocalDpi xmlns:a14="http://schemas.microsoft.com/office/drawing/2010/main" val="0"/>
                        </a:ext>
                      </a:extLst>
                    </a:blip>
                    <a:srcRect l="5983"/>
                    <a:stretch/>
                  </pic:blipFill>
                  <pic:spPr bwMode="auto">
                    <a:xfrm>
                      <a:off x="0" y="0"/>
                      <a:ext cx="4806299" cy="3767073"/>
                    </a:xfrm>
                    <a:prstGeom prst="rect">
                      <a:avLst/>
                    </a:prstGeom>
                    <a:ln>
                      <a:noFill/>
                    </a:ln>
                    <a:extLst>
                      <a:ext uri="{53640926-AAD7-44D8-BBD7-CCE9431645EC}">
                        <a14:shadowObscured xmlns:a14="http://schemas.microsoft.com/office/drawing/2010/main"/>
                      </a:ext>
                    </a:extLst>
                  </pic:spPr>
                </pic:pic>
              </a:graphicData>
            </a:graphic>
          </wp:inline>
        </w:drawing>
      </w:r>
    </w:p>
    <w:p w:rsidR="005F62FA" w:rsidRDefault="0025356B" w:rsidP="00900F2C">
      <w:pPr>
        <w:keepNext/>
      </w:pPr>
      <w:r w:rsidRPr="003C0656">
        <w:rPr>
          <w:rFonts w:ascii="Arial" w:hAnsi="Arial" w:cs="Arial"/>
          <w:b/>
          <w:noProof/>
          <w:lang w:eastAsia="zh-CN"/>
        </w:rPr>
        <w:lastRenderedPageBreak/>
        <mc:AlternateContent>
          <mc:Choice Requires="wps">
            <w:drawing>
              <wp:anchor distT="45720" distB="45720" distL="114300" distR="114300" simplePos="0" relativeHeight="250297856" behindDoc="0" locked="0" layoutInCell="1" allowOverlap="1" wp14:anchorId="2D5EC4C3" wp14:editId="27AF482E">
                <wp:simplePos x="0" y="0"/>
                <wp:positionH relativeFrom="column">
                  <wp:posOffset>0</wp:posOffset>
                </wp:positionH>
                <wp:positionV relativeFrom="paragraph">
                  <wp:posOffset>688340</wp:posOffset>
                </wp:positionV>
                <wp:extent cx="342900" cy="2085975"/>
                <wp:effectExtent l="0" t="0" r="0" b="9525"/>
                <wp:wrapSquare wrapText="bothSides"/>
                <wp:docPr id="18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85975"/>
                        </a:xfrm>
                        <a:prstGeom prst="rect">
                          <a:avLst/>
                        </a:prstGeom>
                        <a:solidFill>
                          <a:srgbClr val="FFFFFF"/>
                        </a:solidFill>
                        <a:ln w="9525">
                          <a:noFill/>
                          <a:miter lim="800000"/>
                          <a:headEnd/>
                          <a:tailEnd/>
                        </a:ln>
                      </wps:spPr>
                      <wps:txbx>
                        <w:txbxContent>
                          <w:p w:rsidR="004166BC" w:rsidRPr="00477C3E" w:rsidRDefault="004166BC" w:rsidP="0025356B">
                            <w:r>
                              <w:t>Bone balance, T</w:t>
                            </w:r>
                            <w:r>
                              <w:rPr>
                                <w:vertAlign w:val="subscript"/>
                              </w:rPr>
                              <w:t>PINP</w:t>
                            </w:r>
                            <w:r>
                              <w:t xml:space="preserve"> - T</w:t>
                            </w:r>
                            <w:r>
                              <w:rPr>
                                <w:vertAlign w:val="subscript"/>
                              </w:rPr>
                              <w:t>CTX</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EC4C3" id="_x0000_s1159" type="#_x0000_t202" style="position:absolute;margin-left:0;margin-top:54.2pt;width:27pt;height:164.25pt;z-index:2502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" stroked="f">
                <v:textbox style="layout-flow:vertical;mso-layout-flow-alt:bottom-to-top">
                  <w:txbxContent>
                    <w:p w:rsidR="004166BC" w:rsidRPr="00477C3E" w:rsidRDefault="004166BC" w:rsidP="0025356B">
                      <w:r>
                        <w:t>Bone balance, T</w:t>
                      </w:r>
                      <w:r>
                        <w:rPr>
                          <w:vertAlign w:val="subscript"/>
                        </w:rPr>
                        <w:t>PINP</w:t>
                      </w:r>
                      <w:r>
                        <w:t xml:space="preserve"> - T</w:t>
                      </w:r>
                      <w:r>
                        <w:rPr>
                          <w:vertAlign w:val="subscript"/>
                        </w:rPr>
                        <w:t>CTX</w:t>
                      </w:r>
                    </w:p>
                  </w:txbxContent>
                </v:textbox>
                <w10:wrap type="square"/>
              </v:shape>
            </w:pict>
          </mc:Fallback>
        </mc:AlternateContent>
      </w:r>
      <w:r w:rsidR="00825B7A">
        <w:rPr>
          <w:noProof/>
          <w:lang w:eastAsia="zh-CN"/>
        </w:rPr>
        <w:drawing>
          <wp:inline distT="0" distB="0" distL="0" distR="0" wp14:anchorId="0A70D04D" wp14:editId="24F3C74E">
            <wp:extent cx="4810125" cy="3783447"/>
            <wp:effectExtent l="0" t="0" r="0" b="7620"/>
            <wp:docPr id="18433" name="Picture 1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O_Balance_CI_Combined.png"/>
                    <pic:cNvPicPr/>
                  </pic:nvPicPr>
                  <pic:blipFill rotWithShape="1">
                    <a:blip r:embed="rId166" cstate="print">
                      <a:extLst>
                        <a:ext uri="{28A0092B-C50C-407E-A947-70E740481C1C}">
                          <a14:useLocalDpi xmlns:a14="http://schemas.microsoft.com/office/drawing/2010/main" val="0"/>
                        </a:ext>
                      </a:extLst>
                    </a:blip>
                    <a:srcRect l="6315"/>
                    <a:stretch/>
                  </pic:blipFill>
                  <pic:spPr bwMode="auto">
                    <a:xfrm>
                      <a:off x="0" y="0"/>
                      <a:ext cx="4814530" cy="3786912"/>
                    </a:xfrm>
                    <a:prstGeom prst="rect">
                      <a:avLst/>
                    </a:prstGeom>
                    <a:ln>
                      <a:noFill/>
                    </a:ln>
                    <a:extLst>
                      <a:ext uri="{53640926-AAD7-44D8-BBD7-CCE9431645EC}">
                        <a14:shadowObscured xmlns:a14="http://schemas.microsoft.com/office/drawing/2010/main"/>
                      </a:ext>
                    </a:extLst>
                  </pic:spPr>
                </pic:pic>
              </a:graphicData>
            </a:graphic>
          </wp:inline>
        </w:drawing>
      </w:r>
    </w:p>
    <w:p w:rsidR="005F62FA" w:rsidRDefault="005F62FA" w:rsidP="003E5C23">
      <w:pPr>
        <w:pStyle w:val="Caption"/>
        <w:jc w:val="both"/>
      </w:pPr>
      <w:bookmarkStart w:id="211" w:name="_Toc425419542"/>
      <w:r w:rsidRPr="005F62FA">
        <w:rPr>
          <w:rFonts w:ascii="Arial" w:hAnsi="Arial" w:cs="Arial"/>
          <w:b w:val="0"/>
          <w:color w:val="000000" w:themeColor="text1"/>
        </w:rPr>
        <w:t xml:space="preserve">Figure </w:t>
      </w:r>
      <w:r w:rsidRPr="005F62FA">
        <w:rPr>
          <w:rFonts w:ascii="Arial" w:hAnsi="Arial" w:cs="Arial"/>
          <w:b w:val="0"/>
          <w:color w:val="000000" w:themeColor="text1"/>
        </w:rPr>
        <w:fldChar w:fldCharType="begin"/>
      </w:r>
      <w:r w:rsidRPr="005F62FA">
        <w:rPr>
          <w:rFonts w:ascii="Arial" w:hAnsi="Arial" w:cs="Arial"/>
          <w:b w:val="0"/>
          <w:color w:val="000000" w:themeColor="text1"/>
        </w:rPr>
        <w:instrText xml:space="preserve"> SEQ Figure \* ARABIC </w:instrText>
      </w:r>
      <w:r w:rsidRPr="005F62FA">
        <w:rPr>
          <w:rFonts w:ascii="Arial" w:hAnsi="Arial" w:cs="Arial"/>
          <w:b w:val="0"/>
          <w:color w:val="000000" w:themeColor="text1"/>
        </w:rPr>
        <w:fldChar w:fldCharType="separate"/>
      </w:r>
      <w:r w:rsidR="0040369A">
        <w:rPr>
          <w:rFonts w:ascii="Arial" w:hAnsi="Arial" w:cs="Arial"/>
          <w:b w:val="0"/>
          <w:noProof/>
          <w:color w:val="000000" w:themeColor="text1"/>
        </w:rPr>
        <w:t>53</w:t>
      </w:r>
      <w:r w:rsidRPr="005F62FA">
        <w:rPr>
          <w:rFonts w:ascii="Arial" w:hAnsi="Arial" w:cs="Arial"/>
          <w:b w:val="0"/>
          <w:color w:val="000000" w:themeColor="text1"/>
        </w:rPr>
        <w:fldChar w:fldCharType="end"/>
      </w:r>
      <w:r w:rsidRPr="005F62FA">
        <w:rPr>
          <w:rFonts w:ascii="Arial" w:hAnsi="Arial" w:cs="Arial"/>
          <w:b w:val="0"/>
          <w:color w:val="000000" w:themeColor="text1"/>
        </w:rPr>
        <w:t xml:space="preserve">: </w:t>
      </w:r>
      <w:r w:rsidR="00980EE0">
        <w:rPr>
          <w:rFonts w:ascii="Arial" w:hAnsi="Arial" w:cs="Arial"/>
          <w:b w:val="0"/>
          <w:color w:val="000000" w:themeColor="text1"/>
        </w:rPr>
        <w:t>Graphs showing t</w:t>
      </w:r>
      <w:r w:rsidRPr="005F62FA">
        <w:rPr>
          <w:rFonts w:ascii="Arial" w:hAnsi="Arial" w:cs="Arial"/>
          <w:b w:val="0"/>
          <w:color w:val="000000" w:themeColor="text1"/>
        </w:rPr>
        <w:t xml:space="preserve">he mean and 95% confidence intervals of bone turnover (top) and bone balance </w:t>
      </w:r>
      <w:r w:rsidR="00010A6C">
        <w:rPr>
          <w:rFonts w:ascii="Arial" w:hAnsi="Arial" w:cs="Arial"/>
          <w:b w:val="0"/>
          <w:color w:val="000000" w:themeColor="text1"/>
        </w:rPr>
        <w:t>(bottom) (calculated using the T</w:t>
      </w:r>
      <w:r w:rsidRPr="005F62FA">
        <w:rPr>
          <w:rFonts w:ascii="Arial" w:hAnsi="Arial" w:cs="Arial"/>
          <w:b w:val="0"/>
          <w:color w:val="000000" w:themeColor="text1"/>
        </w:rPr>
        <w:t>-scores of PINP and CTX) in postmenopausal women receiving bisphosphonate treatment</w:t>
      </w:r>
      <w:r w:rsidR="0002341B">
        <w:rPr>
          <w:rFonts w:ascii="Arial" w:hAnsi="Arial" w:cs="Arial"/>
          <w:b w:val="0"/>
          <w:color w:val="000000" w:themeColor="text1"/>
        </w:rPr>
        <w:t xml:space="preserve"> (groups combined)</w:t>
      </w:r>
      <w:r w:rsidRPr="005F62FA">
        <w:rPr>
          <w:rFonts w:ascii="Arial" w:hAnsi="Arial" w:cs="Arial"/>
          <w:b w:val="0"/>
          <w:color w:val="000000" w:themeColor="text1"/>
        </w:rPr>
        <w:t xml:space="preserve"> over 96 weeks, (-1 = baseline 1 and 0 = baseline 2).</w:t>
      </w:r>
      <w:r w:rsidR="001D4C0D">
        <w:rPr>
          <w:rFonts w:ascii="Arial" w:hAnsi="Arial" w:cs="Arial"/>
          <w:b w:val="0"/>
          <w:color w:val="000000" w:themeColor="text1"/>
        </w:rPr>
        <w:t xml:space="preserve"> </w:t>
      </w:r>
      <w:r w:rsidR="00CC6074">
        <w:rPr>
          <w:rFonts w:ascii="Arial" w:hAnsi="Arial" w:cs="Arial"/>
          <w:b w:val="0"/>
          <w:color w:val="000000" w:themeColor="text1"/>
        </w:rPr>
        <w:t xml:space="preserve"> </w:t>
      </w:r>
      <w:r w:rsidR="001D4C0D">
        <w:rPr>
          <w:rFonts w:ascii="Arial" w:hAnsi="Arial" w:cs="Arial"/>
          <w:b w:val="0"/>
          <w:color w:val="auto"/>
        </w:rPr>
        <w:t>The dashed line at Y = 0</w:t>
      </w:r>
      <w:r w:rsidR="00744786">
        <w:rPr>
          <w:rFonts w:ascii="Arial" w:hAnsi="Arial" w:cs="Arial"/>
          <w:b w:val="0"/>
          <w:color w:val="auto"/>
        </w:rPr>
        <w:t xml:space="preserve"> represents the mean of the</w:t>
      </w:r>
      <w:r w:rsidR="001D4C0D">
        <w:rPr>
          <w:rFonts w:ascii="Arial" w:hAnsi="Arial" w:cs="Arial"/>
          <w:b w:val="0"/>
          <w:color w:val="auto"/>
        </w:rPr>
        <w:t xml:space="preserve"> healthy premenopausal women.</w:t>
      </w:r>
      <w:bookmarkEnd w:id="211"/>
    </w:p>
    <w:p w:rsidR="00980EE0" w:rsidRPr="00980EE0" w:rsidRDefault="00980EE0" w:rsidP="003E5C23">
      <w:pPr>
        <w:pStyle w:val="Caption"/>
        <w:keepNext/>
        <w:jc w:val="both"/>
        <w:rPr>
          <w:rFonts w:ascii="Arial" w:hAnsi="Arial" w:cs="Arial"/>
          <w:b w:val="0"/>
          <w:color w:val="000000" w:themeColor="text1"/>
        </w:rPr>
      </w:pPr>
      <w:bookmarkStart w:id="212" w:name="_Toc424043699"/>
      <w:r w:rsidRPr="00980EE0">
        <w:rPr>
          <w:rFonts w:ascii="Arial" w:hAnsi="Arial" w:cs="Arial"/>
          <w:b w:val="0"/>
          <w:color w:val="000000" w:themeColor="text1"/>
        </w:rPr>
        <w:t xml:space="preserve">Table </w:t>
      </w:r>
      <w:r w:rsidRPr="00980EE0">
        <w:rPr>
          <w:rFonts w:ascii="Arial" w:hAnsi="Arial" w:cs="Arial"/>
          <w:b w:val="0"/>
          <w:color w:val="000000" w:themeColor="text1"/>
        </w:rPr>
        <w:fldChar w:fldCharType="begin"/>
      </w:r>
      <w:r w:rsidRPr="00980EE0">
        <w:rPr>
          <w:rFonts w:ascii="Arial" w:hAnsi="Arial" w:cs="Arial"/>
          <w:b w:val="0"/>
          <w:color w:val="000000" w:themeColor="text1"/>
        </w:rPr>
        <w:instrText xml:space="preserve"> SEQ Table \* ARABIC </w:instrText>
      </w:r>
      <w:r w:rsidRPr="00980EE0">
        <w:rPr>
          <w:rFonts w:ascii="Arial" w:hAnsi="Arial" w:cs="Arial"/>
          <w:b w:val="0"/>
          <w:color w:val="000000" w:themeColor="text1"/>
        </w:rPr>
        <w:fldChar w:fldCharType="separate"/>
      </w:r>
      <w:r w:rsidR="00DD116A">
        <w:rPr>
          <w:rFonts w:ascii="Arial" w:hAnsi="Arial" w:cs="Arial"/>
          <w:b w:val="0"/>
          <w:noProof/>
          <w:color w:val="000000" w:themeColor="text1"/>
        </w:rPr>
        <w:t>25</w:t>
      </w:r>
      <w:r w:rsidRPr="00980EE0">
        <w:rPr>
          <w:rFonts w:ascii="Arial" w:hAnsi="Arial" w:cs="Arial"/>
          <w:b w:val="0"/>
          <w:color w:val="000000" w:themeColor="text1"/>
        </w:rPr>
        <w:fldChar w:fldCharType="end"/>
      </w:r>
      <w:r w:rsidRPr="00980EE0">
        <w:rPr>
          <w:rFonts w:ascii="Arial" w:hAnsi="Arial" w:cs="Arial"/>
          <w:b w:val="0"/>
          <w:color w:val="000000" w:themeColor="text1"/>
        </w:rPr>
        <w:t>: The mean values and 95% confi</w:t>
      </w:r>
      <w:r w:rsidR="0000595F">
        <w:rPr>
          <w:rFonts w:ascii="Arial" w:hAnsi="Arial" w:cs="Arial"/>
          <w:b w:val="0"/>
          <w:color w:val="000000" w:themeColor="text1"/>
        </w:rPr>
        <w:t>dence intervals of bone balance and bone turnover</w:t>
      </w:r>
      <w:r w:rsidRPr="00980EE0">
        <w:rPr>
          <w:rFonts w:ascii="Arial" w:hAnsi="Arial" w:cs="Arial"/>
          <w:b w:val="0"/>
          <w:color w:val="000000" w:themeColor="text1"/>
        </w:rPr>
        <w:t xml:space="preserve"> in postmenopausal women receiving bisphosphonate treatment </w:t>
      </w:r>
      <w:r w:rsidR="0002341B">
        <w:rPr>
          <w:rFonts w:ascii="Arial" w:hAnsi="Arial" w:cs="Arial"/>
          <w:b w:val="0"/>
          <w:color w:val="000000" w:themeColor="text1"/>
        </w:rPr>
        <w:t xml:space="preserve">(groups combined) </w:t>
      </w:r>
      <w:r w:rsidRPr="00980EE0">
        <w:rPr>
          <w:rFonts w:ascii="Arial" w:hAnsi="Arial" w:cs="Arial"/>
          <w:b w:val="0"/>
          <w:color w:val="000000" w:themeColor="text1"/>
        </w:rPr>
        <w:t>over 96 weeks</w:t>
      </w:r>
      <w:r w:rsidR="003146C8">
        <w:rPr>
          <w:rFonts w:ascii="Arial" w:hAnsi="Arial" w:cs="Arial"/>
          <w:b w:val="0"/>
          <w:color w:val="000000" w:themeColor="text1"/>
        </w:rPr>
        <w:t xml:space="preserve">. </w:t>
      </w:r>
      <w:r w:rsidR="007E1969">
        <w:rPr>
          <w:rFonts w:ascii="Arial" w:hAnsi="Arial" w:cs="Arial"/>
          <w:b w:val="0"/>
          <w:color w:val="000000" w:themeColor="text1"/>
        </w:rPr>
        <w:t>N is the number of women at each visit.</w:t>
      </w:r>
      <w:bookmarkEnd w:id="212"/>
    </w:p>
    <w:tbl>
      <w:tblPr>
        <w:tblStyle w:val="TableGrid"/>
        <w:tblW w:w="8316" w:type="dxa"/>
        <w:jc w:val="center"/>
        <w:tblLook w:val="04A0" w:firstRow="1" w:lastRow="0" w:firstColumn="1" w:lastColumn="0" w:noHBand="0" w:noVBand="1"/>
      </w:tblPr>
      <w:tblGrid>
        <w:gridCol w:w="1475"/>
        <w:gridCol w:w="773"/>
        <w:gridCol w:w="999"/>
        <w:gridCol w:w="1964"/>
        <w:gridCol w:w="1059"/>
        <w:gridCol w:w="2046"/>
      </w:tblGrid>
      <w:tr w:rsidR="005F62FA" w:rsidRPr="00980EE0" w:rsidTr="00980EE0">
        <w:trPr>
          <w:trHeight w:val="256"/>
          <w:jc w:val="center"/>
        </w:trPr>
        <w:tc>
          <w:tcPr>
            <w:tcW w:w="0" w:type="auto"/>
            <w:vMerge w:val="restart"/>
          </w:tcPr>
          <w:p w:rsidR="005F62FA" w:rsidRPr="00980EE0" w:rsidRDefault="005F62FA" w:rsidP="00900F2C">
            <w:pPr>
              <w:rPr>
                <w:rFonts w:cs="Arial"/>
                <w:sz w:val="16"/>
                <w:szCs w:val="16"/>
              </w:rPr>
            </w:pPr>
          </w:p>
        </w:tc>
        <w:tc>
          <w:tcPr>
            <w:tcW w:w="0" w:type="auto"/>
            <w:vMerge w:val="restart"/>
          </w:tcPr>
          <w:p w:rsidR="005F62FA" w:rsidRPr="00980EE0" w:rsidRDefault="005F62FA" w:rsidP="00900F2C">
            <w:pPr>
              <w:rPr>
                <w:rFonts w:cs="Arial"/>
                <w:sz w:val="16"/>
                <w:szCs w:val="16"/>
              </w:rPr>
            </w:pPr>
            <w:r w:rsidRPr="00980EE0">
              <w:rPr>
                <w:rFonts w:cs="Arial"/>
                <w:sz w:val="16"/>
                <w:szCs w:val="16"/>
              </w:rPr>
              <w:t>N</w:t>
            </w:r>
          </w:p>
        </w:tc>
        <w:tc>
          <w:tcPr>
            <w:tcW w:w="0" w:type="auto"/>
            <w:gridSpan w:val="2"/>
          </w:tcPr>
          <w:p w:rsidR="005F62FA" w:rsidRPr="00980EE0" w:rsidRDefault="00980EE0" w:rsidP="00900F2C">
            <w:pPr>
              <w:rPr>
                <w:rFonts w:cs="Arial"/>
                <w:sz w:val="16"/>
                <w:szCs w:val="16"/>
              </w:rPr>
            </w:pPr>
            <w:r>
              <w:rPr>
                <w:rFonts w:cs="Arial"/>
                <w:sz w:val="16"/>
                <w:szCs w:val="16"/>
              </w:rPr>
              <w:t>Bone b</w:t>
            </w:r>
            <w:r w:rsidR="005F62FA" w:rsidRPr="00980EE0">
              <w:rPr>
                <w:rFonts w:cs="Arial"/>
                <w:sz w:val="16"/>
                <w:szCs w:val="16"/>
              </w:rPr>
              <w:t>alance</w:t>
            </w:r>
          </w:p>
        </w:tc>
        <w:tc>
          <w:tcPr>
            <w:tcW w:w="0" w:type="auto"/>
            <w:gridSpan w:val="2"/>
          </w:tcPr>
          <w:p w:rsidR="005F62FA" w:rsidRPr="00980EE0" w:rsidRDefault="00980EE0" w:rsidP="00900F2C">
            <w:pPr>
              <w:rPr>
                <w:rFonts w:cs="Arial"/>
                <w:sz w:val="16"/>
                <w:szCs w:val="16"/>
              </w:rPr>
            </w:pPr>
            <w:r>
              <w:rPr>
                <w:rFonts w:cs="Arial"/>
                <w:sz w:val="16"/>
                <w:szCs w:val="16"/>
              </w:rPr>
              <w:t>Bone t</w:t>
            </w:r>
            <w:r w:rsidR="005F62FA" w:rsidRPr="00980EE0">
              <w:rPr>
                <w:rFonts w:cs="Arial"/>
                <w:sz w:val="16"/>
                <w:szCs w:val="16"/>
              </w:rPr>
              <w:t>urnover</w:t>
            </w:r>
          </w:p>
        </w:tc>
      </w:tr>
      <w:tr w:rsidR="005F62FA" w:rsidRPr="00980EE0" w:rsidTr="00980EE0">
        <w:trPr>
          <w:trHeight w:val="275"/>
          <w:jc w:val="center"/>
        </w:trPr>
        <w:tc>
          <w:tcPr>
            <w:tcW w:w="0" w:type="auto"/>
            <w:vMerge/>
          </w:tcPr>
          <w:p w:rsidR="005F62FA" w:rsidRPr="00980EE0" w:rsidRDefault="005F62FA" w:rsidP="00900F2C">
            <w:pPr>
              <w:rPr>
                <w:rFonts w:cs="Arial"/>
                <w:sz w:val="16"/>
                <w:szCs w:val="16"/>
              </w:rPr>
            </w:pPr>
          </w:p>
        </w:tc>
        <w:tc>
          <w:tcPr>
            <w:tcW w:w="0" w:type="auto"/>
            <w:vMerge/>
          </w:tcPr>
          <w:p w:rsidR="005F62FA" w:rsidRPr="00980EE0" w:rsidRDefault="005F62FA" w:rsidP="00900F2C">
            <w:pPr>
              <w:rPr>
                <w:rFonts w:cs="Arial"/>
                <w:sz w:val="16"/>
                <w:szCs w:val="16"/>
              </w:rPr>
            </w:pPr>
          </w:p>
        </w:tc>
        <w:tc>
          <w:tcPr>
            <w:tcW w:w="0" w:type="auto"/>
          </w:tcPr>
          <w:p w:rsidR="005F62FA" w:rsidRPr="00980EE0" w:rsidRDefault="005F62FA" w:rsidP="00900F2C">
            <w:pPr>
              <w:rPr>
                <w:rFonts w:cs="Arial"/>
                <w:sz w:val="16"/>
                <w:szCs w:val="16"/>
              </w:rPr>
            </w:pPr>
            <w:r w:rsidRPr="00980EE0">
              <w:rPr>
                <w:rFonts w:cs="Arial"/>
                <w:sz w:val="16"/>
                <w:szCs w:val="16"/>
              </w:rPr>
              <w:t>Mean</w:t>
            </w:r>
          </w:p>
        </w:tc>
        <w:tc>
          <w:tcPr>
            <w:tcW w:w="0" w:type="auto"/>
          </w:tcPr>
          <w:p w:rsidR="005F62FA" w:rsidRPr="00980EE0" w:rsidRDefault="005F62FA" w:rsidP="00900F2C">
            <w:pPr>
              <w:rPr>
                <w:rFonts w:cs="Arial"/>
                <w:sz w:val="16"/>
                <w:szCs w:val="16"/>
              </w:rPr>
            </w:pPr>
            <w:r w:rsidRPr="00980EE0">
              <w:rPr>
                <w:rFonts w:cs="Arial"/>
                <w:sz w:val="16"/>
                <w:szCs w:val="16"/>
              </w:rPr>
              <w:t>95% CI</w:t>
            </w:r>
          </w:p>
        </w:tc>
        <w:tc>
          <w:tcPr>
            <w:tcW w:w="0" w:type="auto"/>
          </w:tcPr>
          <w:p w:rsidR="005F62FA" w:rsidRPr="00980EE0" w:rsidRDefault="005F62FA" w:rsidP="00900F2C">
            <w:pPr>
              <w:rPr>
                <w:rFonts w:cs="Arial"/>
                <w:sz w:val="16"/>
                <w:szCs w:val="16"/>
              </w:rPr>
            </w:pPr>
            <w:r w:rsidRPr="00980EE0">
              <w:rPr>
                <w:rFonts w:cs="Arial"/>
                <w:sz w:val="16"/>
                <w:szCs w:val="16"/>
              </w:rPr>
              <w:t>Mean</w:t>
            </w:r>
          </w:p>
        </w:tc>
        <w:tc>
          <w:tcPr>
            <w:tcW w:w="0" w:type="auto"/>
          </w:tcPr>
          <w:p w:rsidR="005F62FA" w:rsidRPr="00980EE0" w:rsidRDefault="005F62FA" w:rsidP="00900F2C">
            <w:pPr>
              <w:rPr>
                <w:rFonts w:cs="Arial"/>
                <w:sz w:val="16"/>
                <w:szCs w:val="16"/>
              </w:rPr>
            </w:pPr>
            <w:r w:rsidRPr="00980EE0">
              <w:rPr>
                <w:rFonts w:cs="Arial"/>
                <w:sz w:val="16"/>
                <w:szCs w:val="16"/>
              </w:rPr>
              <w:t>95% CI</w:t>
            </w:r>
          </w:p>
        </w:tc>
      </w:tr>
      <w:tr w:rsidR="005F62FA" w:rsidRPr="00980EE0" w:rsidTr="00980EE0">
        <w:trPr>
          <w:trHeight w:val="236"/>
          <w:jc w:val="center"/>
        </w:trPr>
        <w:tc>
          <w:tcPr>
            <w:tcW w:w="0" w:type="auto"/>
          </w:tcPr>
          <w:p w:rsidR="005F62FA" w:rsidRPr="00980EE0" w:rsidRDefault="005F62FA" w:rsidP="00900F2C">
            <w:pPr>
              <w:rPr>
                <w:rFonts w:cs="Arial"/>
                <w:sz w:val="16"/>
                <w:szCs w:val="16"/>
              </w:rPr>
            </w:pPr>
            <w:r w:rsidRPr="00980EE0">
              <w:rPr>
                <w:rFonts w:cs="Arial"/>
                <w:sz w:val="16"/>
                <w:szCs w:val="16"/>
              </w:rPr>
              <w:t>Baseline 1</w:t>
            </w:r>
          </w:p>
        </w:tc>
        <w:tc>
          <w:tcPr>
            <w:tcW w:w="0" w:type="auto"/>
          </w:tcPr>
          <w:p w:rsidR="005F62FA" w:rsidRPr="00980EE0" w:rsidRDefault="005F62FA" w:rsidP="00900F2C">
            <w:pPr>
              <w:rPr>
                <w:rFonts w:cs="Arial"/>
                <w:sz w:val="16"/>
                <w:szCs w:val="16"/>
              </w:rPr>
            </w:pPr>
            <w:r w:rsidRPr="00980EE0">
              <w:rPr>
                <w:rFonts w:cs="Arial"/>
                <w:sz w:val="16"/>
                <w:szCs w:val="16"/>
              </w:rPr>
              <w:t>165</w:t>
            </w:r>
          </w:p>
        </w:tc>
        <w:tc>
          <w:tcPr>
            <w:tcW w:w="0" w:type="auto"/>
          </w:tcPr>
          <w:p w:rsidR="005F62FA" w:rsidRPr="00980EE0" w:rsidRDefault="005F62FA" w:rsidP="00900F2C">
            <w:pPr>
              <w:rPr>
                <w:rFonts w:cs="Arial"/>
                <w:sz w:val="16"/>
                <w:szCs w:val="16"/>
              </w:rPr>
            </w:pPr>
            <w:r w:rsidRPr="00980EE0">
              <w:rPr>
                <w:rFonts w:cs="Arial"/>
                <w:sz w:val="16"/>
                <w:szCs w:val="16"/>
              </w:rPr>
              <w:t>0.047</w:t>
            </w:r>
          </w:p>
        </w:tc>
        <w:tc>
          <w:tcPr>
            <w:tcW w:w="0" w:type="auto"/>
          </w:tcPr>
          <w:p w:rsidR="005F62FA" w:rsidRPr="00980EE0" w:rsidRDefault="005F62FA" w:rsidP="00900F2C">
            <w:pPr>
              <w:rPr>
                <w:rFonts w:cs="Arial"/>
                <w:sz w:val="16"/>
                <w:szCs w:val="16"/>
              </w:rPr>
            </w:pPr>
            <w:r w:rsidRPr="00980EE0">
              <w:rPr>
                <w:rFonts w:cs="Arial"/>
                <w:sz w:val="16"/>
                <w:szCs w:val="16"/>
              </w:rPr>
              <w:t>(-0.069, 0.163)</w:t>
            </w:r>
          </w:p>
        </w:tc>
        <w:tc>
          <w:tcPr>
            <w:tcW w:w="0" w:type="auto"/>
          </w:tcPr>
          <w:p w:rsidR="005F62FA" w:rsidRPr="00980EE0" w:rsidRDefault="005F62FA" w:rsidP="00900F2C">
            <w:pPr>
              <w:rPr>
                <w:rFonts w:cs="Arial"/>
                <w:sz w:val="16"/>
                <w:szCs w:val="16"/>
              </w:rPr>
            </w:pPr>
            <w:r w:rsidRPr="00980EE0">
              <w:rPr>
                <w:rFonts w:cs="Arial"/>
                <w:sz w:val="16"/>
                <w:szCs w:val="16"/>
              </w:rPr>
              <w:t>1.370</w:t>
            </w:r>
          </w:p>
        </w:tc>
        <w:tc>
          <w:tcPr>
            <w:tcW w:w="0" w:type="auto"/>
          </w:tcPr>
          <w:p w:rsidR="005F62FA" w:rsidRPr="00980EE0" w:rsidRDefault="005F62FA" w:rsidP="00900F2C">
            <w:pPr>
              <w:rPr>
                <w:rFonts w:cs="Arial"/>
                <w:sz w:val="16"/>
                <w:szCs w:val="16"/>
              </w:rPr>
            </w:pPr>
            <w:r w:rsidRPr="00980EE0">
              <w:rPr>
                <w:rFonts w:cs="Arial"/>
                <w:sz w:val="16"/>
                <w:szCs w:val="16"/>
              </w:rPr>
              <w:t>(1.244, 1.497)</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Baseline 2</w:t>
            </w:r>
          </w:p>
        </w:tc>
        <w:tc>
          <w:tcPr>
            <w:tcW w:w="0" w:type="auto"/>
          </w:tcPr>
          <w:p w:rsidR="005F62FA" w:rsidRPr="00980EE0" w:rsidRDefault="005F62FA" w:rsidP="00900F2C">
            <w:pPr>
              <w:rPr>
                <w:rFonts w:cs="Arial"/>
                <w:sz w:val="16"/>
                <w:szCs w:val="16"/>
              </w:rPr>
            </w:pPr>
            <w:r w:rsidRPr="00980EE0">
              <w:rPr>
                <w:rFonts w:cs="Arial"/>
                <w:sz w:val="16"/>
                <w:szCs w:val="16"/>
              </w:rPr>
              <w:t>165</w:t>
            </w:r>
          </w:p>
        </w:tc>
        <w:tc>
          <w:tcPr>
            <w:tcW w:w="0" w:type="auto"/>
          </w:tcPr>
          <w:p w:rsidR="005F62FA" w:rsidRPr="00980EE0" w:rsidRDefault="005F62FA" w:rsidP="00900F2C">
            <w:pPr>
              <w:rPr>
                <w:rFonts w:cs="Arial"/>
                <w:sz w:val="16"/>
                <w:szCs w:val="16"/>
              </w:rPr>
            </w:pPr>
            <w:r w:rsidRPr="00980EE0">
              <w:rPr>
                <w:rFonts w:cs="Arial"/>
                <w:sz w:val="16"/>
                <w:szCs w:val="16"/>
              </w:rPr>
              <w:t>0.661</w:t>
            </w:r>
          </w:p>
        </w:tc>
        <w:tc>
          <w:tcPr>
            <w:tcW w:w="0" w:type="auto"/>
          </w:tcPr>
          <w:p w:rsidR="005F62FA" w:rsidRPr="00980EE0" w:rsidRDefault="005F62FA" w:rsidP="00900F2C">
            <w:pPr>
              <w:rPr>
                <w:rFonts w:cs="Arial"/>
                <w:sz w:val="16"/>
                <w:szCs w:val="16"/>
              </w:rPr>
            </w:pPr>
            <w:r w:rsidRPr="00980EE0">
              <w:rPr>
                <w:rFonts w:cs="Arial"/>
                <w:sz w:val="16"/>
                <w:szCs w:val="16"/>
              </w:rPr>
              <w:t>(0.489, 0.832)</w:t>
            </w:r>
          </w:p>
        </w:tc>
        <w:tc>
          <w:tcPr>
            <w:tcW w:w="0" w:type="auto"/>
          </w:tcPr>
          <w:p w:rsidR="005F62FA" w:rsidRPr="00980EE0" w:rsidRDefault="005F62FA" w:rsidP="00900F2C">
            <w:pPr>
              <w:rPr>
                <w:rFonts w:cs="Arial"/>
                <w:sz w:val="16"/>
                <w:szCs w:val="16"/>
              </w:rPr>
            </w:pPr>
            <w:r w:rsidRPr="00980EE0">
              <w:rPr>
                <w:rFonts w:cs="Arial"/>
                <w:sz w:val="16"/>
                <w:szCs w:val="16"/>
              </w:rPr>
              <w:t>1.143</w:t>
            </w:r>
          </w:p>
        </w:tc>
        <w:tc>
          <w:tcPr>
            <w:tcW w:w="0" w:type="auto"/>
          </w:tcPr>
          <w:p w:rsidR="005F62FA" w:rsidRPr="00980EE0" w:rsidRDefault="005F62FA" w:rsidP="00900F2C">
            <w:pPr>
              <w:rPr>
                <w:rFonts w:cs="Arial"/>
                <w:sz w:val="16"/>
                <w:szCs w:val="16"/>
              </w:rPr>
            </w:pPr>
            <w:r w:rsidRPr="00980EE0">
              <w:rPr>
                <w:rFonts w:cs="Arial"/>
                <w:sz w:val="16"/>
                <w:szCs w:val="16"/>
              </w:rPr>
              <w:t>(0.992, 1.294)</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Week 1</w:t>
            </w:r>
          </w:p>
        </w:tc>
        <w:tc>
          <w:tcPr>
            <w:tcW w:w="0" w:type="auto"/>
          </w:tcPr>
          <w:p w:rsidR="005F62FA" w:rsidRPr="00980EE0" w:rsidRDefault="005F62FA" w:rsidP="00900F2C">
            <w:pPr>
              <w:rPr>
                <w:rFonts w:cs="Arial"/>
                <w:sz w:val="16"/>
                <w:szCs w:val="16"/>
              </w:rPr>
            </w:pPr>
            <w:r w:rsidRPr="00980EE0">
              <w:rPr>
                <w:rFonts w:cs="Arial"/>
                <w:sz w:val="16"/>
                <w:szCs w:val="16"/>
              </w:rPr>
              <w:t>165</w:t>
            </w:r>
          </w:p>
        </w:tc>
        <w:tc>
          <w:tcPr>
            <w:tcW w:w="0" w:type="auto"/>
          </w:tcPr>
          <w:p w:rsidR="005F62FA" w:rsidRPr="00980EE0" w:rsidRDefault="005F62FA" w:rsidP="00900F2C">
            <w:pPr>
              <w:rPr>
                <w:rFonts w:cs="Arial"/>
                <w:sz w:val="16"/>
                <w:szCs w:val="16"/>
              </w:rPr>
            </w:pPr>
            <w:r w:rsidRPr="00980EE0">
              <w:rPr>
                <w:rFonts w:cs="Arial"/>
                <w:sz w:val="16"/>
                <w:szCs w:val="16"/>
              </w:rPr>
              <w:t>2.397</w:t>
            </w:r>
          </w:p>
        </w:tc>
        <w:tc>
          <w:tcPr>
            <w:tcW w:w="0" w:type="auto"/>
          </w:tcPr>
          <w:p w:rsidR="005F62FA" w:rsidRPr="00980EE0" w:rsidRDefault="005F62FA" w:rsidP="00900F2C">
            <w:pPr>
              <w:rPr>
                <w:rFonts w:cs="Arial"/>
                <w:sz w:val="16"/>
                <w:szCs w:val="16"/>
              </w:rPr>
            </w:pPr>
            <w:r w:rsidRPr="00980EE0">
              <w:rPr>
                <w:rFonts w:cs="Arial"/>
                <w:sz w:val="16"/>
                <w:szCs w:val="16"/>
              </w:rPr>
              <w:t>(2.076, 2.719)</w:t>
            </w:r>
          </w:p>
        </w:tc>
        <w:tc>
          <w:tcPr>
            <w:tcW w:w="0" w:type="auto"/>
          </w:tcPr>
          <w:p w:rsidR="005F62FA" w:rsidRPr="00980EE0" w:rsidRDefault="005F62FA" w:rsidP="00900F2C">
            <w:pPr>
              <w:rPr>
                <w:rFonts w:cs="Arial"/>
                <w:sz w:val="16"/>
                <w:szCs w:val="16"/>
              </w:rPr>
            </w:pPr>
            <w:r w:rsidRPr="00980EE0">
              <w:rPr>
                <w:rFonts w:cs="Arial"/>
                <w:sz w:val="16"/>
                <w:szCs w:val="16"/>
              </w:rPr>
              <w:t>0.160</w:t>
            </w:r>
          </w:p>
        </w:tc>
        <w:tc>
          <w:tcPr>
            <w:tcW w:w="0" w:type="auto"/>
          </w:tcPr>
          <w:p w:rsidR="005F62FA" w:rsidRPr="00980EE0" w:rsidRDefault="005F62FA" w:rsidP="00900F2C">
            <w:pPr>
              <w:rPr>
                <w:rFonts w:cs="Arial"/>
                <w:sz w:val="16"/>
                <w:szCs w:val="16"/>
              </w:rPr>
            </w:pPr>
            <w:r w:rsidRPr="00980EE0">
              <w:rPr>
                <w:rFonts w:cs="Arial"/>
                <w:sz w:val="16"/>
                <w:szCs w:val="16"/>
              </w:rPr>
              <w:t>(-0.028, 0.347)</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Week 2</w:t>
            </w:r>
          </w:p>
        </w:tc>
        <w:tc>
          <w:tcPr>
            <w:tcW w:w="0" w:type="auto"/>
          </w:tcPr>
          <w:p w:rsidR="005F62FA" w:rsidRPr="00980EE0" w:rsidRDefault="005F62FA" w:rsidP="00900F2C">
            <w:pPr>
              <w:rPr>
                <w:rFonts w:cs="Arial"/>
                <w:sz w:val="16"/>
                <w:szCs w:val="16"/>
              </w:rPr>
            </w:pPr>
            <w:r w:rsidRPr="00980EE0">
              <w:rPr>
                <w:rFonts w:cs="Arial"/>
                <w:sz w:val="16"/>
                <w:szCs w:val="16"/>
              </w:rPr>
              <w:t>157</w:t>
            </w:r>
          </w:p>
        </w:tc>
        <w:tc>
          <w:tcPr>
            <w:tcW w:w="0" w:type="auto"/>
          </w:tcPr>
          <w:p w:rsidR="005F62FA" w:rsidRPr="00980EE0" w:rsidRDefault="005F62FA" w:rsidP="00900F2C">
            <w:pPr>
              <w:rPr>
                <w:rFonts w:cs="Arial"/>
                <w:sz w:val="16"/>
                <w:szCs w:val="16"/>
              </w:rPr>
            </w:pPr>
            <w:r w:rsidRPr="00980EE0">
              <w:rPr>
                <w:rFonts w:cs="Arial"/>
                <w:sz w:val="16"/>
                <w:szCs w:val="16"/>
              </w:rPr>
              <w:t>2.785</w:t>
            </w:r>
          </w:p>
        </w:tc>
        <w:tc>
          <w:tcPr>
            <w:tcW w:w="0" w:type="auto"/>
          </w:tcPr>
          <w:p w:rsidR="005F62FA" w:rsidRPr="00980EE0" w:rsidRDefault="005F62FA" w:rsidP="00900F2C">
            <w:pPr>
              <w:rPr>
                <w:rFonts w:cs="Arial"/>
                <w:sz w:val="16"/>
                <w:szCs w:val="16"/>
              </w:rPr>
            </w:pPr>
            <w:r w:rsidRPr="00980EE0">
              <w:rPr>
                <w:rFonts w:cs="Arial"/>
                <w:sz w:val="16"/>
                <w:szCs w:val="16"/>
              </w:rPr>
              <w:t>(2.482, 3.087)</w:t>
            </w:r>
          </w:p>
        </w:tc>
        <w:tc>
          <w:tcPr>
            <w:tcW w:w="0" w:type="auto"/>
          </w:tcPr>
          <w:p w:rsidR="005F62FA" w:rsidRPr="00980EE0" w:rsidRDefault="005F62FA" w:rsidP="00900F2C">
            <w:pPr>
              <w:rPr>
                <w:rFonts w:cs="Arial"/>
                <w:sz w:val="16"/>
                <w:szCs w:val="16"/>
              </w:rPr>
            </w:pPr>
            <w:r w:rsidRPr="00980EE0">
              <w:rPr>
                <w:rFonts w:cs="Arial"/>
                <w:sz w:val="16"/>
                <w:szCs w:val="16"/>
              </w:rPr>
              <w:t>-0.033</w:t>
            </w:r>
          </w:p>
        </w:tc>
        <w:tc>
          <w:tcPr>
            <w:tcW w:w="0" w:type="auto"/>
          </w:tcPr>
          <w:p w:rsidR="005F62FA" w:rsidRPr="00980EE0" w:rsidRDefault="005F62FA" w:rsidP="00900F2C">
            <w:pPr>
              <w:rPr>
                <w:rFonts w:cs="Arial"/>
                <w:sz w:val="16"/>
                <w:szCs w:val="16"/>
              </w:rPr>
            </w:pPr>
            <w:r w:rsidRPr="00980EE0">
              <w:rPr>
                <w:rFonts w:cs="Arial"/>
                <w:sz w:val="16"/>
                <w:szCs w:val="16"/>
              </w:rPr>
              <w:t>(-0.210, 0.145)</w:t>
            </w:r>
          </w:p>
        </w:tc>
      </w:tr>
      <w:tr w:rsidR="005F62FA" w:rsidRPr="00980EE0" w:rsidTr="00980EE0">
        <w:trPr>
          <w:trHeight w:val="236"/>
          <w:jc w:val="center"/>
        </w:trPr>
        <w:tc>
          <w:tcPr>
            <w:tcW w:w="0" w:type="auto"/>
          </w:tcPr>
          <w:p w:rsidR="005F62FA" w:rsidRPr="00980EE0" w:rsidRDefault="005F62FA" w:rsidP="00900F2C">
            <w:pPr>
              <w:rPr>
                <w:rFonts w:cs="Arial"/>
                <w:sz w:val="16"/>
                <w:szCs w:val="16"/>
              </w:rPr>
            </w:pPr>
            <w:r w:rsidRPr="00980EE0">
              <w:rPr>
                <w:rFonts w:cs="Arial"/>
                <w:sz w:val="16"/>
                <w:szCs w:val="16"/>
              </w:rPr>
              <w:t>Week 4</w:t>
            </w:r>
          </w:p>
        </w:tc>
        <w:tc>
          <w:tcPr>
            <w:tcW w:w="0" w:type="auto"/>
          </w:tcPr>
          <w:p w:rsidR="005F62FA" w:rsidRPr="00980EE0" w:rsidRDefault="005F62FA" w:rsidP="00900F2C">
            <w:pPr>
              <w:rPr>
                <w:rFonts w:cs="Arial"/>
                <w:sz w:val="16"/>
                <w:szCs w:val="16"/>
              </w:rPr>
            </w:pPr>
            <w:r w:rsidRPr="00980EE0">
              <w:rPr>
                <w:rFonts w:cs="Arial"/>
                <w:sz w:val="16"/>
                <w:szCs w:val="16"/>
              </w:rPr>
              <w:t>155</w:t>
            </w:r>
          </w:p>
        </w:tc>
        <w:tc>
          <w:tcPr>
            <w:tcW w:w="0" w:type="auto"/>
          </w:tcPr>
          <w:p w:rsidR="005F62FA" w:rsidRPr="00980EE0" w:rsidRDefault="005F62FA" w:rsidP="00900F2C">
            <w:pPr>
              <w:rPr>
                <w:rFonts w:cs="Arial"/>
                <w:sz w:val="16"/>
                <w:szCs w:val="16"/>
              </w:rPr>
            </w:pPr>
            <w:r w:rsidRPr="00980EE0">
              <w:rPr>
                <w:rFonts w:cs="Arial"/>
                <w:sz w:val="16"/>
                <w:szCs w:val="16"/>
              </w:rPr>
              <w:t>2.277</w:t>
            </w:r>
          </w:p>
        </w:tc>
        <w:tc>
          <w:tcPr>
            <w:tcW w:w="0" w:type="auto"/>
          </w:tcPr>
          <w:p w:rsidR="005F62FA" w:rsidRPr="00980EE0" w:rsidRDefault="005F62FA" w:rsidP="00900F2C">
            <w:pPr>
              <w:rPr>
                <w:rFonts w:cs="Arial"/>
                <w:sz w:val="16"/>
                <w:szCs w:val="16"/>
              </w:rPr>
            </w:pPr>
            <w:r w:rsidRPr="00980EE0">
              <w:rPr>
                <w:rFonts w:cs="Arial"/>
                <w:sz w:val="16"/>
                <w:szCs w:val="16"/>
              </w:rPr>
              <w:t>(2.016, 2.538)</w:t>
            </w:r>
          </w:p>
        </w:tc>
        <w:tc>
          <w:tcPr>
            <w:tcW w:w="0" w:type="auto"/>
          </w:tcPr>
          <w:p w:rsidR="005F62FA" w:rsidRPr="00980EE0" w:rsidRDefault="005F62FA" w:rsidP="00900F2C">
            <w:pPr>
              <w:rPr>
                <w:rFonts w:cs="Arial"/>
                <w:sz w:val="16"/>
                <w:szCs w:val="16"/>
              </w:rPr>
            </w:pPr>
            <w:r w:rsidRPr="00980EE0">
              <w:rPr>
                <w:rFonts w:cs="Arial"/>
                <w:sz w:val="16"/>
                <w:szCs w:val="16"/>
              </w:rPr>
              <w:t>-0.181</w:t>
            </w:r>
          </w:p>
        </w:tc>
        <w:tc>
          <w:tcPr>
            <w:tcW w:w="0" w:type="auto"/>
          </w:tcPr>
          <w:p w:rsidR="005F62FA" w:rsidRPr="00980EE0" w:rsidRDefault="005F62FA" w:rsidP="00900F2C">
            <w:pPr>
              <w:rPr>
                <w:rFonts w:cs="Arial"/>
                <w:sz w:val="16"/>
                <w:szCs w:val="16"/>
              </w:rPr>
            </w:pPr>
            <w:r w:rsidRPr="00980EE0">
              <w:rPr>
                <w:rFonts w:cs="Arial"/>
                <w:sz w:val="16"/>
                <w:szCs w:val="16"/>
              </w:rPr>
              <w:t>(-0.354, -0.009)</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Week 12</w:t>
            </w:r>
          </w:p>
        </w:tc>
        <w:tc>
          <w:tcPr>
            <w:tcW w:w="0" w:type="auto"/>
          </w:tcPr>
          <w:p w:rsidR="005F62FA" w:rsidRPr="00980EE0" w:rsidRDefault="005F62FA" w:rsidP="00900F2C">
            <w:pPr>
              <w:rPr>
                <w:rFonts w:cs="Arial"/>
                <w:sz w:val="16"/>
                <w:szCs w:val="16"/>
              </w:rPr>
            </w:pPr>
            <w:r w:rsidRPr="00980EE0">
              <w:rPr>
                <w:rFonts w:cs="Arial"/>
                <w:sz w:val="16"/>
                <w:szCs w:val="16"/>
              </w:rPr>
              <w:t>147</w:t>
            </w:r>
          </w:p>
        </w:tc>
        <w:tc>
          <w:tcPr>
            <w:tcW w:w="0" w:type="auto"/>
          </w:tcPr>
          <w:p w:rsidR="005F62FA" w:rsidRPr="00980EE0" w:rsidRDefault="005F62FA" w:rsidP="00900F2C">
            <w:pPr>
              <w:rPr>
                <w:rFonts w:cs="Arial"/>
                <w:sz w:val="16"/>
                <w:szCs w:val="16"/>
              </w:rPr>
            </w:pPr>
            <w:r w:rsidRPr="00980EE0">
              <w:rPr>
                <w:rFonts w:cs="Arial"/>
                <w:sz w:val="16"/>
                <w:szCs w:val="16"/>
              </w:rPr>
              <w:t>0.701</w:t>
            </w:r>
          </w:p>
        </w:tc>
        <w:tc>
          <w:tcPr>
            <w:tcW w:w="0" w:type="auto"/>
          </w:tcPr>
          <w:p w:rsidR="005F62FA" w:rsidRPr="00980EE0" w:rsidRDefault="005F62FA" w:rsidP="00900F2C">
            <w:pPr>
              <w:rPr>
                <w:rFonts w:cs="Arial"/>
                <w:sz w:val="16"/>
                <w:szCs w:val="16"/>
              </w:rPr>
            </w:pPr>
            <w:r w:rsidRPr="00980EE0">
              <w:rPr>
                <w:rFonts w:cs="Arial"/>
                <w:sz w:val="16"/>
                <w:szCs w:val="16"/>
              </w:rPr>
              <w:t>(0.498, 0.905)</w:t>
            </w:r>
          </w:p>
        </w:tc>
        <w:tc>
          <w:tcPr>
            <w:tcW w:w="0" w:type="auto"/>
          </w:tcPr>
          <w:p w:rsidR="005F62FA" w:rsidRPr="00980EE0" w:rsidRDefault="005F62FA" w:rsidP="00900F2C">
            <w:pPr>
              <w:rPr>
                <w:rFonts w:cs="Arial"/>
                <w:sz w:val="16"/>
                <w:szCs w:val="16"/>
              </w:rPr>
            </w:pPr>
            <w:r w:rsidRPr="00980EE0">
              <w:rPr>
                <w:rFonts w:cs="Arial"/>
                <w:sz w:val="16"/>
                <w:szCs w:val="16"/>
              </w:rPr>
              <w:t>-1.582</w:t>
            </w:r>
          </w:p>
        </w:tc>
        <w:tc>
          <w:tcPr>
            <w:tcW w:w="0" w:type="auto"/>
          </w:tcPr>
          <w:p w:rsidR="005F62FA" w:rsidRPr="00980EE0" w:rsidRDefault="005F62FA" w:rsidP="00900F2C">
            <w:pPr>
              <w:rPr>
                <w:rFonts w:cs="Arial"/>
                <w:sz w:val="16"/>
                <w:szCs w:val="16"/>
              </w:rPr>
            </w:pPr>
            <w:r w:rsidRPr="00980EE0">
              <w:rPr>
                <w:rFonts w:cs="Arial"/>
                <w:sz w:val="16"/>
                <w:szCs w:val="16"/>
              </w:rPr>
              <w:t>(-1.793, -1.372)</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Week 48</w:t>
            </w:r>
          </w:p>
        </w:tc>
        <w:tc>
          <w:tcPr>
            <w:tcW w:w="0" w:type="auto"/>
          </w:tcPr>
          <w:p w:rsidR="005F62FA" w:rsidRPr="00980EE0" w:rsidRDefault="005F62FA" w:rsidP="00900F2C">
            <w:pPr>
              <w:rPr>
                <w:rFonts w:cs="Arial"/>
                <w:sz w:val="16"/>
                <w:szCs w:val="16"/>
              </w:rPr>
            </w:pPr>
            <w:r w:rsidRPr="00980EE0">
              <w:rPr>
                <w:rFonts w:cs="Arial"/>
                <w:sz w:val="16"/>
                <w:szCs w:val="16"/>
              </w:rPr>
              <w:t>136</w:t>
            </w:r>
          </w:p>
        </w:tc>
        <w:tc>
          <w:tcPr>
            <w:tcW w:w="0" w:type="auto"/>
          </w:tcPr>
          <w:p w:rsidR="005F62FA" w:rsidRPr="00980EE0" w:rsidRDefault="005F62FA" w:rsidP="00900F2C">
            <w:pPr>
              <w:rPr>
                <w:rFonts w:cs="Arial"/>
                <w:sz w:val="16"/>
                <w:szCs w:val="16"/>
              </w:rPr>
            </w:pPr>
            <w:r w:rsidRPr="00980EE0">
              <w:rPr>
                <w:rFonts w:cs="Arial"/>
                <w:sz w:val="16"/>
                <w:szCs w:val="16"/>
              </w:rPr>
              <w:t>0.347</w:t>
            </w:r>
          </w:p>
        </w:tc>
        <w:tc>
          <w:tcPr>
            <w:tcW w:w="0" w:type="auto"/>
          </w:tcPr>
          <w:p w:rsidR="005F62FA" w:rsidRPr="00980EE0" w:rsidRDefault="005F62FA" w:rsidP="00900F2C">
            <w:pPr>
              <w:rPr>
                <w:rFonts w:cs="Arial"/>
                <w:sz w:val="16"/>
                <w:szCs w:val="16"/>
              </w:rPr>
            </w:pPr>
            <w:r w:rsidRPr="00980EE0">
              <w:rPr>
                <w:rFonts w:cs="Arial"/>
                <w:sz w:val="16"/>
                <w:szCs w:val="16"/>
              </w:rPr>
              <w:t>(0.145, 0.559)</w:t>
            </w:r>
          </w:p>
        </w:tc>
        <w:tc>
          <w:tcPr>
            <w:tcW w:w="0" w:type="auto"/>
          </w:tcPr>
          <w:p w:rsidR="005F62FA" w:rsidRPr="00980EE0" w:rsidRDefault="005F62FA" w:rsidP="00900F2C">
            <w:pPr>
              <w:rPr>
                <w:rFonts w:cs="Arial"/>
                <w:sz w:val="16"/>
                <w:szCs w:val="16"/>
              </w:rPr>
            </w:pPr>
            <w:r w:rsidRPr="00980EE0">
              <w:rPr>
                <w:rFonts w:cs="Arial"/>
                <w:sz w:val="16"/>
                <w:szCs w:val="16"/>
              </w:rPr>
              <w:t>-2.085</w:t>
            </w:r>
          </w:p>
        </w:tc>
        <w:tc>
          <w:tcPr>
            <w:tcW w:w="0" w:type="auto"/>
          </w:tcPr>
          <w:p w:rsidR="005F62FA" w:rsidRPr="00980EE0" w:rsidRDefault="005F62FA" w:rsidP="00900F2C">
            <w:pPr>
              <w:rPr>
                <w:rFonts w:cs="Arial"/>
                <w:sz w:val="16"/>
                <w:szCs w:val="16"/>
              </w:rPr>
            </w:pPr>
            <w:r w:rsidRPr="00980EE0">
              <w:rPr>
                <w:rFonts w:cs="Arial"/>
                <w:sz w:val="16"/>
                <w:szCs w:val="16"/>
              </w:rPr>
              <w:t>(-2.322, -1.848)</w:t>
            </w:r>
          </w:p>
        </w:tc>
      </w:tr>
      <w:tr w:rsidR="005F62FA" w:rsidRPr="00980EE0" w:rsidTr="00980EE0">
        <w:trPr>
          <w:trHeight w:val="256"/>
          <w:jc w:val="center"/>
        </w:trPr>
        <w:tc>
          <w:tcPr>
            <w:tcW w:w="0" w:type="auto"/>
          </w:tcPr>
          <w:p w:rsidR="005F62FA" w:rsidRPr="00980EE0" w:rsidRDefault="005F62FA" w:rsidP="00900F2C">
            <w:pPr>
              <w:rPr>
                <w:rFonts w:cs="Arial"/>
                <w:sz w:val="16"/>
                <w:szCs w:val="16"/>
              </w:rPr>
            </w:pPr>
            <w:r w:rsidRPr="00980EE0">
              <w:rPr>
                <w:rFonts w:cs="Arial"/>
                <w:sz w:val="16"/>
                <w:szCs w:val="16"/>
              </w:rPr>
              <w:t>Week 96</w:t>
            </w:r>
          </w:p>
        </w:tc>
        <w:tc>
          <w:tcPr>
            <w:tcW w:w="0" w:type="auto"/>
          </w:tcPr>
          <w:p w:rsidR="005F62FA" w:rsidRPr="00980EE0" w:rsidRDefault="005F62FA" w:rsidP="00900F2C">
            <w:pPr>
              <w:rPr>
                <w:rFonts w:cs="Arial"/>
                <w:sz w:val="16"/>
                <w:szCs w:val="16"/>
              </w:rPr>
            </w:pPr>
            <w:r w:rsidRPr="00980EE0">
              <w:rPr>
                <w:rFonts w:cs="Arial"/>
                <w:sz w:val="16"/>
                <w:szCs w:val="16"/>
              </w:rPr>
              <w:t>86</w:t>
            </w:r>
          </w:p>
        </w:tc>
        <w:tc>
          <w:tcPr>
            <w:tcW w:w="0" w:type="auto"/>
          </w:tcPr>
          <w:p w:rsidR="005F62FA" w:rsidRPr="00980EE0" w:rsidRDefault="005F62FA" w:rsidP="00900F2C">
            <w:pPr>
              <w:rPr>
                <w:rFonts w:cs="Arial"/>
                <w:sz w:val="16"/>
                <w:szCs w:val="16"/>
              </w:rPr>
            </w:pPr>
            <w:r w:rsidRPr="00980EE0">
              <w:rPr>
                <w:rFonts w:cs="Arial"/>
                <w:sz w:val="16"/>
                <w:szCs w:val="16"/>
              </w:rPr>
              <w:t>0.228</w:t>
            </w:r>
          </w:p>
        </w:tc>
        <w:tc>
          <w:tcPr>
            <w:tcW w:w="0" w:type="auto"/>
          </w:tcPr>
          <w:p w:rsidR="005F62FA" w:rsidRPr="00980EE0" w:rsidRDefault="005F62FA" w:rsidP="00900F2C">
            <w:pPr>
              <w:rPr>
                <w:rFonts w:cs="Arial"/>
                <w:sz w:val="16"/>
                <w:szCs w:val="16"/>
              </w:rPr>
            </w:pPr>
            <w:r w:rsidRPr="00980EE0">
              <w:rPr>
                <w:rFonts w:cs="Arial"/>
                <w:sz w:val="16"/>
                <w:szCs w:val="16"/>
              </w:rPr>
              <w:t>(-0.051, 0.507)</w:t>
            </w:r>
          </w:p>
        </w:tc>
        <w:tc>
          <w:tcPr>
            <w:tcW w:w="0" w:type="auto"/>
          </w:tcPr>
          <w:p w:rsidR="005F62FA" w:rsidRPr="00980EE0" w:rsidRDefault="005F62FA" w:rsidP="00900F2C">
            <w:pPr>
              <w:rPr>
                <w:rFonts w:cs="Arial"/>
                <w:sz w:val="16"/>
                <w:szCs w:val="16"/>
              </w:rPr>
            </w:pPr>
            <w:r w:rsidRPr="00980EE0">
              <w:rPr>
                <w:rFonts w:cs="Arial"/>
                <w:sz w:val="16"/>
                <w:szCs w:val="16"/>
              </w:rPr>
              <w:t>-2.023</w:t>
            </w:r>
          </w:p>
        </w:tc>
        <w:tc>
          <w:tcPr>
            <w:tcW w:w="0" w:type="auto"/>
          </w:tcPr>
          <w:p w:rsidR="005F62FA" w:rsidRPr="00980EE0" w:rsidRDefault="005F62FA" w:rsidP="00900F2C">
            <w:pPr>
              <w:rPr>
                <w:rFonts w:cs="Arial"/>
                <w:sz w:val="16"/>
                <w:szCs w:val="16"/>
              </w:rPr>
            </w:pPr>
            <w:r w:rsidRPr="00980EE0">
              <w:rPr>
                <w:rFonts w:cs="Arial"/>
                <w:sz w:val="16"/>
                <w:szCs w:val="16"/>
              </w:rPr>
              <w:t>(-2.272, -1.774)</w:t>
            </w:r>
          </w:p>
        </w:tc>
      </w:tr>
    </w:tbl>
    <w:p w:rsidR="00E477F8" w:rsidRDefault="00E477F8" w:rsidP="00900F2C">
      <w:pPr>
        <w:pStyle w:val="Caption"/>
        <w:keepNext/>
        <w:rPr>
          <w:b w:val="0"/>
          <w:bCs w:val="0"/>
          <w:color w:val="auto"/>
          <w:sz w:val="22"/>
          <w:szCs w:val="22"/>
        </w:rPr>
      </w:pPr>
    </w:p>
    <w:p w:rsidR="00E477F8" w:rsidRDefault="00E477F8" w:rsidP="003E5C23">
      <w:pPr>
        <w:pStyle w:val="Caption"/>
        <w:keepNext/>
        <w:jc w:val="both"/>
      </w:pPr>
      <w:bookmarkStart w:id="213" w:name="_Toc424043700"/>
      <w:r w:rsidRPr="00E477F8">
        <w:rPr>
          <w:rFonts w:ascii="Arial" w:hAnsi="Arial" w:cs="Arial"/>
          <w:b w:val="0"/>
          <w:color w:val="auto"/>
        </w:rPr>
        <w:t xml:space="preserve">Table </w:t>
      </w:r>
      <w:r w:rsidRPr="00E477F8">
        <w:rPr>
          <w:rFonts w:ascii="Arial" w:hAnsi="Arial" w:cs="Arial"/>
          <w:b w:val="0"/>
          <w:color w:val="auto"/>
        </w:rPr>
        <w:fldChar w:fldCharType="begin"/>
      </w:r>
      <w:r w:rsidRPr="00E477F8">
        <w:rPr>
          <w:rFonts w:ascii="Arial" w:hAnsi="Arial" w:cs="Arial"/>
          <w:b w:val="0"/>
          <w:color w:val="auto"/>
        </w:rPr>
        <w:instrText xml:space="preserve"> SEQ Table \* ARABIC </w:instrText>
      </w:r>
      <w:r w:rsidRPr="00E477F8">
        <w:rPr>
          <w:rFonts w:ascii="Arial" w:hAnsi="Arial" w:cs="Arial"/>
          <w:b w:val="0"/>
          <w:color w:val="auto"/>
        </w:rPr>
        <w:fldChar w:fldCharType="separate"/>
      </w:r>
      <w:r w:rsidR="00DD116A">
        <w:rPr>
          <w:rFonts w:ascii="Arial" w:hAnsi="Arial" w:cs="Arial"/>
          <w:b w:val="0"/>
          <w:noProof/>
          <w:color w:val="auto"/>
        </w:rPr>
        <w:t>26</w:t>
      </w:r>
      <w:r w:rsidRPr="00E477F8">
        <w:rPr>
          <w:rFonts w:ascii="Arial" w:hAnsi="Arial" w:cs="Arial"/>
          <w:b w:val="0"/>
          <w:noProof/>
          <w:color w:val="auto"/>
        </w:rPr>
        <w:fldChar w:fldCharType="end"/>
      </w:r>
      <w:r w:rsidRPr="00E477F8">
        <w:rPr>
          <w:rFonts w:ascii="Arial" w:hAnsi="Arial" w:cs="Arial"/>
          <w:b w:val="0"/>
          <w:color w:val="auto"/>
        </w:rPr>
        <w:t>: The mean change and 95% confi</w:t>
      </w:r>
      <w:r w:rsidR="0000595F">
        <w:rPr>
          <w:rFonts w:ascii="Arial" w:hAnsi="Arial" w:cs="Arial"/>
          <w:b w:val="0"/>
          <w:color w:val="auto"/>
        </w:rPr>
        <w:t>dence intervals in bone balance and bone turnover</w:t>
      </w:r>
      <w:r w:rsidRPr="00E477F8">
        <w:rPr>
          <w:rFonts w:ascii="Arial" w:hAnsi="Arial" w:cs="Arial"/>
          <w:b w:val="0"/>
          <w:color w:val="auto"/>
        </w:rPr>
        <w:t xml:space="preserve"> in postmenopausal </w:t>
      </w:r>
      <w:r w:rsidRPr="00980EE0">
        <w:rPr>
          <w:rFonts w:ascii="Arial" w:hAnsi="Arial" w:cs="Arial"/>
          <w:b w:val="0"/>
          <w:color w:val="000000" w:themeColor="text1"/>
        </w:rPr>
        <w:t>women receiving bisphosphonate treatment</w:t>
      </w:r>
      <w:r>
        <w:rPr>
          <w:rFonts w:ascii="Arial" w:hAnsi="Arial" w:cs="Arial"/>
          <w:b w:val="0"/>
          <w:color w:val="000000" w:themeColor="text1"/>
        </w:rPr>
        <w:t xml:space="preserve"> (groups combined)</w:t>
      </w:r>
      <w:r w:rsidRPr="00980EE0">
        <w:rPr>
          <w:rFonts w:ascii="Arial" w:hAnsi="Arial" w:cs="Arial"/>
          <w:b w:val="0"/>
          <w:color w:val="000000" w:themeColor="text1"/>
        </w:rPr>
        <w:t xml:space="preserve"> over 96 weeks</w:t>
      </w:r>
      <w:r>
        <w:rPr>
          <w:rFonts w:ascii="Arial" w:hAnsi="Arial" w:cs="Arial"/>
          <w:b w:val="0"/>
          <w:color w:val="000000" w:themeColor="text1"/>
        </w:rPr>
        <w:t xml:space="preserve">. </w:t>
      </w:r>
      <w:bookmarkEnd w:id="213"/>
    </w:p>
    <w:tbl>
      <w:tblPr>
        <w:tblStyle w:val="TableGrid"/>
        <w:tblW w:w="8304" w:type="dxa"/>
        <w:jc w:val="center"/>
        <w:tblLook w:val="04A0" w:firstRow="1" w:lastRow="0" w:firstColumn="1" w:lastColumn="0" w:noHBand="0" w:noVBand="1"/>
      </w:tblPr>
      <w:tblGrid>
        <w:gridCol w:w="1230"/>
        <w:gridCol w:w="833"/>
        <w:gridCol w:w="1639"/>
        <w:gridCol w:w="1005"/>
        <w:gridCol w:w="884"/>
        <w:gridCol w:w="1708"/>
        <w:gridCol w:w="1005"/>
      </w:tblGrid>
      <w:tr w:rsidR="00E477F8" w:rsidRPr="00AA6F59" w:rsidTr="00140978">
        <w:trPr>
          <w:trHeight w:val="307"/>
          <w:jc w:val="center"/>
        </w:trPr>
        <w:tc>
          <w:tcPr>
            <w:tcW w:w="0" w:type="auto"/>
            <w:vMerge w:val="restart"/>
          </w:tcPr>
          <w:p w:rsidR="00E477F8" w:rsidRPr="00AA6F59" w:rsidRDefault="00E477F8" w:rsidP="00900F2C">
            <w:pPr>
              <w:rPr>
                <w:sz w:val="16"/>
                <w:szCs w:val="16"/>
              </w:rPr>
            </w:pPr>
          </w:p>
        </w:tc>
        <w:tc>
          <w:tcPr>
            <w:tcW w:w="0" w:type="auto"/>
            <w:gridSpan w:val="3"/>
          </w:tcPr>
          <w:p w:rsidR="00E477F8" w:rsidRPr="00AA6F59" w:rsidRDefault="0000595F" w:rsidP="00900F2C">
            <w:pPr>
              <w:rPr>
                <w:sz w:val="16"/>
                <w:szCs w:val="16"/>
              </w:rPr>
            </w:pPr>
            <w:r>
              <w:rPr>
                <w:sz w:val="16"/>
                <w:szCs w:val="16"/>
              </w:rPr>
              <w:t>Bone b</w:t>
            </w:r>
            <w:r w:rsidR="00E477F8" w:rsidRPr="00AA6F59">
              <w:rPr>
                <w:sz w:val="16"/>
                <w:szCs w:val="16"/>
              </w:rPr>
              <w:t>alance</w:t>
            </w:r>
          </w:p>
        </w:tc>
        <w:tc>
          <w:tcPr>
            <w:tcW w:w="0" w:type="auto"/>
            <w:gridSpan w:val="3"/>
          </w:tcPr>
          <w:p w:rsidR="00E477F8" w:rsidRPr="00AA6F59" w:rsidRDefault="0000595F" w:rsidP="00900F2C">
            <w:pPr>
              <w:rPr>
                <w:sz w:val="16"/>
                <w:szCs w:val="16"/>
              </w:rPr>
            </w:pPr>
            <w:r>
              <w:rPr>
                <w:sz w:val="16"/>
                <w:szCs w:val="16"/>
              </w:rPr>
              <w:t>Bone t</w:t>
            </w:r>
            <w:r w:rsidR="00E477F8" w:rsidRPr="00AA6F59">
              <w:rPr>
                <w:sz w:val="16"/>
                <w:szCs w:val="16"/>
              </w:rPr>
              <w:t>urnover</w:t>
            </w:r>
          </w:p>
        </w:tc>
      </w:tr>
      <w:tr w:rsidR="00E477F8" w:rsidRPr="00AA6F59" w:rsidTr="00140978">
        <w:trPr>
          <w:trHeight w:val="283"/>
          <w:jc w:val="center"/>
        </w:trPr>
        <w:tc>
          <w:tcPr>
            <w:tcW w:w="0" w:type="auto"/>
            <w:vMerge/>
          </w:tcPr>
          <w:p w:rsidR="00E477F8" w:rsidRPr="00AA6F59" w:rsidRDefault="00E477F8" w:rsidP="00900F2C">
            <w:pPr>
              <w:rPr>
                <w:sz w:val="16"/>
                <w:szCs w:val="16"/>
              </w:rPr>
            </w:pPr>
          </w:p>
        </w:tc>
        <w:tc>
          <w:tcPr>
            <w:tcW w:w="0" w:type="auto"/>
          </w:tcPr>
          <w:p w:rsidR="00E477F8" w:rsidRPr="00AA6F59" w:rsidRDefault="00E477F8" w:rsidP="00900F2C">
            <w:pPr>
              <w:rPr>
                <w:sz w:val="16"/>
                <w:szCs w:val="16"/>
              </w:rPr>
            </w:pPr>
            <w:r w:rsidRPr="00AA6F59">
              <w:rPr>
                <w:sz w:val="16"/>
                <w:szCs w:val="16"/>
              </w:rPr>
              <w:t>Mean</w:t>
            </w:r>
          </w:p>
        </w:tc>
        <w:tc>
          <w:tcPr>
            <w:tcW w:w="0" w:type="auto"/>
          </w:tcPr>
          <w:p w:rsidR="00E477F8" w:rsidRPr="00AA6F59" w:rsidRDefault="00E477F8" w:rsidP="00900F2C">
            <w:pPr>
              <w:rPr>
                <w:sz w:val="16"/>
                <w:szCs w:val="16"/>
              </w:rPr>
            </w:pPr>
            <w:r w:rsidRPr="00AA6F59">
              <w:rPr>
                <w:sz w:val="16"/>
                <w:szCs w:val="16"/>
              </w:rPr>
              <w:t>95% CI</w:t>
            </w:r>
          </w:p>
        </w:tc>
        <w:tc>
          <w:tcPr>
            <w:tcW w:w="0" w:type="auto"/>
          </w:tcPr>
          <w:p w:rsidR="00E477F8" w:rsidRPr="00AA6F59" w:rsidRDefault="00E477F8" w:rsidP="00900F2C">
            <w:pPr>
              <w:rPr>
                <w:sz w:val="16"/>
                <w:szCs w:val="16"/>
              </w:rPr>
            </w:pPr>
            <w:r w:rsidRPr="00AA6F59">
              <w:rPr>
                <w:sz w:val="16"/>
                <w:szCs w:val="16"/>
              </w:rPr>
              <w:t>P-Value</w:t>
            </w:r>
          </w:p>
        </w:tc>
        <w:tc>
          <w:tcPr>
            <w:tcW w:w="0" w:type="auto"/>
          </w:tcPr>
          <w:p w:rsidR="00E477F8" w:rsidRPr="00AA6F59" w:rsidRDefault="00E477F8" w:rsidP="00900F2C">
            <w:pPr>
              <w:rPr>
                <w:sz w:val="16"/>
                <w:szCs w:val="16"/>
              </w:rPr>
            </w:pPr>
            <w:r w:rsidRPr="00AA6F59">
              <w:rPr>
                <w:sz w:val="16"/>
                <w:szCs w:val="16"/>
              </w:rPr>
              <w:t>Mean</w:t>
            </w:r>
          </w:p>
        </w:tc>
        <w:tc>
          <w:tcPr>
            <w:tcW w:w="0" w:type="auto"/>
          </w:tcPr>
          <w:p w:rsidR="00E477F8" w:rsidRPr="00AA6F59" w:rsidRDefault="00E477F8" w:rsidP="00900F2C">
            <w:pPr>
              <w:rPr>
                <w:sz w:val="16"/>
                <w:szCs w:val="16"/>
              </w:rPr>
            </w:pPr>
            <w:r w:rsidRPr="00AA6F59">
              <w:rPr>
                <w:sz w:val="16"/>
                <w:szCs w:val="16"/>
              </w:rPr>
              <w:t>95% CI</w:t>
            </w:r>
          </w:p>
        </w:tc>
        <w:tc>
          <w:tcPr>
            <w:tcW w:w="0" w:type="auto"/>
          </w:tcPr>
          <w:p w:rsidR="00E477F8" w:rsidRPr="00AA6F59" w:rsidRDefault="00E477F8" w:rsidP="00900F2C">
            <w:pPr>
              <w:rPr>
                <w:sz w:val="16"/>
                <w:szCs w:val="16"/>
              </w:rPr>
            </w:pPr>
            <w:r w:rsidRPr="00AA6F59">
              <w:rPr>
                <w:sz w:val="16"/>
                <w:szCs w:val="16"/>
              </w:rPr>
              <w:t>P-Value</w:t>
            </w:r>
          </w:p>
        </w:tc>
      </w:tr>
      <w:tr w:rsidR="00E477F8" w:rsidRPr="00AA6F59" w:rsidTr="00140978">
        <w:trPr>
          <w:trHeight w:val="307"/>
          <w:jc w:val="center"/>
        </w:trPr>
        <w:tc>
          <w:tcPr>
            <w:tcW w:w="0" w:type="auto"/>
          </w:tcPr>
          <w:p w:rsidR="00E477F8" w:rsidRPr="00AA6F59" w:rsidRDefault="00E477F8" w:rsidP="00900F2C">
            <w:pPr>
              <w:rPr>
                <w:sz w:val="16"/>
                <w:szCs w:val="16"/>
              </w:rPr>
            </w:pPr>
            <w:r w:rsidRPr="00AA6F59">
              <w:rPr>
                <w:sz w:val="16"/>
                <w:szCs w:val="16"/>
              </w:rPr>
              <w:t>Baseline 2</w:t>
            </w:r>
          </w:p>
        </w:tc>
        <w:tc>
          <w:tcPr>
            <w:tcW w:w="0" w:type="auto"/>
          </w:tcPr>
          <w:p w:rsidR="00E477F8" w:rsidRPr="00AA6F59" w:rsidRDefault="00E477F8" w:rsidP="00900F2C">
            <w:pPr>
              <w:rPr>
                <w:sz w:val="16"/>
                <w:szCs w:val="16"/>
              </w:rPr>
            </w:pPr>
            <w:r w:rsidRPr="00AA6F59">
              <w:rPr>
                <w:sz w:val="16"/>
                <w:szCs w:val="16"/>
              </w:rPr>
              <w:t>0.614</w:t>
            </w:r>
          </w:p>
        </w:tc>
        <w:tc>
          <w:tcPr>
            <w:tcW w:w="0" w:type="auto"/>
          </w:tcPr>
          <w:p w:rsidR="00E477F8" w:rsidRPr="00AA6F59" w:rsidRDefault="00E477F8" w:rsidP="00900F2C">
            <w:pPr>
              <w:rPr>
                <w:sz w:val="16"/>
                <w:szCs w:val="16"/>
              </w:rPr>
            </w:pPr>
            <w:r w:rsidRPr="00AA6F59">
              <w:rPr>
                <w:sz w:val="16"/>
                <w:szCs w:val="16"/>
              </w:rPr>
              <w:t>(0.407, 0.820)</w:t>
            </w:r>
          </w:p>
        </w:tc>
        <w:tc>
          <w:tcPr>
            <w:tcW w:w="0" w:type="auto"/>
          </w:tcPr>
          <w:p w:rsidR="00E477F8" w:rsidRPr="00AA6F59" w:rsidRDefault="00E477F8" w:rsidP="00900F2C">
            <w:pPr>
              <w:rPr>
                <w:sz w:val="16"/>
                <w:szCs w:val="16"/>
              </w:rPr>
            </w:pPr>
            <w:r w:rsidRPr="00AA6F59">
              <w:rPr>
                <w:sz w:val="16"/>
                <w:szCs w:val="16"/>
              </w:rPr>
              <w:t>&lt;0.001</w:t>
            </w:r>
          </w:p>
        </w:tc>
        <w:tc>
          <w:tcPr>
            <w:tcW w:w="0" w:type="auto"/>
          </w:tcPr>
          <w:p w:rsidR="00E477F8" w:rsidRPr="00AA6F59" w:rsidRDefault="00E477F8" w:rsidP="00900F2C">
            <w:pPr>
              <w:rPr>
                <w:sz w:val="16"/>
                <w:szCs w:val="16"/>
              </w:rPr>
            </w:pPr>
            <w:r w:rsidRPr="00AA6F59">
              <w:rPr>
                <w:sz w:val="16"/>
                <w:szCs w:val="16"/>
              </w:rPr>
              <w:t>-0.228</w:t>
            </w:r>
          </w:p>
        </w:tc>
        <w:tc>
          <w:tcPr>
            <w:tcW w:w="0" w:type="auto"/>
          </w:tcPr>
          <w:p w:rsidR="00E477F8" w:rsidRPr="00AA6F59" w:rsidRDefault="00E477F8" w:rsidP="00900F2C">
            <w:pPr>
              <w:rPr>
                <w:sz w:val="16"/>
                <w:szCs w:val="16"/>
              </w:rPr>
            </w:pPr>
            <w:r w:rsidRPr="00AA6F59">
              <w:rPr>
                <w:sz w:val="16"/>
                <w:szCs w:val="16"/>
              </w:rPr>
              <w:t>(-0.424, -0.031)</w:t>
            </w:r>
          </w:p>
        </w:tc>
        <w:tc>
          <w:tcPr>
            <w:tcW w:w="0" w:type="auto"/>
          </w:tcPr>
          <w:p w:rsidR="00E477F8" w:rsidRPr="00AA6F59" w:rsidRDefault="00E477F8" w:rsidP="00900F2C">
            <w:pPr>
              <w:rPr>
                <w:sz w:val="16"/>
                <w:szCs w:val="16"/>
              </w:rPr>
            </w:pPr>
            <w:r w:rsidRPr="00AA6F59">
              <w:rPr>
                <w:sz w:val="16"/>
                <w:szCs w:val="16"/>
              </w:rPr>
              <w:t>0.023</w:t>
            </w:r>
          </w:p>
        </w:tc>
      </w:tr>
      <w:tr w:rsidR="00E477F8" w:rsidRPr="00AA6F59" w:rsidTr="00140978">
        <w:trPr>
          <w:trHeight w:val="307"/>
          <w:jc w:val="center"/>
        </w:trPr>
        <w:tc>
          <w:tcPr>
            <w:tcW w:w="0" w:type="auto"/>
          </w:tcPr>
          <w:p w:rsidR="00E477F8" w:rsidRPr="00AA6F59" w:rsidRDefault="00E477F8" w:rsidP="00900F2C">
            <w:pPr>
              <w:rPr>
                <w:sz w:val="16"/>
                <w:szCs w:val="16"/>
              </w:rPr>
            </w:pPr>
            <w:r w:rsidRPr="00AA6F59">
              <w:rPr>
                <w:sz w:val="16"/>
                <w:szCs w:val="16"/>
              </w:rPr>
              <w:t>Week 1</w:t>
            </w:r>
          </w:p>
        </w:tc>
        <w:tc>
          <w:tcPr>
            <w:tcW w:w="0" w:type="auto"/>
          </w:tcPr>
          <w:p w:rsidR="00E477F8" w:rsidRPr="00AA6F59" w:rsidRDefault="00E477F8" w:rsidP="00900F2C">
            <w:pPr>
              <w:rPr>
                <w:sz w:val="16"/>
                <w:szCs w:val="16"/>
              </w:rPr>
            </w:pPr>
            <w:r w:rsidRPr="00AA6F59">
              <w:rPr>
                <w:sz w:val="16"/>
                <w:szCs w:val="16"/>
              </w:rPr>
              <w:t>2.350</w:t>
            </w:r>
          </w:p>
        </w:tc>
        <w:tc>
          <w:tcPr>
            <w:tcW w:w="0" w:type="auto"/>
          </w:tcPr>
          <w:p w:rsidR="00E477F8" w:rsidRPr="00AA6F59" w:rsidRDefault="00E477F8" w:rsidP="00900F2C">
            <w:pPr>
              <w:rPr>
                <w:sz w:val="16"/>
                <w:szCs w:val="16"/>
              </w:rPr>
            </w:pPr>
            <w:r w:rsidRPr="00AA6F59">
              <w:rPr>
                <w:sz w:val="16"/>
                <w:szCs w:val="16"/>
              </w:rPr>
              <w:t>(2.009, 2.691)</w:t>
            </w:r>
          </w:p>
        </w:tc>
        <w:tc>
          <w:tcPr>
            <w:tcW w:w="0" w:type="auto"/>
          </w:tcPr>
          <w:p w:rsidR="00E477F8" w:rsidRPr="00AA6F59" w:rsidRDefault="00E477F8" w:rsidP="00900F2C">
            <w:pPr>
              <w:rPr>
                <w:sz w:val="16"/>
                <w:szCs w:val="16"/>
              </w:rPr>
            </w:pPr>
            <w:r w:rsidRPr="00AA6F59">
              <w:rPr>
                <w:sz w:val="16"/>
                <w:szCs w:val="16"/>
              </w:rPr>
              <w:t>&lt;0.001</w:t>
            </w:r>
          </w:p>
        </w:tc>
        <w:tc>
          <w:tcPr>
            <w:tcW w:w="0" w:type="auto"/>
          </w:tcPr>
          <w:p w:rsidR="00E477F8" w:rsidRPr="00AA6F59" w:rsidRDefault="00E477F8" w:rsidP="00900F2C">
            <w:pPr>
              <w:rPr>
                <w:sz w:val="16"/>
                <w:szCs w:val="16"/>
              </w:rPr>
            </w:pPr>
            <w:r w:rsidRPr="00AA6F59">
              <w:rPr>
                <w:sz w:val="16"/>
                <w:szCs w:val="16"/>
              </w:rPr>
              <w:t>-1.211</w:t>
            </w:r>
          </w:p>
        </w:tc>
        <w:tc>
          <w:tcPr>
            <w:tcW w:w="0" w:type="auto"/>
          </w:tcPr>
          <w:p w:rsidR="00E477F8" w:rsidRPr="00AA6F59" w:rsidRDefault="00E477F8" w:rsidP="00900F2C">
            <w:pPr>
              <w:rPr>
                <w:sz w:val="16"/>
                <w:szCs w:val="16"/>
              </w:rPr>
            </w:pPr>
            <w:r w:rsidRPr="00AA6F59">
              <w:rPr>
                <w:sz w:val="16"/>
                <w:szCs w:val="16"/>
              </w:rPr>
              <w:t>(-1.436, -0.985)</w:t>
            </w:r>
          </w:p>
        </w:tc>
        <w:tc>
          <w:tcPr>
            <w:tcW w:w="0" w:type="auto"/>
          </w:tcPr>
          <w:p w:rsidR="00E477F8" w:rsidRPr="00AA6F59" w:rsidRDefault="00E477F8" w:rsidP="00900F2C">
            <w:pPr>
              <w:rPr>
                <w:sz w:val="16"/>
                <w:szCs w:val="16"/>
              </w:rPr>
            </w:pPr>
            <w:r w:rsidRPr="00AA6F59">
              <w:rPr>
                <w:sz w:val="16"/>
                <w:szCs w:val="16"/>
              </w:rPr>
              <w:t>&lt;0.001</w:t>
            </w:r>
          </w:p>
        </w:tc>
      </w:tr>
      <w:tr w:rsidR="00E477F8" w:rsidRPr="00AA6F59" w:rsidTr="00140978">
        <w:trPr>
          <w:trHeight w:val="283"/>
          <w:jc w:val="center"/>
        </w:trPr>
        <w:tc>
          <w:tcPr>
            <w:tcW w:w="0" w:type="auto"/>
          </w:tcPr>
          <w:p w:rsidR="00E477F8" w:rsidRPr="00AA6F59" w:rsidRDefault="00E477F8" w:rsidP="00900F2C">
            <w:pPr>
              <w:rPr>
                <w:sz w:val="16"/>
                <w:szCs w:val="16"/>
              </w:rPr>
            </w:pPr>
            <w:r w:rsidRPr="00AA6F59">
              <w:rPr>
                <w:sz w:val="16"/>
                <w:szCs w:val="16"/>
              </w:rPr>
              <w:t>Week 2</w:t>
            </w:r>
          </w:p>
        </w:tc>
        <w:tc>
          <w:tcPr>
            <w:tcW w:w="0" w:type="auto"/>
          </w:tcPr>
          <w:p w:rsidR="00E477F8" w:rsidRPr="00AA6F59" w:rsidRDefault="00E477F8" w:rsidP="00900F2C">
            <w:pPr>
              <w:rPr>
                <w:sz w:val="16"/>
                <w:szCs w:val="16"/>
              </w:rPr>
            </w:pPr>
            <w:r w:rsidRPr="00AA6F59">
              <w:rPr>
                <w:sz w:val="16"/>
                <w:szCs w:val="16"/>
              </w:rPr>
              <w:t>2.738</w:t>
            </w:r>
          </w:p>
        </w:tc>
        <w:tc>
          <w:tcPr>
            <w:tcW w:w="0" w:type="auto"/>
          </w:tcPr>
          <w:p w:rsidR="00E477F8" w:rsidRPr="00AA6F59" w:rsidRDefault="00E477F8" w:rsidP="00900F2C">
            <w:pPr>
              <w:rPr>
                <w:sz w:val="16"/>
                <w:szCs w:val="16"/>
              </w:rPr>
            </w:pPr>
            <w:r w:rsidRPr="00AA6F59">
              <w:rPr>
                <w:sz w:val="16"/>
                <w:szCs w:val="16"/>
              </w:rPr>
              <w:t>(2.414, 3.061)</w:t>
            </w:r>
          </w:p>
        </w:tc>
        <w:tc>
          <w:tcPr>
            <w:tcW w:w="0" w:type="auto"/>
          </w:tcPr>
          <w:p w:rsidR="00E477F8" w:rsidRPr="00AA6F59" w:rsidRDefault="00E477F8" w:rsidP="00900F2C">
            <w:pPr>
              <w:rPr>
                <w:sz w:val="16"/>
                <w:szCs w:val="16"/>
              </w:rPr>
            </w:pPr>
            <w:r w:rsidRPr="00AA6F59">
              <w:rPr>
                <w:sz w:val="16"/>
                <w:szCs w:val="16"/>
              </w:rPr>
              <w:t>&lt;0.001</w:t>
            </w:r>
          </w:p>
        </w:tc>
        <w:tc>
          <w:tcPr>
            <w:tcW w:w="0" w:type="auto"/>
          </w:tcPr>
          <w:p w:rsidR="00E477F8" w:rsidRPr="00AA6F59" w:rsidRDefault="00E477F8" w:rsidP="00900F2C">
            <w:pPr>
              <w:rPr>
                <w:sz w:val="16"/>
                <w:szCs w:val="16"/>
              </w:rPr>
            </w:pPr>
            <w:r w:rsidRPr="00AA6F59">
              <w:rPr>
                <w:sz w:val="16"/>
                <w:szCs w:val="16"/>
              </w:rPr>
              <w:t>-1.403</w:t>
            </w:r>
          </w:p>
        </w:tc>
        <w:tc>
          <w:tcPr>
            <w:tcW w:w="0" w:type="auto"/>
          </w:tcPr>
          <w:p w:rsidR="00E477F8" w:rsidRPr="00AA6F59" w:rsidRDefault="00E477F8" w:rsidP="00900F2C">
            <w:pPr>
              <w:rPr>
                <w:sz w:val="16"/>
                <w:szCs w:val="16"/>
              </w:rPr>
            </w:pPr>
            <w:r w:rsidRPr="00AA6F59">
              <w:rPr>
                <w:sz w:val="16"/>
                <w:szCs w:val="16"/>
              </w:rPr>
              <w:t>(-1.620, -1.186)</w:t>
            </w:r>
          </w:p>
        </w:tc>
        <w:tc>
          <w:tcPr>
            <w:tcW w:w="0" w:type="auto"/>
          </w:tcPr>
          <w:p w:rsidR="00E477F8" w:rsidRPr="00AA6F59" w:rsidRDefault="00E477F8" w:rsidP="00900F2C">
            <w:pPr>
              <w:rPr>
                <w:sz w:val="16"/>
                <w:szCs w:val="16"/>
              </w:rPr>
            </w:pPr>
            <w:r w:rsidRPr="00AA6F59">
              <w:rPr>
                <w:sz w:val="16"/>
                <w:szCs w:val="16"/>
              </w:rPr>
              <w:t>&lt;0.001</w:t>
            </w:r>
          </w:p>
        </w:tc>
      </w:tr>
      <w:tr w:rsidR="00E477F8" w:rsidRPr="00AA6F59" w:rsidTr="00140978">
        <w:trPr>
          <w:trHeight w:val="307"/>
          <w:jc w:val="center"/>
        </w:trPr>
        <w:tc>
          <w:tcPr>
            <w:tcW w:w="0" w:type="auto"/>
          </w:tcPr>
          <w:p w:rsidR="00E477F8" w:rsidRPr="00AA6F59" w:rsidRDefault="00E477F8" w:rsidP="00900F2C">
            <w:pPr>
              <w:rPr>
                <w:sz w:val="16"/>
                <w:szCs w:val="16"/>
              </w:rPr>
            </w:pPr>
            <w:r w:rsidRPr="00AA6F59">
              <w:rPr>
                <w:sz w:val="16"/>
                <w:szCs w:val="16"/>
              </w:rPr>
              <w:t>Week 4</w:t>
            </w:r>
          </w:p>
        </w:tc>
        <w:tc>
          <w:tcPr>
            <w:tcW w:w="0" w:type="auto"/>
          </w:tcPr>
          <w:p w:rsidR="00E477F8" w:rsidRPr="00AA6F59" w:rsidRDefault="00E477F8" w:rsidP="00900F2C">
            <w:pPr>
              <w:rPr>
                <w:sz w:val="16"/>
                <w:szCs w:val="16"/>
              </w:rPr>
            </w:pPr>
            <w:r w:rsidRPr="00AA6F59">
              <w:rPr>
                <w:sz w:val="16"/>
                <w:szCs w:val="16"/>
              </w:rPr>
              <w:t>2.230</w:t>
            </w:r>
          </w:p>
        </w:tc>
        <w:tc>
          <w:tcPr>
            <w:tcW w:w="0" w:type="auto"/>
          </w:tcPr>
          <w:p w:rsidR="00E477F8" w:rsidRPr="00AA6F59" w:rsidRDefault="00E477F8" w:rsidP="00900F2C">
            <w:pPr>
              <w:rPr>
                <w:sz w:val="16"/>
                <w:szCs w:val="16"/>
              </w:rPr>
            </w:pPr>
            <w:r w:rsidRPr="00AA6F59">
              <w:rPr>
                <w:sz w:val="16"/>
                <w:szCs w:val="16"/>
              </w:rPr>
              <w:t>(1.945, 2.515)</w:t>
            </w:r>
          </w:p>
        </w:tc>
        <w:tc>
          <w:tcPr>
            <w:tcW w:w="0" w:type="auto"/>
          </w:tcPr>
          <w:p w:rsidR="00E477F8" w:rsidRPr="00AA6F59" w:rsidRDefault="00E477F8" w:rsidP="00900F2C">
            <w:pPr>
              <w:rPr>
                <w:sz w:val="16"/>
                <w:szCs w:val="16"/>
              </w:rPr>
            </w:pPr>
            <w:r w:rsidRPr="00AA6F59">
              <w:rPr>
                <w:sz w:val="16"/>
                <w:szCs w:val="16"/>
              </w:rPr>
              <w:t>&lt;0.001</w:t>
            </w:r>
          </w:p>
        </w:tc>
        <w:tc>
          <w:tcPr>
            <w:tcW w:w="0" w:type="auto"/>
          </w:tcPr>
          <w:p w:rsidR="00E477F8" w:rsidRPr="00AA6F59" w:rsidRDefault="00E477F8" w:rsidP="00900F2C">
            <w:pPr>
              <w:rPr>
                <w:sz w:val="16"/>
                <w:szCs w:val="16"/>
              </w:rPr>
            </w:pPr>
            <w:r w:rsidRPr="00AA6F59">
              <w:rPr>
                <w:sz w:val="16"/>
                <w:szCs w:val="16"/>
              </w:rPr>
              <w:t>-1.552</w:t>
            </w:r>
          </w:p>
        </w:tc>
        <w:tc>
          <w:tcPr>
            <w:tcW w:w="0" w:type="auto"/>
          </w:tcPr>
          <w:p w:rsidR="00E477F8" w:rsidRPr="00AA6F59" w:rsidRDefault="00E477F8" w:rsidP="00900F2C">
            <w:pPr>
              <w:rPr>
                <w:sz w:val="16"/>
                <w:szCs w:val="16"/>
              </w:rPr>
            </w:pPr>
            <w:r w:rsidRPr="00AA6F59">
              <w:rPr>
                <w:sz w:val="16"/>
                <w:szCs w:val="16"/>
              </w:rPr>
              <w:t>(-1.765, -1.338)</w:t>
            </w:r>
          </w:p>
        </w:tc>
        <w:tc>
          <w:tcPr>
            <w:tcW w:w="0" w:type="auto"/>
          </w:tcPr>
          <w:p w:rsidR="00E477F8" w:rsidRPr="00AA6F59" w:rsidRDefault="00E477F8" w:rsidP="00900F2C">
            <w:pPr>
              <w:rPr>
                <w:sz w:val="16"/>
                <w:szCs w:val="16"/>
              </w:rPr>
            </w:pPr>
            <w:r w:rsidRPr="00AA6F59">
              <w:rPr>
                <w:sz w:val="16"/>
                <w:szCs w:val="16"/>
              </w:rPr>
              <w:t>&lt;0.001</w:t>
            </w:r>
          </w:p>
        </w:tc>
      </w:tr>
      <w:tr w:rsidR="00E477F8" w:rsidRPr="00AA6F59" w:rsidTr="00140978">
        <w:trPr>
          <w:trHeight w:val="307"/>
          <w:jc w:val="center"/>
        </w:trPr>
        <w:tc>
          <w:tcPr>
            <w:tcW w:w="0" w:type="auto"/>
          </w:tcPr>
          <w:p w:rsidR="00E477F8" w:rsidRPr="00AA6F59" w:rsidRDefault="00E477F8" w:rsidP="00900F2C">
            <w:pPr>
              <w:rPr>
                <w:sz w:val="16"/>
                <w:szCs w:val="16"/>
              </w:rPr>
            </w:pPr>
            <w:r w:rsidRPr="00AA6F59">
              <w:rPr>
                <w:sz w:val="16"/>
                <w:szCs w:val="16"/>
              </w:rPr>
              <w:t>Week 12</w:t>
            </w:r>
          </w:p>
        </w:tc>
        <w:tc>
          <w:tcPr>
            <w:tcW w:w="0" w:type="auto"/>
          </w:tcPr>
          <w:p w:rsidR="00E477F8" w:rsidRPr="00AA6F59" w:rsidRDefault="00E477F8" w:rsidP="00900F2C">
            <w:pPr>
              <w:rPr>
                <w:sz w:val="16"/>
                <w:szCs w:val="16"/>
              </w:rPr>
            </w:pPr>
            <w:r w:rsidRPr="00AA6F59">
              <w:rPr>
                <w:sz w:val="16"/>
                <w:szCs w:val="16"/>
              </w:rPr>
              <w:t>0.654</w:t>
            </w:r>
          </w:p>
        </w:tc>
        <w:tc>
          <w:tcPr>
            <w:tcW w:w="0" w:type="auto"/>
          </w:tcPr>
          <w:p w:rsidR="00E477F8" w:rsidRPr="00AA6F59" w:rsidRDefault="00E477F8" w:rsidP="00900F2C">
            <w:pPr>
              <w:rPr>
                <w:sz w:val="16"/>
                <w:szCs w:val="16"/>
              </w:rPr>
            </w:pPr>
            <w:r w:rsidRPr="00AA6F59">
              <w:rPr>
                <w:sz w:val="16"/>
                <w:szCs w:val="16"/>
              </w:rPr>
              <w:t>(0.421, 0.888)</w:t>
            </w:r>
          </w:p>
        </w:tc>
        <w:tc>
          <w:tcPr>
            <w:tcW w:w="0" w:type="auto"/>
          </w:tcPr>
          <w:p w:rsidR="00E477F8" w:rsidRPr="00AA6F59" w:rsidRDefault="00E477F8" w:rsidP="00900F2C">
            <w:pPr>
              <w:rPr>
                <w:sz w:val="16"/>
                <w:szCs w:val="16"/>
              </w:rPr>
            </w:pPr>
            <w:r w:rsidRPr="00AA6F59">
              <w:rPr>
                <w:sz w:val="16"/>
                <w:szCs w:val="16"/>
              </w:rPr>
              <w:t>&lt;0.001</w:t>
            </w:r>
          </w:p>
        </w:tc>
        <w:tc>
          <w:tcPr>
            <w:tcW w:w="0" w:type="auto"/>
          </w:tcPr>
          <w:p w:rsidR="00E477F8" w:rsidRPr="00AA6F59" w:rsidRDefault="00E477F8" w:rsidP="00900F2C">
            <w:pPr>
              <w:rPr>
                <w:sz w:val="16"/>
                <w:szCs w:val="16"/>
              </w:rPr>
            </w:pPr>
            <w:r w:rsidRPr="00AA6F59">
              <w:rPr>
                <w:sz w:val="16"/>
                <w:szCs w:val="16"/>
              </w:rPr>
              <w:t>-2.953</w:t>
            </w:r>
          </w:p>
        </w:tc>
        <w:tc>
          <w:tcPr>
            <w:tcW w:w="0" w:type="auto"/>
          </w:tcPr>
          <w:p w:rsidR="00E477F8" w:rsidRPr="00AA6F59" w:rsidRDefault="00E477F8" w:rsidP="00900F2C">
            <w:pPr>
              <w:rPr>
                <w:sz w:val="16"/>
                <w:szCs w:val="16"/>
              </w:rPr>
            </w:pPr>
            <w:r w:rsidRPr="00AA6F59">
              <w:rPr>
                <w:sz w:val="16"/>
                <w:szCs w:val="16"/>
              </w:rPr>
              <w:t>(-3.197, -2.706)</w:t>
            </w:r>
          </w:p>
        </w:tc>
        <w:tc>
          <w:tcPr>
            <w:tcW w:w="0" w:type="auto"/>
          </w:tcPr>
          <w:p w:rsidR="00E477F8" w:rsidRPr="00AA6F59" w:rsidRDefault="00E477F8" w:rsidP="00900F2C">
            <w:pPr>
              <w:rPr>
                <w:sz w:val="16"/>
                <w:szCs w:val="16"/>
              </w:rPr>
            </w:pPr>
            <w:r w:rsidRPr="00AA6F59">
              <w:rPr>
                <w:sz w:val="16"/>
                <w:szCs w:val="16"/>
              </w:rPr>
              <w:t>&lt;0.001</w:t>
            </w:r>
          </w:p>
        </w:tc>
      </w:tr>
      <w:tr w:rsidR="00E477F8" w:rsidRPr="00AA6F59" w:rsidTr="00140978">
        <w:trPr>
          <w:trHeight w:val="283"/>
          <w:jc w:val="center"/>
        </w:trPr>
        <w:tc>
          <w:tcPr>
            <w:tcW w:w="0" w:type="auto"/>
          </w:tcPr>
          <w:p w:rsidR="00E477F8" w:rsidRPr="00AA6F59" w:rsidRDefault="00E477F8" w:rsidP="00900F2C">
            <w:pPr>
              <w:rPr>
                <w:sz w:val="16"/>
                <w:szCs w:val="16"/>
              </w:rPr>
            </w:pPr>
            <w:r w:rsidRPr="00AA6F59">
              <w:rPr>
                <w:sz w:val="16"/>
                <w:szCs w:val="16"/>
              </w:rPr>
              <w:t>Week 48</w:t>
            </w:r>
          </w:p>
        </w:tc>
        <w:tc>
          <w:tcPr>
            <w:tcW w:w="0" w:type="auto"/>
          </w:tcPr>
          <w:p w:rsidR="00E477F8" w:rsidRPr="00AA6F59" w:rsidRDefault="00E477F8" w:rsidP="00900F2C">
            <w:pPr>
              <w:rPr>
                <w:sz w:val="16"/>
                <w:szCs w:val="16"/>
              </w:rPr>
            </w:pPr>
            <w:r w:rsidRPr="00AA6F59">
              <w:rPr>
                <w:sz w:val="16"/>
                <w:szCs w:val="16"/>
              </w:rPr>
              <w:t>0.300</w:t>
            </w:r>
          </w:p>
        </w:tc>
        <w:tc>
          <w:tcPr>
            <w:tcW w:w="0" w:type="auto"/>
          </w:tcPr>
          <w:p w:rsidR="00E477F8" w:rsidRPr="00AA6F59" w:rsidRDefault="00E477F8" w:rsidP="00900F2C">
            <w:pPr>
              <w:rPr>
                <w:sz w:val="16"/>
                <w:szCs w:val="16"/>
              </w:rPr>
            </w:pPr>
            <w:r w:rsidRPr="00AA6F59">
              <w:rPr>
                <w:sz w:val="16"/>
                <w:szCs w:val="16"/>
              </w:rPr>
              <w:t>(0.068, 0.532)</w:t>
            </w:r>
          </w:p>
        </w:tc>
        <w:tc>
          <w:tcPr>
            <w:tcW w:w="0" w:type="auto"/>
          </w:tcPr>
          <w:p w:rsidR="00E477F8" w:rsidRPr="00AA6F59" w:rsidRDefault="00E477F8" w:rsidP="00900F2C">
            <w:pPr>
              <w:rPr>
                <w:sz w:val="16"/>
                <w:szCs w:val="16"/>
              </w:rPr>
            </w:pPr>
            <w:r w:rsidRPr="00AA6F59">
              <w:rPr>
                <w:sz w:val="16"/>
                <w:szCs w:val="16"/>
              </w:rPr>
              <w:t>0.012</w:t>
            </w:r>
          </w:p>
        </w:tc>
        <w:tc>
          <w:tcPr>
            <w:tcW w:w="0" w:type="auto"/>
          </w:tcPr>
          <w:p w:rsidR="00E477F8" w:rsidRPr="00AA6F59" w:rsidRDefault="00E477F8" w:rsidP="00900F2C">
            <w:pPr>
              <w:rPr>
                <w:sz w:val="16"/>
                <w:szCs w:val="16"/>
              </w:rPr>
            </w:pPr>
            <w:r w:rsidRPr="00AA6F59">
              <w:rPr>
                <w:sz w:val="16"/>
                <w:szCs w:val="16"/>
              </w:rPr>
              <w:t>-3.455</w:t>
            </w:r>
          </w:p>
        </w:tc>
        <w:tc>
          <w:tcPr>
            <w:tcW w:w="0" w:type="auto"/>
          </w:tcPr>
          <w:p w:rsidR="00E477F8" w:rsidRPr="00AA6F59" w:rsidRDefault="00E477F8" w:rsidP="00900F2C">
            <w:pPr>
              <w:rPr>
                <w:sz w:val="16"/>
                <w:szCs w:val="16"/>
              </w:rPr>
            </w:pPr>
            <w:r w:rsidRPr="00AA6F59">
              <w:rPr>
                <w:sz w:val="16"/>
                <w:szCs w:val="16"/>
              </w:rPr>
              <w:t>(-3.723, 3.188)</w:t>
            </w:r>
          </w:p>
        </w:tc>
        <w:tc>
          <w:tcPr>
            <w:tcW w:w="0" w:type="auto"/>
          </w:tcPr>
          <w:p w:rsidR="00E477F8" w:rsidRPr="00AA6F59" w:rsidRDefault="00E477F8" w:rsidP="00900F2C">
            <w:pPr>
              <w:rPr>
                <w:sz w:val="16"/>
                <w:szCs w:val="16"/>
              </w:rPr>
            </w:pPr>
            <w:r w:rsidRPr="00AA6F59">
              <w:rPr>
                <w:sz w:val="16"/>
                <w:szCs w:val="16"/>
              </w:rPr>
              <w:t>&lt;0.001</w:t>
            </w:r>
          </w:p>
        </w:tc>
      </w:tr>
      <w:tr w:rsidR="00E477F8" w:rsidRPr="00AA6F59" w:rsidTr="00140978">
        <w:trPr>
          <w:trHeight w:val="331"/>
          <w:jc w:val="center"/>
        </w:trPr>
        <w:tc>
          <w:tcPr>
            <w:tcW w:w="0" w:type="auto"/>
          </w:tcPr>
          <w:p w:rsidR="00E477F8" w:rsidRPr="00AA6F59" w:rsidRDefault="00E477F8" w:rsidP="00900F2C">
            <w:pPr>
              <w:rPr>
                <w:sz w:val="16"/>
                <w:szCs w:val="16"/>
              </w:rPr>
            </w:pPr>
            <w:r w:rsidRPr="00AA6F59">
              <w:rPr>
                <w:sz w:val="16"/>
                <w:szCs w:val="16"/>
              </w:rPr>
              <w:t>Week 96</w:t>
            </w:r>
          </w:p>
        </w:tc>
        <w:tc>
          <w:tcPr>
            <w:tcW w:w="0" w:type="auto"/>
          </w:tcPr>
          <w:p w:rsidR="00E477F8" w:rsidRPr="00AA6F59" w:rsidRDefault="00E477F8" w:rsidP="00900F2C">
            <w:pPr>
              <w:rPr>
                <w:sz w:val="16"/>
                <w:szCs w:val="16"/>
              </w:rPr>
            </w:pPr>
            <w:r w:rsidRPr="00AA6F59">
              <w:rPr>
                <w:sz w:val="16"/>
                <w:szCs w:val="16"/>
              </w:rPr>
              <w:t>0.181</w:t>
            </w:r>
          </w:p>
        </w:tc>
        <w:tc>
          <w:tcPr>
            <w:tcW w:w="0" w:type="auto"/>
          </w:tcPr>
          <w:p w:rsidR="00E477F8" w:rsidRPr="00AA6F59" w:rsidRDefault="00E477F8" w:rsidP="00900F2C">
            <w:pPr>
              <w:rPr>
                <w:sz w:val="16"/>
                <w:szCs w:val="16"/>
              </w:rPr>
            </w:pPr>
            <w:r w:rsidRPr="00AA6F59">
              <w:rPr>
                <w:sz w:val="16"/>
                <w:szCs w:val="16"/>
              </w:rPr>
              <w:t>(-0.120, 0.482)</w:t>
            </w:r>
          </w:p>
        </w:tc>
        <w:tc>
          <w:tcPr>
            <w:tcW w:w="0" w:type="auto"/>
          </w:tcPr>
          <w:p w:rsidR="00E477F8" w:rsidRPr="00AA6F59" w:rsidRDefault="00E477F8" w:rsidP="00900F2C">
            <w:pPr>
              <w:rPr>
                <w:sz w:val="16"/>
                <w:szCs w:val="16"/>
              </w:rPr>
            </w:pPr>
            <w:r w:rsidRPr="00AA6F59">
              <w:rPr>
                <w:sz w:val="16"/>
                <w:szCs w:val="16"/>
              </w:rPr>
              <w:t>0.237</w:t>
            </w:r>
          </w:p>
        </w:tc>
        <w:tc>
          <w:tcPr>
            <w:tcW w:w="0" w:type="auto"/>
          </w:tcPr>
          <w:p w:rsidR="00E477F8" w:rsidRPr="00AA6F59" w:rsidRDefault="00E477F8" w:rsidP="00900F2C">
            <w:pPr>
              <w:rPr>
                <w:sz w:val="16"/>
                <w:szCs w:val="16"/>
              </w:rPr>
            </w:pPr>
            <w:r w:rsidRPr="00AA6F59">
              <w:rPr>
                <w:sz w:val="16"/>
                <w:szCs w:val="16"/>
              </w:rPr>
              <w:t>-3.393</w:t>
            </w:r>
          </w:p>
        </w:tc>
        <w:tc>
          <w:tcPr>
            <w:tcW w:w="0" w:type="auto"/>
          </w:tcPr>
          <w:p w:rsidR="00E477F8" w:rsidRPr="00AA6F59" w:rsidRDefault="00E477F8" w:rsidP="00900F2C">
            <w:pPr>
              <w:rPr>
                <w:sz w:val="16"/>
                <w:szCs w:val="16"/>
              </w:rPr>
            </w:pPr>
            <w:r w:rsidRPr="00AA6F59">
              <w:rPr>
                <w:sz w:val="16"/>
                <w:szCs w:val="16"/>
              </w:rPr>
              <w:t>(-3.672, -3.115)</w:t>
            </w:r>
          </w:p>
        </w:tc>
        <w:tc>
          <w:tcPr>
            <w:tcW w:w="0" w:type="auto"/>
          </w:tcPr>
          <w:p w:rsidR="00E477F8" w:rsidRPr="00AA6F59" w:rsidRDefault="00E477F8" w:rsidP="00900F2C">
            <w:pPr>
              <w:rPr>
                <w:sz w:val="16"/>
                <w:szCs w:val="16"/>
              </w:rPr>
            </w:pPr>
            <w:r w:rsidRPr="00AA6F59">
              <w:rPr>
                <w:sz w:val="16"/>
                <w:szCs w:val="16"/>
              </w:rPr>
              <w:t>&lt;0.001</w:t>
            </w:r>
          </w:p>
        </w:tc>
      </w:tr>
    </w:tbl>
    <w:p w:rsidR="00E477F8" w:rsidRPr="002C1E13" w:rsidRDefault="00E477F8" w:rsidP="00900F2C">
      <w:pPr>
        <w:spacing w:line="360" w:lineRule="auto"/>
        <w:rPr>
          <w:rFonts w:ascii="Arial" w:hAnsi="Arial" w:cs="Arial"/>
        </w:rPr>
      </w:pPr>
    </w:p>
    <w:p w:rsidR="00AA6F59" w:rsidRPr="002C1E13" w:rsidRDefault="00010A6C" w:rsidP="003E5C23">
      <w:pPr>
        <w:spacing w:line="360" w:lineRule="auto"/>
        <w:jc w:val="both"/>
        <w:rPr>
          <w:rFonts w:ascii="Arial" w:hAnsi="Arial" w:cs="Arial"/>
        </w:rPr>
      </w:pPr>
      <w:r>
        <w:rPr>
          <w:rFonts w:ascii="Arial" w:hAnsi="Arial" w:cs="Arial"/>
        </w:rPr>
        <w:t>The T</w:t>
      </w:r>
      <w:r w:rsidR="001D4C0D" w:rsidRPr="002C1E13">
        <w:rPr>
          <w:rFonts w:ascii="Arial" w:hAnsi="Arial" w:cs="Arial"/>
        </w:rPr>
        <w:t>-score bone marker plot i</w:t>
      </w:r>
      <w:r w:rsidR="00086129">
        <w:rPr>
          <w:rFonts w:ascii="Arial" w:hAnsi="Arial" w:cs="Arial"/>
        </w:rPr>
        <w:t>n figure 60</w:t>
      </w:r>
      <w:r w:rsidR="001D4C0D" w:rsidRPr="002C1E13">
        <w:rPr>
          <w:rFonts w:ascii="Arial" w:hAnsi="Arial" w:cs="Arial"/>
        </w:rPr>
        <w:t xml:space="preserve"> shows how bone turnover and</w:t>
      </w:r>
      <w:r w:rsidR="003B76AD" w:rsidRPr="002C1E13">
        <w:rPr>
          <w:rFonts w:ascii="Arial" w:hAnsi="Arial" w:cs="Arial"/>
        </w:rPr>
        <w:t xml:space="preserve"> bone balance (in the same plot</w:t>
      </w:r>
      <w:r w:rsidR="001D4C0D" w:rsidRPr="002C1E13">
        <w:rPr>
          <w:rFonts w:ascii="Arial" w:hAnsi="Arial" w:cs="Arial"/>
        </w:rPr>
        <w:t>) changes over 96 weeks of bisphosphonate treatment relative to healthy premenopausal women.</w:t>
      </w:r>
      <w:r w:rsidR="003B76AD" w:rsidRPr="002C1E13">
        <w:rPr>
          <w:rFonts w:ascii="Arial" w:hAnsi="Arial" w:cs="Arial"/>
        </w:rPr>
        <w:t xml:space="preserve"> Prior to treatment (at baseline 1) postmenopausal women with osteoporosis have a high bone turnover and a normal bone balance relative</w:t>
      </w:r>
      <w:r w:rsidR="004D2975">
        <w:rPr>
          <w:rFonts w:ascii="Arial" w:hAnsi="Arial" w:cs="Arial"/>
        </w:rPr>
        <w:t xml:space="preserve"> to healthy premenopausal women. </w:t>
      </w:r>
      <w:r w:rsidR="00071B1D" w:rsidRPr="002C1E13">
        <w:rPr>
          <w:rFonts w:ascii="Arial" w:hAnsi="Arial" w:cs="Arial"/>
        </w:rPr>
        <w:t>After 4 weeks of bisphosphonate treatment the women are in a state of normal bone turnover and a positive balance. After 96 weeks of treatment the women are in a state of low bon</w:t>
      </w:r>
      <w:r w:rsidR="004D2975">
        <w:rPr>
          <w:rFonts w:ascii="Arial" w:hAnsi="Arial" w:cs="Arial"/>
        </w:rPr>
        <w:t>e turnover and positive balance</w:t>
      </w:r>
      <w:r w:rsidR="00071B1D" w:rsidRPr="002C1E13">
        <w:rPr>
          <w:rFonts w:ascii="Arial" w:hAnsi="Arial" w:cs="Arial"/>
        </w:rPr>
        <w:t xml:space="preserve">. </w:t>
      </w:r>
    </w:p>
    <w:p w:rsidR="00AA6F59" w:rsidRDefault="008D3F43" w:rsidP="008D3F43">
      <w:pPr>
        <w:keepNext/>
        <w:jc w:val="center"/>
      </w:pPr>
      <w:r w:rsidRPr="008F22BC">
        <w:rPr>
          <w:noProof/>
          <w:lang w:eastAsia="zh-CN"/>
        </w:rPr>
        <w:lastRenderedPageBreak/>
        <mc:AlternateContent>
          <mc:Choice Requires="wps">
            <w:drawing>
              <wp:anchor distT="0" distB="0" distL="114300" distR="114300" simplePos="0" relativeHeight="250670592" behindDoc="0" locked="0" layoutInCell="1" allowOverlap="1" wp14:anchorId="4E7D139F" wp14:editId="2F66A29D">
                <wp:simplePos x="0" y="0"/>
                <wp:positionH relativeFrom="column">
                  <wp:posOffset>3804920</wp:posOffset>
                </wp:positionH>
                <wp:positionV relativeFrom="paragraph">
                  <wp:posOffset>2312035</wp:posOffset>
                </wp:positionV>
                <wp:extent cx="1538605" cy="522605"/>
                <wp:effectExtent l="0" t="0" r="0" b="0"/>
                <wp:wrapNone/>
                <wp:docPr id="18576"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2</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4E7D139F" id="_x0000_s1160" type="#_x0000_t202" style="position:absolute;left:0;text-align:left;margin-left:299.6pt;margin-top:182.05pt;width:121.15pt;height:41.15pt;z-index:25067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2</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3382144" behindDoc="0" locked="0" layoutInCell="1" allowOverlap="1" wp14:anchorId="30B0E0FA" wp14:editId="0CB3B6A8">
                <wp:simplePos x="0" y="0"/>
                <wp:positionH relativeFrom="column">
                  <wp:posOffset>2004695</wp:posOffset>
                </wp:positionH>
                <wp:positionV relativeFrom="paragraph">
                  <wp:posOffset>3150235</wp:posOffset>
                </wp:positionV>
                <wp:extent cx="1538605" cy="522605"/>
                <wp:effectExtent l="0" t="0" r="0" b="0"/>
                <wp:wrapNone/>
                <wp:docPr id="18581"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96</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30B0E0FA" id="_x0000_s1161" type="#_x0000_t202" style="position:absolute;left:0;text-align:left;margin-left:157.85pt;margin-top:248.05pt;width:121.15pt;height:41.15pt;z-index:2533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96</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0781184" behindDoc="0" locked="0" layoutInCell="1" allowOverlap="1" wp14:anchorId="65730AB8" wp14:editId="096F1DD2">
                <wp:simplePos x="0" y="0"/>
                <wp:positionH relativeFrom="column">
                  <wp:posOffset>2623820</wp:posOffset>
                </wp:positionH>
                <wp:positionV relativeFrom="paragraph">
                  <wp:posOffset>3378835</wp:posOffset>
                </wp:positionV>
                <wp:extent cx="1538605" cy="522605"/>
                <wp:effectExtent l="0" t="0" r="0" b="0"/>
                <wp:wrapNone/>
                <wp:docPr id="18579"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48</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65730AB8" id="_x0000_s1162" type="#_x0000_t202" style="position:absolute;left:0;text-align:left;margin-left:206.6pt;margin-top:266.05pt;width:121.15pt;height:41.15pt;z-index:25078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48</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0709504" behindDoc="0" locked="0" layoutInCell="1" allowOverlap="1" wp14:anchorId="06D7C720" wp14:editId="1EFED531">
                <wp:simplePos x="0" y="0"/>
                <wp:positionH relativeFrom="column">
                  <wp:posOffset>2852420</wp:posOffset>
                </wp:positionH>
                <wp:positionV relativeFrom="paragraph">
                  <wp:posOffset>3045460</wp:posOffset>
                </wp:positionV>
                <wp:extent cx="1538605" cy="522605"/>
                <wp:effectExtent l="0" t="0" r="0" b="0"/>
                <wp:wrapNone/>
                <wp:docPr id="18578"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12/13</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06D7C720" id="_x0000_s1163" type="#_x0000_t202" style="position:absolute;left:0;text-align:left;margin-left:224.6pt;margin-top:239.8pt;width:121.15pt;height:41.15pt;z-index:25070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12/13</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0690048" behindDoc="0" locked="0" layoutInCell="1" allowOverlap="1" wp14:anchorId="314585FA" wp14:editId="5331A51B">
                <wp:simplePos x="0" y="0"/>
                <wp:positionH relativeFrom="column">
                  <wp:posOffset>3481070</wp:posOffset>
                </wp:positionH>
                <wp:positionV relativeFrom="paragraph">
                  <wp:posOffset>2426335</wp:posOffset>
                </wp:positionV>
                <wp:extent cx="1538605" cy="522605"/>
                <wp:effectExtent l="0" t="0" r="0" b="0"/>
                <wp:wrapNone/>
                <wp:docPr id="18577"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4</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314585FA" id="_x0000_s1164" type="#_x0000_t202" style="position:absolute;left:0;text-align:left;margin-left:274.1pt;margin-top:191.05pt;width:121.15pt;height:41.15pt;z-index:250690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4</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0616320" behindDoc="0" locked="0" layoutInCell="1" allowOverlap="1" wp14:anchorId="3FDC2262" wp14:editId="7B1FE0AA">
                <wp:simplePos x="0" y="0"/>
                <wp:positionH relativeFrom="column">
                  <wp:posOffset>3557270</wp:posOffset>
                </wp:positionH>
                <wp:positionV relativeFrom="paragraph">
                  <wp:posOffset>2026285</wp:posOffset>
                </wp:positionV>
                <wp:extent cx="1538605" cy="522605"/>
                <wp:effectExtent l="0" t="0" r="0" b="0"/>
                <wp:wrapNone/>
                <wp:docPr id="18575"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1</w:t>
                            </w:r>
                            <w:r w:rsidRPr="00351B6E">
                              <w:rPr>
                                <w:rFonts w:ascii="Arial" w:hAnsi="Arial" w:cs="Arial"/>
                                <w:b/>
                                <w:color w:val="333D47"/>
                                <w:kern w:val="24"/>
                                <w:sz w:val="20"/>
                                <w:szCs w:val="20"/>
                              </w:rPr>
                              <w:t xml:space="preserve"> </w:t>
                            </w:r>
                          </w:p>
                        </w:txbxContent>
                      </wps:txbx>
                      <wps:bodyPr wrap="none" rtlCol="0">
                        <a:spAutoFit/>
                      </wps:bodyPr>
                    </wps:wsp>
                  </a:graphicData>
                </a:graphic>
              </wp:anchor>
            </w:drawing>
          </mc:Choice>
          <mc:Fallback>
            <w:pict>
              <v:shape w14:anchorId="3FDC2262" id="_x0000_s1165" type="#_x0000_t202" style="position:absolute;left:0;text-align:left;margin-left:280.1pt;margin-top:159.55pt;width:121.15pt;height:41.15pt;z-index:250616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" filled="f" stroked="f">
                <v:textbox style="mso-fit-shape-to-text:t">
                  <w:txbxContent>
                    <w:p w:rsidR="004166BC" w:rsidRPr="00351B6E" w:rsidRDefault="004166BC" w:rsidP="00351B6E">
                      <w:pPr>
                        <w:spacing w:after="0"/>
                        <w:textAlignment w:val="baseline"/>
                        <w:rPr>
                          <w:b/>
                          <w:sz w:val="20"/>
                          <w:szCs w:val="20"/>
                        </w:rPr>
                      </w:pPr>
                      <w:r>
                        <w:rPr>
                          <w:rFonts w:ascii="Arial" w:hAnsi="Arial" w:cs="Arial"/>
                          <w:b/>
                          <w:color w:val="333D47"/>
                          <w:kern w:val="24"/>
                          <w:sz w:val="20"/>
                          <w:szCs w:val="20"/>
                        </w:rPr>
                        <w:t>Week 1</w:t>
                      </w:r>
                      <w:r w:rsidRPr="00351B6E">
                        <w:rPr>
                          <w:rFonts w:ascii="Arial" w:hAnsi="Arial" w:cs="Arial"/>
                          <w:b/>
                          <w:color w:val="333D47"/>
                          <w:kern w:val="24"/>
                          <w:sz w:val="20"/>
                          <w:szCs w:val="20"/>
                        </w:rPr>
                        <w:t xml:space="preserve"> </w:t>
                      </w:r>
                    </w:p>
                  </w:txbxContent>
                </v:textbox>
              </v:shape>
            </w:pict>
          </mc:Fallback>
        </mc:AlternateContent>
      </w:r>
      <w:r w:rsidR="00351B6E" w:rsidRPr="008F22BC">
        <w:rPr>
          <w:noProof/>
          <w:lang w:eastAsia="zh-CN"/>
        </w:rPr>
        <mc:AlternateContent>
          <mc:Choice Requires="wps">
            <w:drawing>
              <wp:anchor distT="0" distB="0" distL="114300" distR="114300" simplePos="0" relativeHeight="250596864" behindDoc="0" locked="0" layoutInCell="1" allowOverlap="1" wp14:anchorId="10FADC83" wp14:editId="02EA3FB9">
                <wp:simplePos x="0" y="0"/>
                <wp:positionH relativeFrom="column">
                  <wp:posOffset>2814320</wp:posOffset>
                </wp:positionH>
                <wp:positionV relativeFrom="paragraph">
                  <wp:posOffset>1616710</wp:posOffset>
                </wp:positionV>
                <wp:extent cx="1538605" cy="522605"/>
                <wp:effectExtent l="0" t="0" r="0" b="0"/>
                <wp:wrapNone/>
                <wp:docPr id="18569"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351B6E" w:rsidRDefault="004166BC" w:rsidP="00351B6E">
                            <w:pPr>
                              <w:spacing w:after="0"/>
                              <w:textAlignment w:val="baseline"/>
                              <w:rPr>
                                <w:b/>
                                <w:sz w:val="20"/>
                                <w:szCs w:val="20"/>
                              </w:rPr>
                            </w:pPr>
                            <w:r w:rsidRPr="00351B6E">
                              <w:rPr>
                                <w:rFonts w:ascii="Arial" w:hAnsi="Arial" w:cs="Arial"/>
                                <w:b/>
                                <w:color w:val="333D47"/>
                                <w:kern w:val="24"/>
                                <w:sz w:val="20"/>
                                <w:szCs w:val="20"/>
                              </w:rPr>
                              <w:t xml:space="preserve">BL2 </w:t>
                            </w:r>
                          </w:p>
                        </w:txbxContent>
                      </wps:txbx>
                      <wps:bodyPr wrap="none" rtlCol="0">
                        <a:spAutoFit/>
                      </wps:bodyPr>
                    </wps:wsp>
                  </a:graphicData>
                </a:graphic>
              </wp:anchor>
            </w:drawing>
          </mc:Choice>
          <mc:Fallback>
            <w:pict>
              <v:shape w14:anchorId="10FADC83" id="_x0000_s1166" type="#_x0000_t202" style="position:absolute;left:0;text-align:left;margin-left:221.6pt;margin-top:127.3pt;width:121.15pt;height:41.15pt;z-index:250596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" filled="f" stroked="f">
                <v:textbox style="mso-fit-shape-to-text:t">
                  <w:txbxContent>
                    <w:p w:rsidR="004166BC" w:rsidRPr="00351B6E" w:rsidRDefault="004166BC" w:rsidP="00351B6E">
                      <w:pPr>
                        <w:spacing w:after="0"/>
                        <w:textAlignment w:val="baseline"/>
                        <w:rPr>
                          <w:b/>
                          <w:sz w:val="20"/>
                          <w:szCs w:val="20"/>
                        </w:rPr>
                      </w:pPr>
                      <w:r w:rsidRPr="00351B6E">
                        <w:rPr>
                          <w:rFonts w:ascii="Arial" w:hAnsi="Arial" w:cs="Arial"/>
                          <w:b/>
                          <w:color w:val="333D47"/>
                          <w:kern w:val="24"/>
                          <w:sz w:val="20"/>
                          <w:szCs w:val="20"/>
                        </w:rPr>
                        <w:t xml:space="preserve">BL2 </w:t>
                      </w:r>
                    </w:p>
                  </w:txbxContent>
                </v:textbox>
              </v:shape>
            </w:pict>
          </mc:Fallback>
        </mc:AlternateContent>
      </w:r>
      <w:r w:rsidR="003B76AD" w:rsidRPr="003C0656">
        <w:rPr>
          <w:rFonts w:ascii="Arial" w:hAnsi="Arial" w:cs="Arial"/>
          <w:b/>
          <w:noProof/>
          <w:lang w:eastAsia="zh-CN"/>
        </w:rPr>
        <mc:AlternateContent>
          <mc:Choice Requires="wps">
            <w:drawing>
              <wp:anchor distT="45720" distB="45720" distL="114300" distR="114300" simplePos="0" relativeHeight="250577408" behindDoc="0" locked="0" layoutInCell="1" allowOverlap="1" wp14:anchorId="6F9B3D2C" wp14:editId="3186BE31">
                <wp:simplePos x="0" y="0"/>
                <wp:positionH relativeFrom="column">
                  <wp:posOffset>272151</wp:posOffset>
                </wp:positionH>
                <wp:positionV relativeFrom="paragraph">
                  <wp:posOffset>1154430</wp:posOffset>
                </wp:positionV>
                <wp:extent cx="342900" cy="1838325"/>
                <wp:effectExtent l="0" t="0" r="0" b="9525"/>
                <wp:wrapSquare wrapText="bothSides"/>
                <wp:docPr id="18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838325"/>
                        </a:xfrm>
                        <a:prstGeom prst="rect">
                          <a:avLst/>
                        </a:prstGeom>
                        <a:solidFill>
                          <a:srgbClr val="FFFFFF"/>
                        </a:solidFill>
                        <a:ln w="9525">
                          <a:noFill/>
                          <a:miter lim="800000"/>
                          <a:headEnd/>
                          <a:tailEnd/>
                        </a:ln>
                      </wps:spPr>
                      <wps:txbx>
                        <w:txbxContent>
                          <w:p w:rsidR="004166BC" w:rsidRPr="001F602B" w:rsidRDefault="004166BC" w:rsidP="001F602B">
                            <w:pPr>
                              <w:rPr>
                                <w:rFonts w:ascii="Arial" w:hAnsi="Arial" w:cs="Arial"/>
                                <w:sz w:val="18"/>
                                <w:szCs w:val="18"/>
                              </w:rPr>
                            </w:pPr>
                            <w:r>
                              <w:rPr>
                                <w:rFonts w:ascii="Arial" w:hAnsi="Arial" w:cs="Arial"/>
                                <w:sz w:val="18"/>
                                <w:szCs w:val="18"/>
                              </w:rPr>
                              <w:t>Bone turnover, (T</w:t>
                            </w:r>
                            <w:r w:rsidRPr="001F602B">
                              <w:rPr>
                                <w:rFonts w:ascii="Arial" w:hAnsi="Arial" w:cs="Arial"/>
                                <w:sz w:val="18"/>
                                <w:szCs w:val="18"/>
                                <w:vertAlign w:val="subscript"/>
                              </w:rPr>
                              <w:t>PINP</w:t>
                            </w:r>
                            <w:r>
                              <w:rPr>
                                <w:rFonts w:ascii="Arial" w:hAnsi="Arial" w:cs="Arial"/>
                                <w:sz w:val="18"/>
                                <w:szCs w:val="18"/>
                              </w:rPr>
                              <w:t xml:space="preserve"> + T</w:t>
                            </w:r>
                            <w:r w:rsidRPr="001F602B">
                              <w:rPr>
                                <w:rFonts w:ascii="Arial" w:hAnsi="Arial" w:cs="Arial"/>
                                <w:sz w:val="18"/>
                                <w:szCs w:val="18"/>
                                <w:vertAlign w:val="subscript"/>
                              </w:rPr>
                              <w:t>CTX</w:t>
                            </w:r>
                            <w:r w:rsidRPr="001F602B">
                              <w:rPr>
                                <w:rFonts w:ascii="Arial" w:hAnsi="Arial" w:cs="Arial"/>
                                <w:sz w:val="18"/>
                                <w:szCs w:val="18"/>
                              </w:rP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B3D2C" id="_x0000_s1167" type="#_x0000_t202" style="position:absolute;left:0;text-align:left;margin-left:21.45pt;margin-top:90.9pt;width:27pt;height:144.75pt;z-index:25057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" stroked="f">
                <v:textbox style="layout-flow:vertical;mso-layout-flow-alt:bottom-to-top">
                  <w:txbxContent>
                    <w:p w:rsidR="004166BC" w:rsidRPr="001F602B" w:rsidRDefault="004166BC" w:rsidP="001F602B">
                      <w:pPr>
                        <w:rPr>
                          <w:rFonts w:ascii="Arial" w:hAnsi="Arial" w:cs="Arial"/>
                          <w:sz w:val="18"/>
                          <w:szCs w:val="18"/>
                        </w:rPr>
                      </w:pPr>
                      <w:r>
                        <w:rPr>
                          <w:rFonts w:ascii="Arial" w:hAnsi="Arial" w:cs="Arial"/>
                          <w:sz w:val="18"/>
                          <w:szCs w:val="18"/>
                        </w:rPr>
                        <w:t>Bone turnover, (T</w:t>
                      </w:r>
                      <w:r w:rsidRPr="001F602B">
                        <w:rPr>
                          <w:rFonts w:ascii="Arial" w:hAnsi="Arial" w:cs="Arial"/>
                          <w:sz w:val="18"/>
                          <w:szCs w:val="18"/>
                          <w:vertAlign w:val="subscript"/>
                        </w:rPr>
                        <w:t>PINP</w:t>
                      </w:r>
                      <w:r>
                        <w:rPr>
                          <w:rFonts w:ascii="Arial" w:hAnsi="Arial" w:cs="Arial"/>
                          <w:sz w:val="18"/>
                          <w:szCs w:val="18"/>
                        </w:rPr>
                        <w:t xml:space="preserve"> + T</w:t>
                      </w:r>
                      <w:r w:rsidRPr="001F602B">
                        <w:rPr>
                          <w:rFonts w:ascii="Arial" w:hAnsi="Arial" w:cs="Arial"/>
                          <w:sz w:val="18"/>
                          <w:szCs w:val="18"/>
                          <w:vertAlign w:val="subscript"/>
                        </w:rPr>
                        <w:t>CTX</w:t>
                      </w:r>
                      <w:r w:rsidRPr="001F602B">
                        <w:rPr>
                          <w:rFonts w:ascii="Arial" w:hAnsi="Arial" w:cs="Arial"/>
                          <w:sz w:val="18"/>
                          <w:szCs w:val="18"/>
                        </w:rPr>
                        <w:t>)/2</w:t>
                      </w:r>
                    </w:p>
                  </w:txbxContent>
                </v:textbox>
                <w10:wrap type="square"/>
              </v:shape>
            </w:pict>
          </mc:Fallback>
        </mc:AlternateContent>
      </w:r>
      <w:r w:rsidR="001F602B" w:rsidRPr="008F22BC">
        <w:rPr>
          <w:noProof/>
          <w:lang w:eastAsia="zh-CN"/>
        </w:rPr>
        <mc:AlternateContent>
          <mc:Choice Requires="wps">
            <w:drawing>
              <wp:anchor distT="0" distB="0" distL="114300" distR="114300" simplePos="0" relativeHeight="250503680" behindDoc="0" locked="0" layoutInCell="1" allowOverlap="1" wp14:anchorId="193B3C4A" wp14:editId="1084983C">
                <wp:simplePos x="0" y="0"/>
                <wp:positionH relativeFrom="column">
                  <wp:posOffset>435610</wp:posOffset>
                </wp:positionH>
                <wp:positionV relativeFrom="paragraph">
                  <wp:posOffset>4062730</wp:posOffset>
                </wp:positionV>
                <wp:extent cx="1567815" cy="522605"/>
                <wp:effectExtent l="0" t="0" r="0" b="0"/>
                <wp:wrapNone/>
                <wp:docPr id="18546" name="TextBox 19"/>
                <wp:cNvGraphicFramePr/>
                <a:graphic xmlns:a="http://schemas.openxmlformats.org/drawingml/2006/main">
                  <a:graphicData uri="http://schemas.microsoft.com/office/word/2010/wordprocessingShape">
                    <wps:wsp>
                      <wps:cNvSpPr txBox="1"/>
                      <wps:spPr>
                        <a:xfrm>
                          <a:off x="0" y="0"/>
                          <a:ext cx="1567815" cy="522605"/>
                        </a:xfrm>
                        <a:prstGeom prst="rect">
                          <a:avLst/>
                        </a:prstGeom>
                        <a:noFill/>
                      </wps:spPr>
                      <wps:txbx>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Negative balance</w:t>
                            </w:r>
                          </w:p>
                        </w:txbxContent>
                      </wps:txbx>
                      <wps:bodyPr wrap="none" rtlCol="0">
                        <a:spAutoFit/>
                      </wps:bodyPr>
                    </wps:wsp>
                  </a:graphicData>
                </a:graphic>
              </wp:anchor>
            </w:drawing>
          </mc:Choice>
          <mc:Fallback>
            <w:pict>
              <v:shape w14:anchorId="193B3C4A" id="_x0000_s1168" type="#_x0000_t202" style="position:absolute;left:0;text-align:left;margin-left:34.3pt;margin-top:319.9pt;width:123.45pt;height:41.15pt;z-index:250503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" filled="f" stroked="f">
                <v:textbox style="mso-fit-shape-to-text:t">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Negative balance</w:t>
                      </w:r>
                    </w:p>
                  </w:txbxContent>
                </v:textbox>
              </v:shape>
            </w:pict>
          </mc:Fallback>
        </mc:AlternateContent>
      </w:r>
      <w:r w:rsidR="001F602B" w:rsidRPr="008F22BC">
        <w:rPr>
          <w:noProof/>
          <w:lang w:eastAsia="zh-CN"/>
        </w:rPr>
        <mc:AlternateContent>
          <mc:Choice Requires="wps">
            <w:drawing>
              <wp:anchor distT="0" distB="0" distL="114300" distR="114300" simplePos="0" relativeHeight="250523136" behindDoc="0" locked="0" layoutInCell="1" allowOverlap="1" wp14:anchorId="49D0F5DC" wp14:editId="7074DE5F">
                <wp:simplePos x="0" y="0"/>
                <wp:positionH relativeFrom="column">
                  <wp:posOffset>3628390</wp:posOffset>
                </wp:positionH>
                <wp:positionV relativeFrom="paragraph">
                  <wp:posOffset>4071991</wp:posOffset>
                </wp:positionV>
                <wp:extent cx="1538605" cy="522605"/>
                <wp:effectExtent l="0" t="0" r="0" b="0"/>
                <wp:wrapNone/>
                <wp:docPr id="18547" name="TextBox 25"/>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Positive balance </w:t>
                            </w:r>
                          </w:p>
                        </w:txbxContent>
                      </wps:txbx>
                      <wps:bodyPr wrap="none" rtlCol="0">
                        <a:spAutoFit/>
                      </wps:bodyPr>
                    </wps:wsp>
                  </a:graphicData>
                </a:graphic>
              </wp:anchor>
            </w:drawing>
          </mc:Choice>
          <mc:Fallback>
            <w:pict>
              <v:shape w14:anchorId="49D0F5DC" id="_x0000_s1169" type="#_x0000_t202" style="position:absolute;left:0;text-align:left;margin-left:285.7pt;margin-top:320.65pt;width:121.15pt;height:41.15pt;z-index:250523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" filled="f" stroked="f">
                <v:textbox style="mso-fit-shape-to-text:t">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Low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Positive balance </w:t>
                      </w:r>
                    </w:p>
                  </w:txbxContent>
                </v:textbox>
              </v:shape>
            </w:pict>
          </mc:Fallback>
        </mc:AlternateContent>
      </w:r>
      <w:r w:rsidR="001F602B" w:rsidRPr="008F22BC">
        <w:rPr>
          <w:noProof/>
          <w:lang w:eastAsia="zh-CN"/>
        </w:rPr>
        <mc:AlternateContent>
          <mc:Choice Requires="wps">
            <w:drawing>
              <wp:anchor distT="0" distB="0" distL="114300" distR="114300" simplePos="0" relativeHeight="250484224" behindDoc="0" locked="0" layoutInCell="1" allowOverlap="1" wp14:anchorId="4E83E077" wp14:editId="34471C1C">
                <wp:simplePos x="0" y="0"/>
                <wp:positionH relativeFrom="column">
                  <wp:posOffset>3736340</wp:posOffset>
                </wp:positionH>
                <wp:positionV relativeFrom="paragraph">
                  <wp:posOffset>298450</wp:posOffset>
                </wp:positionV>
                <wp:extent cx="1538605" cy="522605"/>
                <wp:effectExtent l="0" t="0" r="0" b="0"/>
                <wp:wrapNone/>
                <wp:docPr id="18545"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Positive balance </w:t>
                            </w:r>
                          </w:p>
                        </w:txbxContent>
                      </wps:txbx>
                      <wps:bodyPr wrap="none" rtlCol="0">
                        <a:spAutoFit/>
                      </wps:bodyPr>
                    </wps:wsp>
                  </a:graphicData>
                </a:graphic>
              </wp:anchor>
            </w:drawing>
          </mc:Choice>
          <mc:Fallback>
            <w:pict>
              <v:shape w14:anchorId="4E83E077" id="_x0000_s1170" type="#_x0000_t202" style="position:absolute;left:0;text-align:left;margin-left:294.2pt;margin-top:23.5pt;width:121.15pt;height:41.15pt;z-index:250484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" filled="f" stroked="f">
                <v:textbox style="mso-fit-shape-to-text:t">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Positive balance </w:t>
                      </w:r>
                    </w:p>
                  </w:txbxContent>
                </v:textbox>
              </v:shape>
            </w:pict>
          </mc:Fallback>
        </mc:AlternateContent>
      </w:r>
      <w:r w:rsidR="001F602B" w:rsidRPr="008F22BC">
        <w:rPr>
          <w:noProof/>
          <w:lang w:eastAsia="zh-CN"/>
        </w:rPr>
        <mc:AlternateContent>
          <mc:Choice Requires="wps">
            <w:drawing>
              <wp:anchor distT="0" distB="0" distL="114300" distR="114300" simplePos="0" relativeHeight="250278400" behindDoc="0" locked="0" layoutInCell="1" allowOverlap="1" wp14:anchorId="270E20B6" wp14:editId="6409A4FB">
                <wp:simplePos x="0" y="0"/>
                <wp:positionH relativeFrom="column">
                  <wp:posOffset>441061</wp:posOffset>
                </wp:positionH>
                <wp:positionV relativeFrom="paragraph">
                  <wp:posOffset>305435</wp:posOffset>
                </wp:positionV>
                <wp:extent cx="1617345" cy="522605"/>
                <wp:effectExtent l="0" t="0" r="0" b="0"/>
                <wp:wrapNone/>
                <wp:docPr id="18544" name="TextBox 6"/>
                <wp:cNvGraphicFramePr/>
                <a:graphic xmlns:a="http://schemas.openxmlformats.org/drawingml/2006/main">
                  <a:graphicData uri="http://schemas.microsoft.com/office/word/2010/wordprocessingShape">
                    <wps:wsp>
                      <wps:cNvSpPr txBox="1"/>
                      <wps:spPr>
                        <a:xfrm>
                          <a:off x="0" y="0"/>
                          <a:ext cx="1617345" cy="522605"/>
                        </a:xfrm>
                        <a:prstGeom prst="rect">
                          <a:avLst/>
                        </a:prstGeom>
                        <a:noFill/>
                      </wps:spPr>
                      <wps:txbx>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Negative balance </w:t>
                            </w:r>
                          </w:p>
                        </w:txbxContent>
                      </wps:txbx>
                      <wps:bodyPr wrap="none" rtlCol="0">
                        <a:spAutoFit/>
                      </wps:bodyPr>
                    </wps:wsp>
                  </a:graphicData>
                </a:graphic>
              </wp:anchor>
            </w:drawing>
          </mc:Choice>
          <mc:Fallback>
            <w:pict>
              <v:shape w14:anchorId="270E20B6" id="_x0000_s1171" type="#_x0000_t202" style="position:absolute;left:0;text-align:left;margin-left:34.75pt;margin-top:24.05pt;width:127.35pt;height:41.15pt;z-index:250278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" filled="f" stroked="f">
                <v:textbox style="mso-fit-shape-to-text:t">
                  <w:txbxContent>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High turnover</w:t>
                      </w:r>
                    </w:p>
                    <w:p w:rsidR="004166BC" w:rsidRPr="00B957ED" w:rsidRDefault="004166BC" w:rsidP="008F22BC">
                      <w:pPr>
                        <w:spacing w:after="0"/>
                        <w:textAlignment w:val="baseline"/>
                        <w:rPr>
                          <w:sz w:val="16"/>
                          <w:szCs w:val="16"/>
                        </w:rPr>
                      </w:pPr>
                      <w:r w:rsidRPr="00B957ED">
                        <w:rPr>
                          <w:rFonts w:ascii="Arial" w:hAnsi="Arial" w:cs="Arial"/>
                          <w:color w:val="333D47"/>
                          <w:kern w:val="24"/>
                          <w:sz w:val="16"/>
                          <w:szCs w:val="16"/>
                        </w:rPr>
                        <w:t xml:space="preserve">Negative balance </w:t>
                      </w:r>
                    </w:p>
                  </w:txbxContent>
                </v:textbox>
              </v:shape>
            </w:pict>
          </mc:Fallback>
        </mc:AlternateContent>
      </w:r>
      <w:r w:rsidR="00825B7A">
        <w:rPr>
          <w:b/>
          <w:noProof/>
          <w:lang w:eastAsia="zh-CN"/>
        </w:rPr>
        <w:drawing>
          <wp:inline distT="0" distB="0" distL="0" distR="0" wp14:anchorId="610B1A3B" wp14:editId="01FA3C9A">
            <wp:extent cx="4746525" cy="4762500"/>
            <wp:effectExtent l="0" t="0" r="0" b="0"/>
            <wp:docPr id="18528" name="Picture 1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All_case.png"/>
                    <pic:cNvPicPr/>
                  </pic:nvPicPr>
                  <pic:blipFill rotWithShape="1">
                    <a:blip r:embed="rId167" cstate="print">
                      <a:extLst>
                        <a:ext uri="{28A0092B-C50C-407E-A947-70E740481C1C}">
                          <a14:useLocalDpi xmlns:a14="http://schemas.microsoft.com/office/drawing/2010/main" val="0"/>
                        </a:ext>
                      </a:extLst>
                    </a:blip>
                    <a:srcRect l="5943" b="5627"/>
                    <a:stretch/>
                  </pic:blipFill>
                  <pic:spPr bwMode="auto">
                    <a:xfrm>
                      <a:off x="0" y="0"/>
                      <a:ext cx="4746525" cy="4762500"/>
                    </a:xfrm>
                    <a:prstGeom prst="rect">
                      <a:avLst/>
                    </a:prstGeom>
                    <a:ln>
                      <a:noFill/>
                    </a:ln>
                    <a:extLst>
                      <a:ext uri="{53640926-AAD7-44D8-BBD7-CCE9431645EC}">
                        <a14:shadowObscured xmlns:a14="http://schemas.microsoft.com/office/drawing/2010/main"/>
                      </a:ext>
                    </a:extLst>
                  </pic:spPr>
                </pic:pic>
              </a:graphicData>
            </a:graphic>
          </wp:inline>
        </w:drawing>
      </w:r>
    </w:p>
    <w:p w:rsidR="004D2975" w:rsidRDefault="001F602B" w:rsidP="00900F2C">
      <w:pPr>
        <w:pStyle w:val="Caption"/>
      </w:pPr>
      <w:r w:rsidRPr="003C0656">
        <w:rPr>
          <w:rFonts w:ascii="Arial" w:hAnsi="Arial" w:cs="Arial"/>
          <w:b w:val="0"/>
          <w:noProof/>
          <w:lang w:eastAsia="zh-CN"/>
        </w:rPr>
        <mc:AlternateContent>
          <mc:Choice Requires="wps">
            <w:drawing>
              <wp:anchor distT="45720" distB="45720" distL="114300" distR="114300" simplePos="0" relativeHeight="250928640" behindDoc="0" locked="0" layoutInCell="1" allowOverlap="1" wp14:anchorId="1CA40EBB" wp14:editId="5CD5D088">
                <wp:simplePos x="0" y="0"/>
                <wp:positionH relativeFrom="column">
                  <wp:posOffset>1838960</wp:posOffset>
                </wp:positionH>
                <wp:positionV relativeFrom="paragraph">
                  <wp:posOffset>54981</wp:posOffset>
                </wp:positionV>
                <wp:extent cx="1809750" cy="266700"/>
                <wp:effectExtent l="0" t="0" r="0" b="0"/>
                <wp:wrapSquare wrapText="bothSides"/>
                <wp:docPr id="185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66700"/>
                        </a:xfrm>
                        <a:prstGeom prst="rect">
                          <a:avLst/>
                        </a:prstGeom>
                        <a:solidFill>
                          <a:srgbClr val="FFFFFF"/>
                        </a:solidFill>
                        <a:ln w="9525">
                          <a:noFill/>
                          <a:miter lim="800000"/>
                          <a:headEnd/>
                          <a:tailEnd/>
                        </a:ln>
                      </wps:spPr>
                      <wps:txbx>
                        <w:txbxContent>
                          <w:p w:rsidR="004166BC" w:rsidRPr="001F602B" w:rsidRDefault="004166BC" w:rsidP="001F602B">
                            <w:pPr>
                              <w:rPr>
                                <w:rFonts w:ascii="Arial" w:hAnsi="Arial" w:cs="Arial"/>
                                <w:sz w:val="18"/>
                                <w:szCs w:val="18"/>
                              </w:rPr>
                            </w:pPr>
                            <w:r>
                              <w:rPr>
                                <w:rFonts w:ascii="Arial" w:hAnsi="Arial" w:cs="Arial"/>
                                <w:sz w:val="18"/>
                                <w:szCs w:val="18"/>
                              </w:rPr>
                              <w:t>Bone balance, T</w:t>
                            </w:r>
                            <w:r w:rsidRPr="001F602B">
                              <w:rPr>
                                <w:rFonts w:ascii="Arial" w:hAnsi="Arial" w:cs="Arial"/>
                                <w:sz w:val="18"/>
                                <w:szCs w:val="18"/>
                                <w:vertAlign w:val="subscript"/>
                              </w:rPr>
                              <w:t>PINP</w:t>
                            </w:r>
                            <w:r w:rsidRPr="001F602B">
                              <w:rPr>
                                <w:rFonts w:ascii="Arial" w:hAnsi="Arial" w:cs="Arial"/>
                                <w:sz w:val="18"/>
                                <w:szCs w:val="18"/>
                              </w:rPr>
                              <w:t xml:space="preserve"> - </w:t>
                            </w:r>
                            <w:r>
                              <w:rPr>
                                <w:rFonts w:ascii="Arial" w:hAnsi="Arial" w:cs="Arial"/>
                                <w:sz w:val="18"/>
                                <w:szCs w:val="18"/>
                              </w:rPr>
                              <w:t>T</w:t>
                            </w:r>
                            <w:r w:rsidRPr="001F602B">
                              <w:rPr>
                                <w:rFonts w:ascii="Arial" w:hAnsi="Arial" w:cs="Arial"/>
                                <w:sz w:val="18"/>
                                <w:szCs w:val="18"/>
                                <w:vertAlign w:val="subscript"/>
                              </w:rPr>
                              <w:t>CTX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40EBB" id="_x0000_s1172" type="#_x0000_t202" style="position:absolute;margin-left:144.8pt;margin-top:4.35pt;width:142.5pt;height:21pt;z-index:25092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" stroked="f">
                <v:textbox>
                  <w:txbxContent>
                    <w:p w:rsidR="004166BC" w:rsidRPr="001F602B" w:rsidRDefault="004166BC" w:rsidP="001F602B">
                      <w:pPr>
                        <w:rPr>
                          <w:rFonts w:ascii="Arial" w:hAnsi="Arial" w:cs="Arial"/>
                          <w:sz w:val="18"/>
                          <w:szCs w:val="18"/>
                        </w:rPr>
                      </w:pPr>
                      <w:r>
                        <w:rPr>
                          <w:rFonts w:ascii="Arial" w:hAnsi="Arial" w:cs="Arial"/>
                          <w:sz w:val="18"/>
                          <w:szCs w:val="18"/>
                        </w:rPr>
                        <w:t>Bone balance, T</w:t>
                      </w:r>
                      <w:r w:rsidRPr="001F602B">
                        <w:rPr>
                          <w:rFonts w:ascii="Arial" w:hAnsi="Arial" w:cs="Arial"/>
                          <w:sz w:val="18"/>
                          <w:szCs w:val="18"/>
                          <w:vertAlign w:val="subscript"/>
                        </w:rPr>
                        <w:t>PINP</w:t>
                      </w:r>
                      <w:r w:rsidRPr="001F602B">
                        <w:rPr>
                          <w:rFonts w:ascii="Arial" w:hAnsi="Arial" w:cs="Arial"/>
                          <w:sz w:val="18"/>
                          <w:szCs w:val="18"/>
                        </w:rPr>
                        <w:t xml:space="preserve"> - </w:t>
                      </w:r>
                      <w:r>
                        <w:rPr>
                          <w:rFonts w:ascii="Arial" w:hAnsi="Arial" w:cs="Arial"/>
                          <w:sz w:val="18"/>
                          <w:szCs w:val="18"/>
                        </w:rPr>
                        <w:t>T</w:t>
                      </w:r>
                      <w:r w:rsidRPr="001F602B">
                        <w:rPr>
                          <w:rFonts w:ascii="Arial" w:hAnsi="Arial" w:cs="Arial"/>
                          <w:sz w:val="18"/>
                          <w:szCs w:val="18"/>
                          <w:vertAlign w:val="subscript"/>
                        </w:rPr>
                        <w:t>CTX</w:t>
                      </w:r>
                    </w:p>
                  </w:txbxContent>
                </v:textbox>
                <w10:wrap type="square"/>
              </v:shape>
            </w:pict>
          </mc:Fallback>
        </mc:AlternateContent>
      </w:r>
    </w:p>
    <w:p w:rsidR="004D2975" w:rsidRDefault="004D2975" w:rsidP="003E5C23">
      <w:pPr>
        <w:pStyle w:val="Caption"/>
        <w:jc w:val="both"/>
      </w:pPr>
    </w:p>
    <w:p w:rsidR="00E477F8" w:rsidRDefault="00AA6F59" w:rsidP="003E5C23">
      <w:pPr>
        <w:pStyle w:val="Caption"/>
        <w:jc w:val="both"/>
      </w:pPr>
      <w:bookmarkStart w:id="214" w:name="_Toc425419543"/>
      <w:r w:rsidRPr="00E477F8">
        <w:rPr>
          <w:rFonts w:ascii="Arial" w:hAnsi="Arial" w:cs="Arial"/>
          <w:b w:val="0"/>
          <w:color w:val="auto"/>
        </w:rPr>
        <w:t xml:space="preserve">Figure </w:t>
      </w:r>
      <w:r w:rsidR="004A30AF" w:rsidRPr="00E477F8">
        <w:rPr>
          <w:rFonts w:ascii="Arial" w:hAnsi="Arial" w:cs="Arial"/>
          <w:b w:val="0"/>
          <w:color w:val="auto"/>
        </w:rPr>
        <w:fldChar w:fldCharType="begin"/>
      </w:r>
      <w:r w:rsidR="004A30AF" w:rsidRPr="00E477F8">
        <w:rPr>
          <w:rFonts w:ascii="Arial" w:hAnsi="Arial" w:cs="Arial"/>
          <w:b w:val="0"/>
          <w:color w:val="auto"/>
        </w:rPr>
        <w:instrText xml:space="preserve"> SEQ Figure \* ARABIC </w:instrText>
      </w:r>
      <w:r w:rsidR="004A30AF" w:rsidRPr="00E477F8">
        <w:rPr>
          <w:rFonts w:ascii="Arial" w:hAnsi="Arial" w:cs="Arial"/>
          <w:b w:val="0"/>
          <w:color w:val="auto"/>
        </w:rPr>
        <w:fldChar w:fldCharType="separate"/>
      </w:r>
      <w:r w:rsidR="0040369A">
        <w:rPr>
          <w:rFonts w:ascii="Arial" w:hAnsi="Arial" w:cs="Arial"/>
          <w:b w:val="0"/>
          <w:noProof/>
          <w:color w:val="auto"/>
        </w:rPr>
        <w:t>54</w:t>
      </w:r>
      <w:r w:rsidR="004A30AF" w:rsidRPr="00E477F8">
        <w:rPr>
          <w:rFonts w:ascii="Arial" w:hAnsi="Arial" w:cs="Arial"/>
          <w:b w:val="0"/>
          <w:noProof/>
          <w:color w:val="auto"/>
        </w:rPr>
        <w:fldChar w:fldCharType="end"/>
      </w:r>
      <w:r w:rsidRPr="00E477F8">
        <w:rPr>
          <w:rFonts w:ascii="Arial" w:hAnsi="Arial" w:cs="Arial"/>
          <w:b w:val="0"/>
          <w:color w:val="auto"/>
        </w:rPr>
        <w:t xml:space="preserve">: </w:t>
      </w:r>
      <w:r w:rsidR="00010A6C">
        <w:rPr>
          <w:rFonts w:ascii="Arial" w:hAnsi="Arial" w:cs="Arial"/>
          <w:b w:val="0"/>
          <w:color w:val="auto"/>
        </w:rPr>
        <w:t>T</w:t>
      </w:r>
      <w:r w:rsidRPr="00E477F8">
        <w:rPr>
          <w:rFonts w:ascii="Arial" w:hAnsi="Arial" w:cs="Arial"/>
          <w:b w:val="0"/>
          <w:color w:val="auto"/>
        </w:rPr>
        <w:t xml:space="preserve">-score bone marker plots for postmenopausal </w:t>
      </w:r>
      <w:r w:rsidR="00347B9D">
        <w:rPr>
          <w:rFonts w:ascii="Arial" w:hAnsi="Arial" w:cs="Arial"/>
          <w:b w:val="0"/>
          <w:color w:val="auto"/>
        </w:rPr>
        <w:t>women receiving</w:t>
      </w:r>
      <w:r w:rsidR="0002341B" w:rsidRPr="00E477F8">
        <w:rPr>
          <w:rFonts w:ascii="Arial" w:hAnsi="Arial" w:cs="Arial"/>
          <w:b w:val="0"/>
          <w:color w:val="auto"/>
        </w:rPr>
        <w:t xml:space="preserve"> bisphosphonate treatment (groups </w:t>
      </w:r>
      <w:r w:rsidR="0002341B">
        <w:rPr>
          <w:rFonts w:ascii="Arial" w:hAnsi="Arial" w:cs="Arial"/>
          <w:b w:val="0"/>
          <w:color w:val="auto"/>
        </w:rPr>
        <w:t>combined) represented by the blue line. The blue circles represent the centre of the ellipses for each visit starting from baseline. The red ellipse represents premenopausal women.</w:t>
      </w:r>
      <w:bookmarkEnd w:id="214"/>
      <w:r w:rsidR="0002341B">
        <w:rPr>
          <w:rFonts w:ascii="Arial" w:hAnsi="Arial" w:cs="Arial"/>
          <w:b w:val="0"/>
          <w:color w:val="auto"/>
        </w:rPr>
        <w:t xml:space="preserve"> </w:t>
      </w:r>
    </w:p>
    <w:p w:rsidR="00744786" w:rsidRPr="002C1E13" w:rsidRDefault="00744786" w:rsidP="003E5C23">
      <w:pPr>
        <w:spacing w:line="360" w:lineRule="auto"/>
        <w:jc w:val="both"/>
        <w:rPr>
          <w:rFonts w:ascii="Arial" w:hAnsi="Arial" w:cs="Arial"/>
        </w:rPr>
      </w:pPr>
      <w:r w:rsidRPr="002C1E13">
        <w:rPr>
          <w:rFonts w:ascii="Arial" w:hAnsi="Arial" w:cs="Arial"/>
        </w:rPr>
        <w:lastRenderedPageBreak/>
        <w:t>T</w:t>
      </w:r>
      <w:r w:rsidR="00010A6C">
        <w:rPr>
          <w:rFonts w:ascii="Arial" w:hAnsi="Arial" w:cs="Arial"/>
        </w:rPr>
        <w:t>he T</w:t>
      </w:r>
      <w:r w:rsidRPr="002C1E13">
        <w:rPr>
          <w:rFonts w:ascii="Arial" w:hAnsi="Arial" w:cs="Arial"/>
        </w:rPr>
        <w:t>-scores for PINP and CTX were calculated and plotted</w:t>
      </w:r>
      <w:r w:rsidR="009E21C7" w:rsidRPr="002C1E13">
        <w:rPr>
          <w:rFonts w:ascii="Arial" w:hAnsi="Arial" w:cs="Arial"/>
        </w:rPr>
        <w:t xml:space="preserve"> for ibandronate, alendronate and risedronate </w:t>
      </w:r>
      <w:r w:rsidRPr="002C1E13">
        <w:rPr>
          <w:rFonts w:ascii="Arial" w:hAnsi="Arial" w:cs="Arial"/>
        </w:rPr>
        <w:t>at each visit, (Figure</w:t>
      </w:r>
      <w:r w:rsidR="00086129">
        <w:rPr>
          <w:rFonts w:ascii="Arial" w:hAnsi="Arial" w:cs="Arial"/>
        </w:rPr>
        <w:t xml:space="preserve"> 61</w:t>
      </w:r>
      <w:r w:rsidRPr="002C1E13">
        <w:rPr>
          <w:rFonts w:ascii="Arial" w:hAnsi="Arial" w:cs="Arial"/>
        </w:rPr>
        <w:t xml:space="preserve">). </w:t>
      </w:r>
      <w:r w:rsidR="00010A6C">
        <w:rPr>
          <w:rFonts w:ascii="Arial" w:hAnsi="Arial" w:cs="Arial"/>
        </w:rPr>
        <w:t>The graphs show that T</w:t>
      </w:r>
      <w:r w:rsidR="009E21C7" w:rsidRPr="002C1E13">
        <w:rPr>
          <w:rFonts w:ascii="Arial" w:hAnsi="Arial" w:cs="Arial"/>
        </w:rPr>
        <w:t xml:space="preserve">-scores for PINP with each bisphosphonate </w:t>
      </w:r>
      <w:r w:rsidRPr="002C1E13">
        <w:rPr>
          <w:rFonts w:ascii="Arial" w:hAnsi="Arial" w:cs="Arial"/>
        </w:rPr>
        <w:t>(in red) remained between 1 and 1.5 SD units above the mean of the healthy pr</w:t>
      </w:r>
      <w:r w:rsidR="009E21C7" w:rsidRPr="002C1E13">
        <w:rPr>
          <w:rFonts w:ascii="Arial" w:hAnsi="Arial" w:cs="Arial"/>
        </w:rPr>
        <w:t>emenopausal women</w:t>
      </w:r>
      <w:r w:rsidRPr="002C1E13">
        <w:rPr>
          <w:rFonts w:ascii="Arial" w:hAnsi="Arial" w:cs="Arial"/>
        </w:rPr>
        <w:t xml:space="preserve"> from baseline until week 4</w:t>
      </w:r>
      <w:r w:rsidR="009E21C7" w:rsidRPr="002C1E13">
        <w:rPr>
          <w:rFonts w:ascii="Arial" w:hAnsi="Arial" w:cs="Arial"/>
        </w:rPr>
        <w:t xml:space="preserve"> on treatment</w:t>
      </w:r>
      <w:r w:rsidRPr="002C1E13">
        <w:rPr>
          <w:rFonts w:ascii="Arial" w:hAnsi="Arial" w:cs="Arial"/>
        </w:rPr>
        <w:t xml:space="preserve">. This value decreased at week 4 and continued to do so for the remainder of the treatment period to </w:t>
      </w:r>
      <w:r w:rsidR="009E21C7" w:rsidRPr="002C1E13">
        <w:rPr>
          <w:rFonts w:ascii="Arial" w:hAnsi="Arial" w:cs="Arial"/>
        </w:rPr>
        <w:t>-2.0</w:t>
      </w:r>
      <w:r w:rsidRPr="002C1E13">
        <w:rPr>
          <w:rFonts w:ascii="Arial" w:hAnsi="Arial" w:cs="Arial"/>
        </w:rPr>
        <w:t xml:space="preserve"> SD units</w:t>
      </w:r>
      <w:r w:rsidR="009E21C7" w:rsidRPr="002C1E13">
        <w:rPr>
          <w:rFonts w:ascii="Arial" w:hAnsi="Arial" w:cs="Arial"/>
        </w:rPr>
        <w:t xml:space="preserve"> </w:t>
      </w:r>
      <w:r w:rsidR="004022AF" w:rsidRPr="002C1E13">
        <w:rPr>
          <w:rFonts w:ascii="Arial" w:hAnsi="Arial" w:cs="Arial"/>
        </w:rPr>
        <w:t xml:space="preserve">in the women treated </w:t>
      </w:r>
      <w:r w:rsidR="009E21C7" w:rsidRPr="002C1E13">
        <w:rPr>
          <w:rFonts w:ascii="Arial" w:hAnsi="Arial" w:cs="Arial"/>
        </w:rPr>
        <w:t xml:space="preserve">with </w:t>
      </w:r>
      <w:r w:rsidR="008C2782" w:rsidRPr="002C1E13">
        <w:rPr>
          <w:rFonts w:ascii="Arial" w:hAnsi="Arial" w:cs="Arial"/>
        </w:rPr>
        <w:t>ibandronate and alendronate and -1.5 SD units with risedronate,</w:t>
      </w:r>
      <w:r w:rsidRPr="002C1E13">
        <w:rPr>
          <w:rFonts w:ascii="Arial" w:hAnsi="Arial" w:cs="Arial"/>
        </w:rPr>
        <w:t xml:space="preserve"> below the mean value for premenop</w:t>
      </w:r>
      <w:r w:rsidR="00010A6C">
        <w:rPr>
          <w:rFonts w:ascii="Arial" w:hAnsi="Arial" w:cs="Arial"/>
        </w:rPr>
        <w:t>ausal women. In comparison the T</w:t>
      </w:r>
      <w:r w:rsidRPr="002C1E13">
        <w:rPr>
          <w:rFonts w:ascii="Arial" w:hAnsi="Arial" w:cs="Arial"/>
        </w:rPr>
        <w:t xml:space="preserve">-scores for CTX decreased from baseline </w:t>
      </w:r>
      <w:r w:rsidR="008C2782" w:rsidRPr="002C1E13">
        <w:rPr>
          <w:rFonts w:ascii="Arial" w:hAnsi="Arial" w:cs="Arial"/>
        </w:rPr>
        <w:t>to</w:t>
      </w:r>
      <w:r w:rsidRPr="002C1E13">
        <w:rPr>
          <w:rFonts w:ascii="Arial" w:hAnsi="Arial" w:cs="Arial"/>
        </w:rPr>
        <w:t xml:space="preserve"> below the premenopausal mean</w:t>
      </w:r>
      <w:r w:rsidR="009E21C7" w:rsidRPr="002C1E13">
        <w:rPr>
          <w:rFonts w:ascii="Arial" w:hAnsi="Arial" w:cs="Arial"/>
        </w:rPr>
        <w:t xml:space="preserve"> at week 1</w:t>
      </w:r>
      <w:r w:rsidR="008C2782" w:rsidRPr="002C1E13">
        <w:rPr>
          <w:rFonts w:ascii="Arial" w:hAnsi="Arial" w:cs="Arial"/>
        </w:rPr>
        <w:t xml:space="preserve"> with each</w:t>
      </w:r>
      <w:r w:rsidR="00010A6C">
        <w:rPr>
          <w:rFonts w:ascii="Arial" w:hAnsi="Arial" w:cs="Arial"/>
        </w:rPr>
        <w:t xml:space="preserve"> bisphosphonate. At week 1 the T</w:t>
      </w:r>
      <w:r w:rsidR="008C2782" w:rsidRPr="002C1E13">
        <w:rPr>
          <w:rFonts w:ascii="Arial" w:hAnsi="Arial" w:cs="Arial"/>
        </w:rPr>
        <w:t xml:space="preserve">-score was lowest in the women treated with ibandronate -3.0 SD units, compared to -0.5 and 0.0 SD units with alendronate and risedronate respectively.  </w:t>
      </w:r>
      <w:r w:rsidR="00010A6C">
        <w:rPr>
          <w:rFonts w:ascii="Arial" w:hAnsi="Arial" w:cs="Arial"/>
        </w:rPr>
        <w:t>At week 96 the T</w:t>
      </w:r>
      <w:r w:rsidR="00722B1B" w:rsidRPr="002C1E13">
        <w:rPr>
          <w:rFonts w:ascii="Arial" w:hAnsi="Arial" w:cs="Arial"/>
        </w:rPr>
        <w:t xml:space="preserve">-scores for CTX were -2, -3 and -1.5 SD units below the mean of the premenopausal women with ibandronate, alendronate and risedronate treatments, respectively. </w:t>
      </w:r>
    </w:p>
    <w:p w:rsidR="00CB43D1" w:rsidRDefault="00262900" w:rsidP="00FE5129">
      <w:pPr>
        <w:rPr>
          <w:b/>
        </w:rPr>
      </w:pPr>
      <w:r w:rsidRPr="003C0656">
        <w:rPr>
          <w:rFonts w:ascii="Arial" w:hAnsi="Arial" w:cs="Arial"/>
          <w:b/>
          <w:noProof/>
          <w:lang w:eastAsia="zh-CN"/>
        </w:rPr>
        <mc:AlternateContent>
          <mc:Choice Requires="wps">
            <w:drawing>
              <wp:anchor distT="45720" distB="45720" distL="114300" distR="114300" simplePos="0" relativeHeight="250887680" behindDoc="0" locked="0" layoutInCell="1" allowOverlap="1" wp14:anchorId="4CB250F2" wp14:editId="6FD84534">
                <wp:simplePos x="0" y="0"/>
                <wp:positionH relativeFrom="column">
                  <wp:posOffset>-197893</wp:posOffset>
                </wp:positionH>
                <wp:positionV relativeFrom="paragraph">
                  <wp:posOffset>1331207</wp:posOffset>
                </wp:positionV>
                <wp:extent cx="342900" cy="933450"/>
                <wp:effectExtent l="0" t="0" r="0" b="0"/>
                <wp:wrapSquare wrapText="bothSides"/>
                <wp:docPr id="18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933450"/>
                        </a:xfrm>
                        <a:prstGeom prst="rect">
                          <a:avLst/>
                        </a:prstGeom>
                        <a:solidFill>
                          <a:srgbClr val="FFFFFF"/>
                        </a:solidFill>
                        <a:ln w="9525">
                          <a:noFill/>
                          <a:miter lim="800000"/>
                          <a:headEnd/>
                          <a:tailEnd/>
                        </a:ln>
                      </wps:spPr>
                      <wps:txbx>
                        <w:txbxContent>
                          <w:p w:rsidR="004166BC" w:rsidRDefault="004166BC" w:rsidP="00262900">
                            <w:r>
                              <w:t>Mean T-score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250F2" id="_x0000_s1173" type="#_x0000_t202" style="position:absolute;margin-left:-15.6pt;margin-top:104.8pt;width:27pt;height:73.5pt;z-index:25088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" stroked="f">
                <v:textbox style="layout-flow:vertical;mso-layout-flow-alt:bottom-to-top">
                  <w:txbxContent>
                    <w:p w:rsidR="004166BC" w:rsidRDefault="004166BC" w:rsidP="00262900">
                      <w:r>
                        <w:t>Mean T-score</w:t>
                      </w:r>
                    </w:p>
                  </w:txbxContent>
                </v:textbox>
                <w10:wrap type="square"/>
              </v:shape>
            </w:pict>
          </mc:Fallback>
        </mc:AlternateContent>
      </w:r>
      <w:r w:rsidR="00CB5576">
        <w:rPr>
          <w:noProof/>
          <w:lang w:eastAsia="zh-CN"/>
        </w:rPr>
        <mc:AlternateContent>
          <mc:Choice Requires="wps">
            <w:drawing>
              <wp:inline distT="0" distB="0" distL="0" distR="0" wp14:anchorId="56E3CE4E" wp14:editId="7C6E6E42">
                <wp:extent cx="935990" cy="248285"/>
                <wp:effectExtent l="0" t="0" r="0" b="0"/>
                <wp:docPr id="18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48285"/>
                        </a:xfrm>
                        <a:prstGeom prst="rect">
                          <a:avLst/>
                        </a:prstGeom>
                        <a:solidFill>
                          <a:srgbClr val="FFFFFF"/>
                        </a:solidFill>
                        <a:ln w="9525">
                          <a:noFill/>
                          <a:miter lim="800000"/>
                          <a:headEnd/>
                          <a:tailEnd/>
                        </a:ln>
                      </wps:spPr>
                      <wps:txbx>
                        <w:txbxContent>
                          <w:p w:rsidR="004166BC" w:rsidRPr="00CB5576" w:rsidRDefault="004166BC" w:rsidP="00CB5576">
                            <w:pPr>
                              <w:rPr>
                                <w:b/>
                              </w:rPr>
                            </w:pPr>
                            <w:r w:rsidRPr="00CB5576">
                              <w:rPr>
                                <w:b/>
                              </w:rPr>
                              <w:t>Ibandronate</w:t>
                            </w:r>
                          </w:p>
                        </w:txbxContent>
                      </wps:txbx>
                      <wps:bodyPr rot="0" vert="horz" wrap="square" lIns="91440" tIns="45720" rIns="91440" bIns="45720" anchor="t" anchorCtr="0">
                        <a:noAutofit/>
                      </wps:bodyPr>
                    </wps:wsp>
                  </a:graphicData>
                </a:graphic>
              </wp:inline>
            </w:drawing>
          </mc:Choice>
          <mc:Fallback>
            <w:pict>
              <v:shape w14:anchorId="56E3CE4E" id="Text Box 2" o:spid="_x0000_s1174" type="#_x0000_t202" style="width:73.7pt;height: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" stroked="f">
                <v:textbox>
                  <w:txbxContent>
                    <w:p w:rsidR="004166BC" w:rsidRPr="00CB5576" w:rsidRDefault="004166BC" w:rsidP="00CB5576">
                      <w:pPr>
                        <w:rPr>
                          <w:b/>
                        </w:rPr>
                      </w:pPr>
                      <w:r w:rsidRPr="00CB5576">
                        <w:rPr>
                          <w:b/>
                        </w:rPr>
                        <w:t>Ibandronate</w:t>
                      </w:r>
                    </w:p>
                  </w:txbxContent>
                </v:textbox>
                <w10:anchorlock/>
              </v:shape>
            </w:pict>
          </mc:Fallback>
        </mc:AlternateContent>
      </w:r>
      <w:r w:rsidR="003A223B">
        <w:rPr>
          <w:noProof/>
          <w:lang w:eastAsia="zh-CN"/>
        </w:rPr>
        <w:drawing>
          <wp:inline distT="0" distB="0" distL="0" distR="0" wp14:anchorId="3388D7B5" wp14:editId="23C80CCD">
            <wp:extent cx="5367973" cy="3426460"/>
            <wp:effectExtent l="0" t="0" r="4445" b="2540"/>
            <wp:docPr id="18529" name="Picture 18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PINP_CTX_All_Ibandronate2.png"/>
                    <pic:cNvPicPr/>
                  </pic:nvPicPr>
                  <pic:blipFill rotWithShape="1">
                    <a:blip r:embed="rId168" cstate="print">
                      <a:extLst>
                        <a:ext uri="{28A0092B-C50C-407E-A947-70E740481C1C}">
                          <a14:useLocalDpi xmlns:a14="http://schemas.microsoft.com/office/drawing/2010/main" val="0"/>
                        </a:ext>
                      </a:extLst>
                    </a:blip>
                    <a:srcRect l="6323" t="10682" b="5602"/>
                    <a:stretch/>
                  </pic:blipFill>
                  <pic:spPr bwMode="auto">
                    <a:xfrm>
                      <a:off x="0" y="0"/>
                      <a:ext cx="5369123" cy="3427194"/>
                    </a:xfrm>
                    <a:prstGeom prst="rect">
                      <a:avLst/>
                    </a:prstGeom>
                    <a:ln>
                      <a:noFill/>
                    </a:ln>
                    <a:extLst>
                      <a:ext uri="{53640926-AAD7-44D8-BBD7-CCE9431645EC}">
                        <a14:shadowObscured xmlns:a14="http://schemas.microsoft.com/office/drawing/2010/main"/>
                      </a:ext>
                    </a:extLst>
                  </pic:spPr>
                </pic:pic>
              </a:graphicData>
            </a:graphic>
          </wp:inline>
        </w:drawing>
      </w:r>
    </w:p>
    <w:p w:rsidR="00744786" w:rsidRPr="00CB43D1" w:rsidRDefault="00744786" w:rsidP="00900F2C">
      <w:r w:rsidRPr="00744786">
        <w:rPr>
          <w:b/>
        </w:rPr>
        <w:t>Alendronate</w:t>
      </w:r>
    </w:p>
    <w:p w:rsidR="00AB5177" w:rsidRPr="00010A6C" w:rsidRDefault="00262900" w:rsidP="00900F2C">
      <w:r w:rsidRPr="003C0656">
        <w:rPr>
          <w:rFonts w:ascii="Arial" w:hAnsi="Arial" w:cs="Arial"/>
          <w:b/>
          <w:noProof/>
          <w:lang w:eastAsia="zh-CN"/>
        </w:rPr>
        <w:lastRenderedPageBreak/>
        <mc:AlternateContent>
          <mc:Choice Requires="wps">
            <w:drawing>
              <wp:anchor distT="45720" distB="45720" distL="114300" distR="114300" simplePos="0" relativeHeight="253319680" behindDoc="0" locked="0" layoutInCell="1" allowOverlap="1" wp14:anchorId="4C9FEA57" wp14:editId="2DEDEB97">
                <wp:simplePos x="0" y="0"/>
                <wp:positionH relativeFrom="column">
                  <wp:posOffset>-27295</wp:posOffset>
                </wp:positionH>
                <wp:positionV relativeFrom="paragraph">
                  <wp:posOffset>925953</wp:posOffset>
                </wp:positionV>
                <wp:extent cx="342900" cy="933450"/>
                <wp:effectExtent l="0" t="0" r="0" b="0"/>
                <wp:wrapSquare wrapText="bothSides"/>
                <wp:docPr id="18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933450"/>
                        </a:xfrm>
                        <a:prstGeom prst="rect">
                          <a:avLst/>
                        </a:prstGeom>
                        <a:solidFill>
                          <a:srgbClr val="FFFFFF"/>
                        </a:solidFill>
                        <a:ln w="9525">
                          <a:noFill/>
                          <a:miter lim="800000"/>
                          <a:headEnd/>
                          <a:tailEnd/>
                        </a:ln>
                      </wps:spPr>
                      <wps:txbx>
                        <w:txbxContent>
                          <w:p w:rsidR="004166BC" w:rsidRDefault="004166BC" w:rsidP="00262900">
                            <w:r>
                              <w:t>Mean T-score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FEA57" id="_x0000_s1175" type="#_x0000_t202" style="position:absolute;margin-left:-2.15pt;margin-top:72.9pt;width:27pt;height:73.5pt;z-index:2533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" stroked="f">
                <v:textbox style="layout-flow:vertical;mso-layout-flow-alt:bottom-to-top">
                  <w:txbxContent>
                    <w:p w:rsidR="004166BC" w:rsidRDefault="004166BC" w:rsidP="00262900">
                      <w:r>
                        <w:t>Mean T-score</w:t>
                      </w:r>
                    </w:p>
                  </w:txbxContent>
                </v:textbox>
                <w10:wrap type="square"/>
              </v:shape>
            </w:pict>
          </mc:Fallback>
        </mc:AlternateContent>
      </w:r>
      <w:r w:rsidR="003A223B">
        <w:rPr>
          <w:noProof/>
          <w:lang w:eastAsia="zh-CN"/>
        </w:rPr>
        <w:drawing>
          <wp:inline distT="0" distB="0" distL="0" distR="0" wp14:anchorId="1B73CD7C" wp14:editId="449EC86B">
            <wp:extent cx="5372223" cy="3362960"/>
            <wp:effectExtent l="0" t="0" r="0" b="8890"/>
            <wp:docPr id="18536" name="Picture 1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PINP_CTX_All_Alendronate2.png"/>
                    <pic:cNvPicPr/>
                  </pic:nvPicPr>
                  <pic:blipFill rotWithShape="1">
                    <a:blip r:embed="rId169" cstate="print">
                      <a:extLst>
                        <a:ext uri="{28A0092B-C50C-407E-A947-70E740481C1C}">
                          <a14:useLocalDpi xmlns:a14="http://schemas.microsoft.com/office/drawing/2010/main" val="0"/>
                        </a:ext>
                      </a:extLst>
                    </a:blip>
                    <a:srcRect l="6255" t="12624" b="5217"/>
                    <a:stretch/>
                  </pic:blipFill>
                  <pic:spPr bwMode="auto">
                    <a:xfrm>
                      <a:off x="0" y="0"/>
                      <a:ext cx="5373012" cy="3363454"/>
                    </a:xfrm>
                    <a:prstGeom prst="rect">
                      <a:avLst/>
                    </a:prstGeom>
                    <a:ln>
                      <a:noFill/>
                    </a:ln>
                    <a:extLst>
                      <a:ext uri="{53640926-AAD7-44D8-BBD7-CCE9431645EC}">
                        <a14:shadowObscured xmlns:a14="http://schemas.microsoft.com/office/drawing/2010/main"/>
                      </a:ext>
                    </a:extLst>
                  </pic:spPr>
                </pic:pic>
              </a:graphicData>
            </a:graphic>
          </wp:inline>
        </w:drawing>
      </w:r>
    </w:p>
    <w:p w:rsidR="00AB5177" w:rsidRDefault="00AB5177" w:rsidP="00900F2C">
      <w:pPr>
        <w:rPr>
          <w:b/>
        </w:rPr>
      </w:pPr>
    </w:p>
    <w:p w:rsidR="009D3BB6" w:rsidRDefault="009D3BB6" w:rsidP="00900F2C">
      <w:pPr>
        <w:rPr>
          <w:b/>
        </w:rPr>
      </w:pPr>
    </w:p>
    <w:p w:rsidR="009D3BB6" w:rsidRDefault="009D3BB6" w:rsidP="00900F2C">
      <w:pPr>
        <w:rPr>
          <w:b/>
        </w:rPr>
      </w:pPr>
    </w:p>
    <w:p w:rsidR="009D3BB6" w:rsidRDefault="009D3BB6" w:rsidP="00900F2C">
      <w:pPr>
        <w:rPr>
          <w:b/>
        </w:rPr>
      </w:pPr>
    </w:p>
    <w:p w:rsidR="009D3BB6" w:rsidRDefault="009D3BB6" w:rsidP="00900F2C">
      <w:pPr>
        <w:rPr>
          <w:b/>
        </w:rPr>
      </w:pPr>
    </w:p>
    <w:p w:rsidR="00744786" w:rsidRPr="00CB43D1" w:rsidRDefault="00744786" w:rsidP="00900F2C">
      <w:r w:rsidRPr="00744786">
        <w:rPr>
          <w:b/>
        </w:rPr>
        <w:t>Risedronate</w:t>
      </w:r>
    </w:p>
    <w:p w:rsidR="003A223B" w:rsidRDefault="00262900" w:rsidP="00900F2C">
      <w:pPr>
        <w:keepNext/>
      </w:pPr>
      <w:r w:rsidRPr="003C0656">
        <w:rPr>
          <w:rFonts w:ascii="Arial" w:hAnsi="Arial" w:cs="Arial"/>
          <w:b/>
          <w:noProof/>
          <w:lang w:eastAsia="zh-CN"/>
        </w:rPr>
        <w:lastRenderedPageBreak/>
        <mc:AlternateContent>
          <mc:Choice Requires="wps">
            <w:drawing>
              <wp:anchor distT="45720" distB="45720" distL="114300" distR="114300" simplePos="0" relativeHeight="251001344" behindDoc="0" locked="0" layoutInCell="1" allowOverlap="1" wp14:anchorId="1A7B7775" wp14:editId="0DA27B07">
                <wp:simplePos x="0" y="0"/>
                <wp:positionH relativeFrom="column">
                  <wp:posOffset>0</wp:posOffset>
                </wp:positionH>
                <wp:positionV relativeFrom="paragraph">
                  <wp:posOffset>721564</wp:posOffset>
                </wp:positionV>
                <wp:extent cx="342900" cy="933450"/>
                <wp:effectExtent l="0" t="0" r="0" b="0"/>
                <wp:wrapSquare wrapText="bothSides"/>
                <wp:docPr id="18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933450"/>
                        </a:xfrm>
                        <a:prstGeom prst="rect">
                          <a:avLst/>
                        </a:prstGeom>
                        <a:solidFill>
                          <a:srgbClr val="FFFFFF"/>
                        </a:solidFill>
                        <a:ln w="9525">
                          <a:noFill/>
                          <a:miter lim="800000"/>
                          <a:headEnd/>
                          <a:tailEnd/>
                        </a:ln>
                      </wps:spPr>
                      <wps:txbx>
                        <w:txbxContent>
                          <w:p w:rsidR="004166BC" w:rsidRDefault="004166BC" w:rsidP="00262900">
                            <w:r>
                              <w:t>Mean T-score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B7775" id="_x0000_s1176" type="#_x0000_t202" style="position:absolute;margin-left:0;margin-top:56.8pt;width:27pt;height:73.5pt;z-index:25100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" stroked="f">
                <v:textbox style="layout-flow:vertical;mso-layout-flow-alt:bottom-to-top">
                  <w:txbxContent>
                    <w:p w:rsidR="004166BC" w:rsidRDefault="004166BC" w:rsidP="00262900">
                      <w:r>
                        <w:t>Mean T-score</w:t>
                      </w:r>
                    </w:p>
                  </w:txbxContent>
                </v:textbox>
                <w10:wrap type="square"/>
              </v:shape>
            </w:pict>
          </mc:Fallback>
        </mc:AlternateContent>
      </w:r>
      <w:r w:rsidR="001A3E70">
        <w:rPr>
          <w:noProof/>
          <w:lang w:eastAsia="zh-CN"/>
        </w:rPr>
        <w:drawing>
          <wp:inline distT="0" distB="0" distL="0" distR="0" wp14:anchorId="2D5685E0" wp14:editId="6B5A9D0B">
            <wp:extent cx="5368843" cy="3339465"/>
            <wp:effectExtent l="0" t="0" r="3810" b="0"/>
            <wp:docPr id="18538" name="Picture 1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PINP_CTX_All_Risedronate2.png"/>
                    <pic:cNvPicPr/>
                  </pic:nvPicPr>
                  <pic:blipFill rotWithShape="1">
                    <a:blip r:embed="rId170" cstate="print">
                      <a:extLst>
                        <a:ext uri="{28A0092B-C50C-407E-A947-70E740481C1C}">
                          <a14:useLocalDpi xmlns:a14="http://schemas.microsoft.com/office/drawing/2010/main" val="0"/>
                        </a:ext>
                      </a:extLst>
                    </a:blip>
                    <a:srcRect l="6316" t="12820" b="5598"/>
                    <a:stretch/>
                  </pic:blipFill>
                  <pic:spPr bwMode="auto">
                    <a:xfrm>
                      <a:off x="0" y="0"/>
                      <a:ext cx="5369515" cy="3339883"/>
                    </a:xfrm>
                    <a:prstGeom prst="rect">
                      <a:avLst/>
                    </a:prstGeom>
                    <a:ln>
                      <a:noFill/>
                    </a:ln>
                    <a:extLst>
                      <a:ext uri="{53640926-AAD7-44D8-BBD7-CCE9431645EC}">
                        <a14:shadowObscured xmlns:a14="http://schemas.microsoft.com/office/drawing/2010/main"/>
                      </a:ext>
                    </a:extLst>
                  </pic:spPr>
                </pic:pic>
              </a:graphicData>
            </a:graphic>
          </wp:inline>
        </w:drawing>
      </w:r>
    </w:p>
    <w:p w:rsidR="003A223B" w:rsidRDefault="003A223B" w:rsidP="003E5C23">
      <w:pPr>
        <w:pStyle w:val="Caption"/>
        <w:jc w:val="both"/>
        <w:rPr>
          <w:rFonts w:ascii="Arial" w:hAnsi="Arial" w:cs="Arial"/>
          <w:b w:val="0"/>
          <w:color w:val="auto"/>
        </w:rPr>
      </w:pPr>
      <w:bookmarkStart w:id="215" w:name="_Toc425419544"/>
      <w:r w:rsidRPr="001A3E70">
        <w:rPr>
          <w:rFonts w:ascii="Arial" w:hAnsi="Arial" w:cs="Arial"/>
          <w:b w:val="0"/>
          <w:color w:val="auto"/>
        </w:rPr>
        <w:t xml:space="preserve">Figure </w:t>
      </w:r>
      <w:r w:rsidRPr="001A3E70">
        <w:rPr>
          <w:rFonts w:ascii="Arial" w:hAnsi="Arial" w:cs="Arial"/>
          <w:b w:val="0"/>
          <w:color w:val="auto"/>
        </w:rPr>
        <w:fldChar w:fldCharType="begin"/>
      </w:r>
      <w:r w:rsidRPr="001A3E70">
        <w:rPr>
          <w:rFonts w:ascii="Arial" w:hAnsi="Arial" w:cs="Arial"/>
          <w:b w:val="0"/>
          <w:color w:val="auto"/>
        </w:rPr>
        <w:instrText xml:space="preserve"> SEQ Figure \* ARABIC </w:instrText>
      </w:r>
      <w:r w:rsidRPr="001A3E70">
        <w:rPr>
          <w:rFonts w:ascii="Arial" w:hAnsi="Arial" w:cs="Arial"/>
          <w:b w:val="0"/>
          <w:color w:val="auto"/>
        </w:rPr>
        <w:fldChar w:fldCharType="separate"/>
      </w:r>
      <w:r w:rsidR="0040369A">
        <w:rPr>
          <w:rFonts w:ascii="Arial" w:hAnsi="Arial" w:cs="Arial"/>
          <w:b w:val="0"/>
          <w:noProof/>
          <w:color w:val="auto"/>
        </w:rPr>
        <w:t>55</w:t>
      </w:r>
      <w:r w:rsidRPr="001A3E70">
        <w:rPr>
          <w:rFonts w:ascii="Arial" w:hAnsi="Arial" w:cs="Arial"/>
          <w:b w:val="0"/>
          <w:color w:val="auto"/>
        </w:rPr>
        <w:fldChar w:fldCharType="end"/>
      </w:r>
      <w:r w:rsidRPr="001A3E70">
        <w:rPr>
          <w:rFonts w:ascii="Arial" w:hAnsi="Arial" w:cs="Arial"/>
          <w:b w:val="0"/>
          <w:color w:val="auto"/>
        </w:rPr>
        <w:t xml:space="preserve">: The mean </w:t>
      </w:r>
      <w:r w:rsidR="00010A6C">
        <w:rPr>
          <w:rFonts w:ascii="Arial" w:hAnsi="Arial" w:cs="Arial"/>
          <w:b w:val="0"/>
          <w:color w:val="auto"/>
        </w:rPr>
        <w:t>T</w:t>
      </w:r>
      <w:r w:rsidR="001A3E70" w:rsidRPr="001A3E70">
        <w:rPr>
          <w:rFonts w:ascii="Arial" w:hAnsi="Arial" w:cs="Arial"/>
          <w:b w:val="0"/>
          <w:color w:val="auto"/>
        </w:rPr>
        <w:t>-scores calculated for PINP (red line) and CTX (blue line) for postmenopausal women treated with ibandronate (top graph), alendronate (middle graph) and risedronate (bottom graph) over 96 weeks.</w:t>
      </w:r>
      <w:r w:rsidR="00744786">
        <w:rPr>
          <w:rFonts w:ascii="Arial" w:hAnsi="Arial" w:cs="Arial"/>
          <w:b w:val="0"/>
          <w:color w:val="auto"/>
        </w:rPr>
        <w:t xml:space="preserve"> The dashed line at Y = 0 represents the mean of the healthy premenopausal women.</w:t>
      </w:r>
      <w:bookmarkEnd w:id="215"/>
    </w:p>
    <w:p w:rsidR="004B0F5A" w:rsidRPr="00010A6C" w:rsidRDefault="00CB43D1" w:rsidP="003E5C23">
      <w:pPr>
        <w:spacing w:line="360" w:lineRule="auto"/>
        <w:jc w:val="both"/>
        <w:rPr>
          <w:rFonts w:ascii="Arial" w:hAnsi="Arial" w:cs="Arial"/>
        </w:rPr>
      </w:pPr>
      <w:r w:rsidRPr="00010A6C">
        <w:rPr>
          <w:rFonts w:ascii="Arial" w:hAnsi="Arial" w:cs="Arial"/>
        </w:rPr>
        <w:t>The effects of ibandronate, alendronate and risedronate on bone turnover and bone balan</w:t>
      </w:r>
      <w:r w:rsidR="00010A6C" w:rsidRPr="00010A6C">
        <w:rPr>
          <w:rFonts w:ascii="Arial" w:hAnsi="Arial" w:cs="Arial"/>
        </w:rPr>
        <w:t>ce (as calculated by using the T-scores o</w:t>
      </w:r>
      <w:r w:rsidRPr="00010A6C">
        <w:rPr>
          <w:rFonts w:ascii="Arial" w:hAnsi="Arial" w:cs="Arial"/>
        </w:rPr>
        <w:t>f the BTMs) are shown in figure</w:t>
      </w:r>
      <w:r w:rsidR="004B0F5A" w:rsidRPr="00010A6C">
        <w:rPr>
          <w:rFonts w:ascii="Arial" w:hAnsi="Arial" w:cs="Arial"/>
        </w:rPr>
        <w:t>s</w:t>
      </w:r>
      <w:r w:rsidR="00086129">
        <w:rPr>
          <w:rFonts w:ascii="Arial" w:hAnsi="Arial" w:cs="Arial"/>
        </w:rPr>
        <w:t xml:space="preserve"> 62</w:t>
      </w:r>
      <w:r w:rsidR="005F7ED8">
        <w:rPr>
          <w:rFonts w:ascii="Arial" w:hAnsi="Arial" w:cs="Arial"/>
        </w:rPr>
        <w:t xml:space="preserve"> and 63</w:t>
      </w:r>
      <w:r w:rsidRPr="00010A6C">
        <w:rPr>
          <w:rFonts w:ascii="Arial" w:hAnsi="Arial" w:cs="Arial"/>
        </w:rPr>
        <w:t>.</w:t>
      </w:r>
      <w:r w:rsidR="004B0F5A" w:rsidRPr="00010A6C">
        <w:rPr>
          <w:rFonts w:ascii="Arial" w:hAnsi="Arial" w:cs="Arial"/>
        </w:rPr>
        <w:t xml:space="preserve"> </w:t>
      </w:r>
      <w:r w:rsidR="00CF58ED" w:rsidRPr="00010A6C">
        <w:rPr>
          <w:rFonts w:ascii="Arial" w:hAnsi="Arial" w:cs="Arial"/>
        </w:rPr>
        <w:t>For each bisphosphonate, t</w:t>
      </w:r>
      <w:r w:rsidR="004B0F5A" w:rsidRPr="00010A6C">
        <w:rPr>
          <w:rFonts w:ascii="Arial" w:hAnsi="Arial" w:cs="Arial"/>
        </w:rPr>
        <w:t>he mean levels of bone balance and bone turnover and change in these from b</w:t>
      </w:r>
      <w:r w:rsidR="00086129">
        <w:rPr>
          <w:rFonts w:ascii="Arial" w:hAnsi="Arial" w:cs="Arial"/>
        </w:rPr>
        <w:t>aseline 1 are shown in tables 27 and 28</w:t>
      </w:r>
      <w:r w:rsidR="004B0F5A" w:rsidRPr="00010A6C">
        <w:rPr>
          <w:rFonts w:ascii="Arial" w:hAnsi="Arial" w:cs="Arial"/>
        </w:rPr>
        <w:t>.</w:t>
      </w:r>
    </w:p>
    <w:p w:rsidR="00D860C6" w:rsidRPr="00010A6C" w:rsidRDefault="00FA60B9" w:rsidP="003E5C23">
      <w:pPr>
        <w:spacing w:line="360" w:lineRule="auto"/>
        <w:jc w:val="both"/>
        <w:rPr>
          <w:rFonts w:ascii="Arial" w:hAnsi="Arial" w:cs="Arial"/>
        </w:rPr>
      </w:pPr>
      <w:r w:rsidRPr="00010A6C">
        <w:rPr>
          <w:rFonts w:ascii="Arial" w:hAnsi="Arial" w:cs="Arial"/>
        </w:rPr>
        <w:t>After one week of</w:t>
      </w:r>
      <w:r w:rsidR="00CF58ED" w:rsidRPr="00010A6C">
        <w:rPr>
          <w:rFonts w:ascii="Arial" w:hAnsi="Arial" w:cs="Arial"/>
        </w:rPr>
        <w:t xml:space="preserve"> </w:t>
      </w:r>
      <w:r w:rsidRPr="00010A6C">
        <w:rPr>
          <w:rFonts w:ascii="Arial" w:hAnsi="Arial" w:cs="Arial"/>
        </w:rPr>
        <w:t>mean levels of bone turnover decreased</w:t>
      </w:r>
      <w:r w:rsidR="00055F57" w:rsidRPr="00010A6C">
        <w:rPr>
          <w:rFonts w:ascii="Arial" w:hAnsi="Arial" w:cs="Arial"/>
        </w:rPr>
        <w:t xml:space="preserve"> </w:t>
      </w:r>
      <w:r w:rsidRPr="00010A6C">
        <w:rPr>
          <w:rFonts w:ascii="Arial" w:hAnsi="Arial" w:cs="Arial"/>
        </w:rPr>
        <w:t xml:space="preserve">to </w:t>
      </w:r>
      <w:r w:rsidR="00055F57" w:rsidRPr="00010A6C">
        <w:rPr>
          <w:rFonts w:ascii="Arial" w:hAnsi="Arial" w:cs="Arial"/>
        </w:rPr>
        <w:t>-0.640</w:t>
      </w:r>
      <w:r w:rsidR="00CF58ED" w:rsidRPr="00010A6C">
        <w:rPr>
          <w:rFonts w:ascii="Arial" w:hAnsi="Arial" w:cs="Arial"/>
        </w:rPr>
        <w:t>,</w:t>
      </w:r>
      <w:r w:rsidR="00055F57" w:rsidRPr="00010A6C">
        <w:rPr>
          <w:rFonts w:ascii="Arial" w:hAnsi="Arial" w:cs="Arial"/>
        </w:rPr>
        <w:t xml:space="preserve"> 0.5</w:t>
      </w:r>
      <w:r w:rsidR="00D860C6" w:rsidRPr="00010A6C">
        <w:rPr>
          <w:rFonts w:ascii="Arial" w:hAnsi="Arial" w:cs="Arial"/>
        </w:rPr>
        <w:t>38 and 0.581 SD units different</w:t>
      </w:r>
      <w:r w:rsidR="00055F57" w:rsidRPr="00010A6C">
        <w:rPr>
          <w:rFonts w:ascii="Arial" w:hAnsi="Arial" w:cs="Arial"/>
        </w:rPr>
        <w:t xml:space="preserve"> from the mean of premenopausal women in </w:t>
      </w:r>
      <w:r w:rsidR="001E20A5" w:rsidRPr="00010A6C">
        <w:rPr>
          <w:rFonts w:ascii="Arial" w:hAnsi="Arial" w:cs="Arial"/>
        </w:rPr>
        <w:t xml:space="preserve">postmenopausal </w:t>
      </w:r>
      <w:r w:rsidR="00055F57" w:rsidRPr="00010A6C">
        <w:rPr>
          <w:rFonts w:ascii="Arial" w:hAnsi="Arial" w:cs="Arial"/>
        </w:rPr>
        <w:t>women receiving ibandronate, alendronate and risedronate, respectively</w:t>
      </w:r>
      <w:r w:rsidR="000909AD" w:rsidRPr="00010A6C">
        <w:rPr>
          <w:rFonts w:ascii="Arial" w:hAnsi="Arial" w:cs="Arial"/>
        </w:rPr>
        <w:t xml:space="preserve"> p&lt;0.001</w:t>
      </w:r>
      <w:r w:rsidRPr="00010A6C">
        <w:rPr>
          <w:rFonts w:ascii="Arial" w:hAnsi="Arial" w:cs="Arial"/>
        </w:rPr>
        <w:t>. This decrease</w:t>
      </w:r>
      <w:r w:rsidR="00055F57" w:rsidRPr="00010A6C">
        <w:rPr>
          <w:rFonts w:ascii="Arial" w:hAnsi="Arial" w:cs="Arial"/>
        </w:rPr>
        <w:t xml:space="preserve"> was significant from </w:t>
      </w:r>
      <w:r w:rsidR="00CF58ED" w:rsidRPr="00010A6C">
        <w:rPr>
          <w:rFonts w:ascii="Arial" w:hAnsi="Arial" w:cs="Arial"/>
        </w:rPr>
        <w:t>baseline</w:t>
      </w:r>
      <w:r w:rsidR="00D860C6" w:rsidRPr="00010A6C">
        <w:rPr>
          <w:rFonts w:ascii="Arial" w:hAnsi="Arial" w:cs="Arial"/>
        </w:rPr>
        <w:t>,</w:t>
      </w:r>
      <w:r w:rsidR="00CF58ED" w:rsidRPr="00010A6C">
        <w:rPr>
          <w:rFonts w:ascii="Arial" w:hAnsi="Arial" w:cs="Arial"/>
        </w:rPr>
        <w:t xml:space="preserve"> </w:t>
      </w:r>
      <w:r w:rsidR="00140978" w:rsidRPr="00010A6C">
        <w:rPr>
          <w:rFonts w:ascii="Arial" w:hAnsi="Arial" w:cs="Arial"/>
        </w:rPr>
        <w:t>p&lt;0.001</w:t>
      </w:r>
      <w:r w:rsidR="00055F57" w:rsidRPr="00010A6C">
        <w:rPr>
          <w:rFonts w:ascii="Arial" w:hAnsi="Arial" w:cs="Arial"/>
        </w:rPr>
        <w:t xml:space="preserve"> with each</w:t>
      </w:r>
      <w:r w:rsidRPr="00010A6C">
        <w:rPr>
          <w:rFonts w:ascii="Arial" w:hAnsi="Arial" w:cs="Arial"/>
        </w:rPr>
        <w:t xml:space="preserve"> bisphosphonate and it</w:t>
      </w:r>
      <w:r w:rsidR="00055F57" w:rsidRPr="00010A6C">
        <w:rPr>
          <w:rFonts w:ascii="Arial" w:hAnsi="Arial" w:cs="Arial"/>
        </w:rPr>
        <w:t xml:space="preserve"> was greatest in women receiving ibandronate</w:t>
      </w:r>
      <w:r w:rsidR="00D860C6" w:rsidRPr="00010A6C">
        <w:rPr>
          <w:rFonts w:ascii="Arial" w:hAnsi="Arial" w:cs="Arial"/>
        </w:rPr>
        <w:t>, -2.193 SD units</w:t>
      </w:r>
      <w:r w:rsidR="00140978" w:rsidRPr="00010A6C">
        <w:rPr>
          <w:rFonts w:ascii="Arial" w:hAnsi="Arial" w:cs="Arial"/>
        </w:rPr>
        <w:t>.</w:t>
      </w:r>
      <w:r w:rsidR="00D860C6" w:rsidRPr="00010A6C">
        <w:rPr>
          <w:rFonts w:ascii="Arial" w:hAnsi="Arial" w:cs="Arial"/>
        </w:rPr>
        <w:t xml:space="preserve"> At week 1 mean levels of bone turnover were </w:t>
      </w:r>
      <w:r w:rsidR="000909AD" w:rsidRPr="00010A6C">
        <w:rPr>
          <w:rFonts w:ascii="Arial" w:hAnsi="Arial" w:cs="Arial"/>
        </w:rPr>
        <w:t>significantly lower</w:t>
      </w:r>
      <w:r w:rsidR="005318B4" w:rsidRPr="00010A6C">
        <w:rPr>
          <w:rFonts w:ascii="Arial" w:hAnsi="Arial" w:cs="Arial"/>
        </w:rPr>
        <w:t xml:space="preserve"> in </w:t>
      </w:r>
      <w:r w:rsidR="001E20A5" w:rsidRPr="00010A6C">
        <w:rPr>
          <w:rFonts w:ascii="Arial" w:hAnsi="Arial" w:cs="Arial"/>
        </w:rPr>
        <w:t xml:space="preserve">postmenopausal </w:t>
      </w:r>
      <w:r w:rsidR="005318B4" w:rsidRPr="00010A6C">
        <w:rPr>
          <w:rFonts w:ascii="Arial" w:hAnsi="Arial" w:cs="Arial"/>
        </w:rPr>
        <w:t>women receiving ibandronate compared to</w:t>
      </w:r>
      <w:r w:rsidR="00D860C6" w:rsidRPr="00010A6C">
        <w:rPr>
          <w:rFonts w:ascii="Arial" w:hAnsi="Arial" w:cs="Arial"/>
        </w:rPr>
        <w:t xml:space="preserve"> alen</w:t>
      </w:r>
      <w:r w:rsidR="005318B4" w:rsidRPr="00010A6C">
        <w:rPr>
          <w:rFonts w:ascii="Arial" w:hAnsi="Arial" w:cs="Arial"/>
        </w:rPr>
        <w:t>dronate p&lt;0.001, ibandronate compared to</w:t>
      </w:r>
      <w:r w:rsidR="00D860C6" w:rsidRPr="00010A6C">
        <w:rPr>
          <w:rFonts w:ascii="Arial" w:hAnsi="Arial" w:cs="Arial"/>
        </w:rPr>
        <w:t xml:space="preserve"> risedron</w:t>
      </w:r>
      <w:r w:rsidR="005318B4" w:rsidRPr="00010A6C">
        <w:rPr>
          <w:rFonts w:ascii="Arial" w:hAnsi="Arial" w:cs="Arial"/>
        </w:rPr>
        <w:t>ate p&lt;0.001 but not alendronate compared to risedronate</w:t>
      </w:r>
      <w:r w:rsidR="00D860C6" w:rsidRPr="00010A6C">
        <w:rPr>
          <w:rFonts w:ascii="Arial" w:hAnsi="Arial" w:cs="Arial"/>
        </w:rPr>
        <w:t xml:space="preserve">. </w:t>
      </w:r>
      <w:r w:rsidR="00140978" w:rsidRPr="00010A6C">
        <w:rPr>
          <w:rFonts w:ascii="Arial" w:hAnsi="Arial" w:cs="Arial"/>
        </w:rPr>
        <w:t xml:space="preserve"> </w:t>
      </w:r>
      <w:r w:rsidR="001F0F27" w:rsidRPr="00010A6C">
        <w:rPr>
          <w:rFonts w:ascii="Arial" w:hAnsi="Arial" w:cs="Arial"/>
        </w:rPr>
        <w:t>Bone turnover continued to decrease significantly from baseline 1 until week 96, p&lt;0.001.</w:t>
      </w:r>
      <w:r w:rsidR="001E20A5" w:rsidRPr="00010A6C">
        <w:rPr>
          <w:rFonts w:ascii="Arial" w:hAnsi="Arial" w:cs="Arial"/>
        </w:rPr>
        <w:t xml:space="preserve"> At week </w:t>
      </w:r>
      <w:r w:rsidR="0019056B" w:rsidRPr="00010A6C">
        <w:rPr>
          <w:rFonts w:ascii="Arial" w:hAnsi="Arial" w:cs="Arial"/>
        </w:rPr>
        <w:t xml:space="preserve">96 </w:t>
      </w:r>
      <w:r w:rsidR="001E20A5" w:rsidRPr="00010A6C">
        <w:rPr>
          <w:rFonts w:ascii="Arial" w:hAnsi="Arial" w:cs="Arial"/>
        </w:rPr>
        <w:t xml:space="preserve">bone turnover was -2.178, -2.534 and -1.275 SD units below the mean of premenopausal women in postmenopausal </w:t>
      </w:r>
      <w:r w:rsidR="001E20A5" w:rsidRPr="00010A6C">
        <w:rPr>
          <w:rFonts w:ascii="Arial" w:hAnsi="Arial" w:cs="Arial"/>
        </w:rPr>
        <w:lastRenderedPageBreak/>
        <w:t xml:space="preserve">women receiving ibandronate, alendronate and risedronate respectively. These were significantly </w:t>
      </w:r>
      <w:r w:rsidR="00E34814" w:rsidRPr="00010A6C">
        <w:rPr>
          <w:rFonts w:ascii="Arial" w:hAnsi="Arial" w:cs="Arial"/>
        </w:rPr>
        <w:t>lower in</w:t>
      </w:r>
      <w:r w:rsidR="001E20A5" w:rsidRPr="00010A6C">
        <w:rPr>
          <w:rFonts w:ascii="Arial" w:hAnsi="Arial" w:cs="Arial"/>
        </w:rPr>
        <w:t xml:space="preserve"> </w:t>
      </w:r>
      <w:r w:rsidR="005318B4" w:rsidRPr="00010A6C">
        <w:rPr>
          <w:rFonts w:ascii="Arial" w:hAnsi="Arial" w:cs="Arial"/>
        </w:rPr>
        <w:t>women receiving ibandronate compared</w:t>
      </w:r>
      <w:r w:rsidR="001E20A5" w:rsidRPr="00010A6C">
        <w:rPr>
          <w:rFonts w:ascii="Arial" w:hAnsi="Arial" w:cs="Arial"/>
        </w:rPr>
        <w:t xml:space="preserve"> </w:t>
      </w:r>
      <w:r w:rsidR="005318B4" w:rsidRPr="00010A6C">
        <w:rPr>
          <w:rFonts w:ascii="Arial" w:hAnsi="Arial" w:cs="Arial"/>
        </w:rPr>
        <w:t xml:space="preserve">to risedronate and alendronate compared to </w:t>
      </w:r>
      <w:r w:rsidR="001E20A5" w:rsidRPr="00010A6C">
        <w:rPr>
          <w:rFonts w:ascii="Arial" w:hAnsi="Arial" w:cs="Arial"/>
        </w:rPr>
        <w:t>risedronate,</w:t>
      </w:r>
      <w:r w:rsidR="005318B4" w:rsidRPr="00010A6C">
        <w:rPr>
          <w:rFonts w:ascii="Arial" w:hAnsi="Arial" w:cs="Arial"/>
        </w:rPr>
        <w:t xml:space="preserve"> p&lt;0.001 but not ibandronate compared to</w:t>
      </w:r>
      <w:r w:rsidR="001E20A5" w:rsidRPr="00010A6C">
        <w:rPr>
          <w:rFonts w:ascii="Arial" w:hAnsi="Arial" w:cs="Arial"/>
        </w:rPr>
        <w:t xml:space="preserve"> alendronate.</w:t>
      </w:r>
    </w:p>
    <w:p w:rsidR="00CC6074" w:rsidRDefault="00FA60B9" w:rsidP="003E5C23">
      <w:pPr>
        <w:spacing w:line="360" w:lineRule="auto"/>
        <w:jc w:val="both"/>
      </w:pPr>
      <w:bookmarkStart w:id="216" w:name="_Toc425419545"/>
      <w:r w:rsidRPr="00010A6C">
        <w:rPr>
          <w:rFonts w:ascii="Arial" w:hAnsi="Arial" w:cs="Arial"/>
        </w:rPr>
        <w:t>After one week of treatment bone balance increased to 4.285, 1.758 and 1.160 SD units from the mean of the premenopausal women in postmenopausal women receiving ibandronate, alendronate and risedronate, respectively</w:t>
      </w:r>
      <w:r w:rsidR="000909AD" w:rsidRPr="00010A6C">
        <w:rPr>
          <w:rFonts w:ascii="Arial" w:hAnsi="Arial" w:cs="Arial"/>
        </w:rPr>
        <w:t xml:space="preserve"> p&lt;0.001</w:t>
      </w:r>
      <w:r w:rsidR="00140978" w:rsidRPr="00010A6C">
        <w:rPr>
          <w:rFonts w:ascii="Arial" w:hAnsi="Arial" w:cs="Arial"/>
        </w:rPr>
        <w:t xml:space="preserve">. </w:t>
      </w:r>
      <w:r w:rsidRPr="00010A6C">
        <w:rPr>
          <w:rFonts w:ascii="Arial" w:hAnsi="Arial" w:cs="Arial"/>
        </w:rPr>
        <w:t>This increase was significant from baseline, p&lt;0.001</w:t>
      </w:r>
      <w:r w:rsidR="000909AD" w:rsidRPr="00010A6C">
        <w:rPr>
          <w:rFonts w:ascii="Arial" w:hAnsi="Arial" w:cs="Arial"/>
        </w:rPr>
        <w:t xml:space="preserve"> with each bisphosphonate and it was greatest in women receiving ibandronate, 4.285 SD units. At week 1 mean levels of bone balance were signific</w:t>
      </w:r>
      <w:r w:rsidR="00B24ECC" w:rsidRPr="00010A6C">
        <w:rPr>
          <w:rFonts w:ascii="Arial" w:hAnsi="Arial" w:cs="Arial"/>
        </w:rPr>
        <w:t>antly more positive</w:t>
      </w:r>
      <w:r w:rsidR="000909AD" w:rsidRPr="00010A6C">
        <w:rPr>
          <w:rFonts w:ascii="Arial" w:hAnsi="Arial" w:cs="Arial"/>
        </w:rPr>
        <w:t xml:space="preserve"> in women receiving ibandronate compared to alendronate p&lt;0.001, ibandronate compared to risedronate p&lt;0.001 and alendronate compared to risedronate p&lt;0.05.</w:t>
      </w:r>
      <w:r w:rsidR="00E34814" w:rsidRPr="00010A6C">
        <w:rPr>
          <w:rFonts w:ascii="Arial" w:hAnsi="Arial" w:cs="Arial"/>
        </w:rPr>
        <w:t xml:space="preserve"> Bone balance remained significa</w:t>
      </w:r>
      <w:r w:rsidR="00B24ECC" w:rsidRPr="00010A6C">
        <w:rPr>
          <w:rFonts w:ascii="Arial" w:hAnsi="Arial" w:cs="Arial"/>
        </w:rPr>
        <w:t>ntly more positive</w:t>
      </w:r>
      <w:r w:rsidR="00E34814" w:rsidRPr="00010A6C">
        <w:rPr>
          <w:rFonts w:ascii="Arial" w:hAnsi="Arial" w:cs="Arial"/>
        </w:rPr>
        <w:t xml:space="preserve"> than baseline and compared to healthy premenopausal women with each bisphosphonate until week 4, p&lt;0.001. By weeks 48 and 96 </w:t>
      </w:r>
      <w:r w:rsidR="00654BD7" w:rsidRPr="00010A6C">
        <w:rPr>
          <w:rFonts w:ascii="Arial" w:hAnsi="Arial" w:cs="Arial"/>
        </w:rPr>
        <w:t xml:space="preserve">bone </w:t>
      </w:r>
      <w:r w:rsidR="00B24ECC" w:rsidRPr="00010A6C">
        <w:rPr>
          <w:rFonts w:ascii="Arial" w:hAnsi="Arial" w:cs="Arial"/>
        </w:rPr>
        <w:t>balance was significantly more positive</w:t>
      </w:r>
      <w:r w:rsidR="00654BD7" w:rsidRPr="00010A6C">
        <w:rPr>
          <w:rFonts w:ascii="Arial" w:hAnsi="Arial" w:cs="Arial"/>
        </w:rPr>
        <w:t xml:space="preserve"> than baseline in women receiving alendronate, p&lt;0.01 and not ibandronate and rise</w:t>
      </w:r>
      <w:r w:rsidR="0023366A" w:rsidRPr="00010A6C">
        <w:rPr>
          <w:rFonts w:ascii="Arial" w:hAnsi="Arial" w:cs="Arial"/>
        </w:rPr>
        <w:t>dronate. Bone balance was more positive</w:t>
      </w:r>
      <w:r w:rsidR="00654BD7" w:rsidRPr="00010A6C">
        <w:rPr>
          <w:rFonts w:ascii="Arial" w:hAnsi="Arial" w:cs="Arial"/>
        </w:rPr>
        <w:t xml:space="preserve"> in women receiving alendronate compared to ibandronate, p=0.01 but not alendronate compare</w:t>
      </w:r>
      <w:r w:rsidR="00AB5177" w:rsidRPr="00010A6C">
        <w:rPr>
          <w:rFonts w:ascii="Arial" w:hAnsi="Arial" w:cs="Arial"/>
        </w:rPr>
        <w:t>d</w:t>
      </w:r>
      <w:r w:rsidR="00654BD7" w:rsidRPr="00010A6C">
        <w:rPr>
          <w:rFonts w:ascii="Arial" w:hAnsi="Arial" w:cs="Arial"/>
        </w:rPr>
        <w:t xml:space="preserve"> to risedronate, p=0.06 or ibandro</w:t>
      </w:r>
      <w:r w:rsidR="00AB5177" w:rsidRPr="00010A6C">
        <w:rPr>
          <w:rFonts w:ascii="Arial" w:hAnsi="Arial" w:cs="Arial"/>
        </w:rPr>
        <w:t>nate compared to risedronate.</w:t>
      </w:r>
      <w:r w:rsidR="00AB5177">
        <w:t xml:space="preserve"> </w:t>
      </w:r>
      <w:r w:rsidR="00654BD7">
        <w:t xml:space="preserve"> </w:t>
      </w:r>
      <w:r w:rsidR="009D3BB6" w:rsidRPr="003C0656">
        <w:rPr>
          <w:rFonts w:ascii="Arial" w:hAnsi="Arial" w:cs="Arial"/>
          <w:b/>
          <w:noProof/>
          <w:lang w:eastAsia="zh-CN"/>
        </w:rPr>
        <w:lastRenderedPageBreak/>
        <mc:AlternateContent>
          <mc:Choice Requires="wps">
            <w:drawing>
              <wp:anchor distT="45720" distB="45720" distL="114300" distR="114300" simplePos="0" relativeHeight="251555328" behindDoc="0" locked="0" layoutInCell="1" allowOverlap="1" wp14:anchorId="02A4C78F" wp14:editId="06887B1D">
                <wp:simplePos x="0" y="0"/>
                <wp:positionH relativeFrom="column">
                  <wp:posOffset>-314325</wp:posOffset>
                </wp:positionH>
                <wp:positionV relativeFrom="paragraph">
                  <wp:posOffset>3874770</wp:posOffset>
                </wp:positionV>
                <wp:extent cx="342900" cy="1838325"/>
                <wp:effectExtent l="0" t="0" r="0" b="9525"/>
                <wp:wrapSquare wrapText="bothSides"/>
                <wp:docPr id="18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838325"/>
                        </a:xfrm>
                        <a:prstGeom prst="rect">
                          <a:avLst/>
                        </a:prstGeom>
                        <a:solidFill>
                          <a:srgbClr val="FFFFFF"/>
                        </a:solidFill>
                        <a:ln w="9525">
                          <a:noFill/>
                          <a:miter lim="800000"/>
                          <a:headEnd/>
                          <a:tailEnd/>
                        </a:ln>
                      </wps:spPr>
                      <wps:txbx>
                        <w:txbxContent>
                          <w:p w:rsidR="004166BC" w:rsidRPr="00477C3E" w:rsidRDefault="004166BC" w:rsidP="00994BBB">
                            <w:r>
                              <w:t>Bone turnover, (T</w:t>
                            </w:r>
                            <w:r>
                              <w:rPr>
                                <w:vertAlign w:val="subscript"/>
                              </w:rPr>
                              <w:t>PINP</w:t>
                            </w:r>
                            <w:r>
                              <w:t xml:space="preserve"> + T</w:t>
                            </w:r>
                            <w:r>
                              <w:rPr>
                                <w:vertAlign w:val="subscript"/>
                              </w:rPr>
                              <w:t>CTX</w:t>
                            </w:r>
                            <w: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4C78F" id="_x0000_s1177" type="#_x0000_t202" style="position:absolute;left:0;text-align:left;margin-left:-24.75pt;margin-top:305.1pt;width:27pt;height:144.75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" stroked="f">
                <v:textbox style="layout-flow:vertical;mso-layout-flow-alt:bottom-to-top">
                  <w:txbxContent>
                    <w:p w:rsidR="004166BC" w:rsidRPr="00477C3E" w:rsidRDefault="004166BC" w:rsidP="00994BBB">
                      <w:r>
                        <w:t>Bone turnover, (T</w:t>
                      </w:r>
                      <w:r>
                        <w:rPr>
                          <w:vertAlign w:val="subscript"/>
                        </w:rPr>
                        <w:t>PINP</w:t>
                      </w:r>
                      <w:r>
                        <w:t xml:space="preserve"> + T</w:t>
                      </w:r>
                      <w:r>
                        <w:rPr>
                          <w:vertAlign w:val="subscript"/>
                        </w:rPr>
                        <w:t>CTX</w:t>
                      </w:r>
                      <w:r>
                        <w:t>)/2</w:t>
                      </w:r>
                    </w:p>
                  </w:txbxContent>
                </v:textbox>
                <w10:wrap type="square"/>
              </v:shape>
            </w:pict>
          </mc:Fallback>
        </mc:AlternateContent>
      </w:r>
      <w:r w:rsidR="00AB5177">
        <w:rPr>
          <w:noProof/>
          <w:lang w:eastAsia="zh-CN"/>
        </w:rPr>
        <w:drawing>
          <wp:inline distT="0" distB="0" distL="0" distR="0" wp14:anchorId="2B564C11" wp14:editId="28B0F2E2">
            <wp:extent cx="5357684" cy="4223385"/>
            <wp:effectExtent l="0" t="0" r="0" b="5715"/>
            <wp:docPr id="18531" name="Picture 1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O_Turnover_CI_Separate.png"/>
                    <pic:cNvPicPr/>
                  </pic:nvPicPr>
                  <pic:blipFill rotWithShape="1">
                    <a:blip r:embed="rId171" cstate="print">
                      <a:extLst>
                        <a:ext uri="{28A0092B-C50C-407E-A947-70E740481C1C}">
                          <a14:useLocalDpi xmlns:a14="http://schemas.microsoft.com/office/drawing/2010/main" val="0"/>
                        </a:ext>
                      </a:extLst>
                    </a:blip>
                    <a:srcRect l="6521"/>
                    <a:stretch/>
                  </pic:blipFill>
                  <pic:spPr bwMode="auto">
                    <a:xfrm>
                      <a:off x="0" y="0"/>
                      <a:ext cx="5357792" cy="4223470"/>
                    </a:xfrm>
                    <a:prstGeom prst="rect">
                      <a:avLst/>
                    </a:prstGeom>
                    <a:ln>
                      <a:noFill/>
                    </a:ln>
                    <a:extLst>
                      <a:ext uri="{53640926-AAD7-44D8-BBD7-CCE9431645EC}">
                        <a14:shadowObscured xmlns:a14="http://schemas.microsoft.com/office/drawing/2010/main"/>
                      </a:ext>
                    </a:extLst>
                  </pic:spPr>
                </pic:pic>
              </a:graphicData>
            </a:graphic>
          </wp:inline>
        </w:drawing>
      </w:r>
      <w:r w:rsidR="004B0F5A" w:rsidRPr="004B0F5A">
        <w:rPr>
          <w:rFonts w:ascii="Arial" w:hAnsi="Arial" w:cs="Arial"/>
          <w:sz w:val="18"/>
          <w:szCs w:val="18"/>
        </w:rPr>
        <w:lastRenderedPageBreak/>
        <w:t xml:space="preserve">Figure </w:t>
      </w:r>
      <w:r w:rsidR="004B0F5A" w:rsidRPr="004B0F5A">
        <w:rPr>
          <w:rFonts w:ascii="Arial" w:hAnsi="Arial" w:cs="Arial"/>
          <w:sz w:val="18"/>
          <w:szCs w:val="18"/>
        </w:rPr>
        <w:fldChar w:fldCharType="begin"/>
      </w:r>
      <w:r w:rsidR="004B0F5A" w:rsidRPr="004B0F5A">
        <w:rPr>
          <w:rFonts w:ascii="Arial" w:hAnsi="Arial" w:cs="Arial"/>
          <w:sz w:val="18"/>
          <w:szCs w:val="18"/>
        </w:rPr>
        <w:instrText xml:space="preserve"> SEQ Figure \* ARABIC </w:instrText>
      </w:r>
      <w:r w:rsidR="004B0F5A" w:rsidRPr="004B0F5A">
        <w:rPr>
          <w:rFonts w:ascii="Arial" w:hAnsi="Arial" w:cs="Arial"/>
          <w:sz w:val="18"/>
          <w:szCs w:val="18"/>
        </w:rPr>
        <w:fldChar w:fldCharType="separate"/>
      </w:r>
      <w:r w:rsidR="0040369A">
        <w:rPr>
          <w:rFonts w:ascii="Arial" w:hAnsi="Arial" w:cs="Arial"/>
          <w:noProof/>
          <w:sz w:val="18"/>
          <w:szCs w:val="18"/>
        </w:rPr>
        <w:t>56</w:t>
      </w:r>
      <w:r w:rsidR="004B0F5A" w:rsidRPr="004B0F5A">
        <w:rPr>
          <w:rFonts w:ascii="Arial" w:hAnsi="Arial" w:cs="Arial"/>
          <w:sz w:val="18"/>
          <w:szCs w:val="18"/>
        </w:rPr>
        <w:fldChar w:fldCharType="end"/>
      </w:r>
      <w:r w:rsidR="004B0F5A" w:rsidRPr="004B0F5A">
        <w:rPr>
          <w:rFonts w:ascii="Arial" w:hAnsi="Arial" w:cs="Arial"/>
          <w:sz w:val="18"/>
          <w:szCs w:val="18"/>
        </w:rPr>
        <w:t xml:space="preserve">: </w:t>
      </w:r>
      <w:r w:rsidR="004B0F5A" w:rsidRPr="004B0F5A">
        <w:rPr>
          <w:rFonts w:ascii="Arial" w:hAnsi="Arial" w:cs="Arial"/>
          <w:color w:val="000000" w:themeColor="text1"/>
          <w:sz w:val="18"/>
          <w:szCs w:val="18"/>
        </w:rPr>
        <w:t xml:space="preserve">Graphs showing the mean and 95% confidence intervals of bone </w:t>
      </w:r>
      <w:r w:rsidR="00010A6C">
        <w:rPr>
          <w:rFonts w:ascii="Arial" w:hAnsi="Arial" w:cs="Arial"/>
          <w:color w:val="000000" w:themeColor="text1"/>
          <w:sz w:val="18"/>
          <w:szCs w:val="18"/>
        </w:rPr>
        <w:t>turnover (calculated using the T</w:t>
      </w:r>
      <w:r w:rsidR="004B0F5A" w:rsidRPr="004B0F5A">
        <w:rPr>
          <w:rFonts w:ascii="Arial" w:hAnsi="Arial" w:cs="Arial"/>
          <w:color w:val="000000" w:themeColor="text1"/>
          <w:sz w:val="18"/>
          <w:szCs w:val="18"/>
        </w:rPr>
        <w:t xml:space="preserve">-scores of PINP and CTX) in postmenopausal women receiving ibandronate (black), alendronate (blue) and risedronate (orange) over 96 weeks, (-1 = baseline 1 and 0 = baseline 2). </w:t>
      </w:r>
      <w:r w:rsidR="004B0F5A" w:rsidRPr="004B0F5A">
        <w:rPr>
          <w:rFonts w:ascii="Arial" w:hAnsi="Arial" w:cs="Arial"/>
          <w:sz w:val="18"/>
          <w:szCs w:val="18"/>
        </w:rPr>
        <w:t>The dashed line at Y = 0 represents the mean of the</w:t>
      </w:r>
      <w:r w:rsidR="00994BBB">
        <w:rPr>
          <w:rFonts w:ascii="Arial" w:hAnsi="Arial" w:cs="Arial"/>
          <w:sz w:val="18"/>
          <w:szCs w:val="18"/>
        </w:rPr>
        <w:t xml:space="preserve"> healthy premenopausal women.</w:t>
      </w:r>
      <w:bookmarkEnd w:id="216"/>
    </w:p>
    <w:p w:rsidR="0002341B" w:rsidRDefault="00994BBB" w:rsidP="00900F2C">
      <w:pPr>
        <w:keepNext/>
      </w:pPr>
      <w:r w:rsidRPr="003C0656">
        <w:rPr>
          <w:rFonts w:ascii="Arial" w:hAnsi="Arial" w:cs="Arial"/>
          <w:b/>
          <w:noProof/>
          <w:lang w:eastAsia="zh-CN"/>
        </w:rPr>
        <mc:AlternateContent>
          <mc:Choice Requires="wps">
            <w:drawing>
              <wp:anchor distT="45720" distB="45720" distL="114300" distR="114300" simplePos="0" relativeHeight="251055616" behindDoc="0" locked="0" layoutInCell="1" allowOverlap="1" wp14:anchorId="27627F40" wp14:editId="08B8881B">
                <wp:simplePos x="0" y="0"/>
                <wp:positionH relativeFrom="column">
                  <wp:posOffset>0</wp:posOffset>
                </wp:positionH>
                <wp:positionV relativeFrom="paragraph">
                  <wp:posOffset>986155</wp:posOffset>
                </wp:positionV>
                <wp:extent cx="342900" cy="2085975"/>
                <wp:effectExtent l="0" t="0" r="0" b="9525"/>
                <wp:wrapSquare wrapText="bothSides"/>
                <wp:docPr id="18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85975"/>
                        </a:xfrm>
                        <a:prstGeom prst="rect">
                          <a:avLst/>
                        </a:prstGeom>
                        <a:solidFill>
                          <a:srgbClr val="FFFFFF"/>
                        </a:solidFill>
                        <a:ln w="9525">
                          <a:noFill/>
                          <a:miter lim="800000"/>
                          <a:headEnd/>
                          <a:tailEnd/>
                        </a:ln>
                      </wps:spPr>
                      <wps:txbx>
                        <w:txbxContent>
                          <w:p w:rsidR="004166BC" w:rsidRPr="00994BBB" w:rsidRDefault="004166BC" w:rsidP="00994BBB">
                            <w:r>
                              <w:t>Bone balance, T</w:t>
                            </w:r>
                            <w:r w:rsidRPr="00994BBB">
                              <w:rPr>
                                <w:vertAlign w:val="subscript"/>
                              </w:rPr>
                              <w:t>PINP</w:t>
                            </w:r>
                            <w:r>
                              <w:t xml:space="preserve"> - T</w:t>
                            </w:r>
                            <w:r w:rsidRPr="00994BBB">
                              <w:rPr>
                                <w:vertAlign w:val="subscript"/>
                              </w:rPr>
                              <w:t>CTX</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27F40" id="_x0000_s1178" type="#_x0000_t202" style="position:absolute;margin-left:0;margin-top:77.65pt;width:27pt;height:164.25pt;z-index:25105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" stroked="f">
                <v:textbox style="layout-flow:vertical;mso-layout-flow-alt:bottom-to-top">
                  <w:txbxContent>
                    <w:p w:rsidR="004166BC" w:rsidRPr="00994BBB" w:rsidRDefault="004166BC" w:rsidP="00994BBB">
                      <w:r>
                        <w:t>Bone balance, T</w:t>
                      </w:r>
                      <w:r w:rsidRPr="00994BBB">
                        <w:rPr>
                          <w:vertAlign w:val="subscript"/>
                        </w:rPr>
                        <w:t>PINP</w:t>
                      </w:r>
                      <w:r>
                        <w:t xml:space="preserve"> - T</w:t>
                      </w:r>
                      <w:r w:rsidRPr="00994BBB">
                        <w:rPr>
                          <w:vertAlign w:val="subscript"/>
                        </w:rPr>
                        <w:t>CTX</w:t>
                      </w:r>
                    </w:p>
                  </w:txbxContent>
                </v:textbox>
                <w10:wrap type="square"/>
              </v:shape>
            </w:pict>
          </mc:Fallback>
        </mc:AlternateContent>
      </w:r>
      <w:r w:rsidR="00CC6074">
        <w:rPr>
          <w:noProof/>
          <w:lang w:eastAsia="zh-CN"/>
        </w:rPr>
        <w:drawing>
          <wp:inline distT="0" distB="0" distL="0" distR="0" wp14:anchorId="2A4A1CB9" wp14:editId="783C9F6C">
            <wp:extent cx="5349240" cy="4133850"/>
            <wp:effectExtent l="0" t="0" r="3810" b="0"/>
            <wp:docPr id="18530" name="Picture 1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O_Balance_CI_Separate.png"/>
                    <pic:cNvPicPr/>
                  </pic:nvPicPr>
                  <pic:blipFill rotWithShape="1">
                    <a:blip r:embed="rId172" cstate="print">
                      <a:extLst>
                        <a:ext uri="{28A0092B-C50C-407E-A947-70E740481C1C}">
                          <a14:useLocalDpi xmlns:a14="http://schemas.microsoft.com/office/drawing/2010/main" val="0"/>
                        </a:ext>
                      </a:extLst>
                    </a:blip>
                    <a:srcRect l="6659" b="2111"/>
                    <a:stretch/>
                  </pic:blipFill>
                  <pic:spPr bwMode="auto">
                    <a:xfrm>
                      <a:off x="0" y="0"/>
                      <a:ext cx="5349840" cy="4134314"/>
                    </a:xfrm>
                    <a:prstGeom prst="rect">
                      <a:avLst/>
                    </a:prstGeom>
                    <a:ln>
                      <a:noFill/>
                    </a:ln>
                    <a:extLst>
                      <a:ext uri="{53640926-AAD7-44D8-BBD7-CCE9431645EC}">
                        <a14:shadowObscured xmlns:a14="http://schemas.microsoft.com/office/drawing/2010/main"/>
                      </a:ext>
                    </a:extLst>
                  </pic:spPr>
                </pic:pic>
              </a:graphicData>
            </a:graphic>
          </wp:inline>
        </w:drawing>
      </w:r>
    </w:p>
    <w:p w:rsidR="00CC6074" w:rsidRPr="009D3BB6" w:rsidRDefault="0002341B" w:rsidP="003E5C23">
      <w:pPr>
        <w:keepNext/>
        <w:jc w:val="both"/>
        <w:rPr>
          <w:sz w:val="18"/>
          <w:szCs w:val="18"/>
        </w:rPr>
      </w:pPr>
      <w:bookmarkStart w:id="217" w:name="_Toc425419546"/>
      <w:r w:rsidRPr="004B0F5A">
        <w:rPr>
          <w:rFonts w:ascii="Arial" w:hAnsi="Arial" w:cs="Arial"/>
          <w:color w:val="000000" w:themeColor="text1"/>
          <w:sz w:val="18"/>
          <w:szCs w:val="18"/>
        </w:rPr>
        <w:t xml:space="preserve">Figure </w:t>
      </w:r>
      <w:r w:rsidRPr="004B0F5A">
        <w:rPr>
          <w:rFonts w:ascii="Arial" w:hAnsi="Arial" w:cs="Arial"/>
          <w:color w:val="000000" w:themeColor="text1"/>
          <w:sz w:val="18"/>
          <w:szCs w:val="18"/>
        </w:rPr>
        <w:fldChar w:fldCharType="begin"/>
      </w:r>
      <w:r w:rsidRPr="004B0F5A">
        <w:rPr>
          <w:rFonts w:ascii="Arial" w:hAnsi="Arial" w:cs="Arial"/>
          <w:color w:val="000000" w:themeColor="text1"/>
          <w:sz w:val="18"/>
          <w:szCs w:val="18"/>
        </w:rPr>
        <w:instrText xml:space="preserve"> SEQ Figure \* ARABIC </w:instrText>
      </w:r>
      <w:r w:rsidRPr="004B0F5A">
        <w:rPr>
          <w:rFonts w:ascii="Arial" w:hAnsi="Arial" w:cs="Arial"/>
          <w:color w:val="000000" w:themeColor="text1"/>
          <w:sz w:val="18"/>
          <w:szCs w:val="18"/>
        </w:rPr>
        <w:fldChar w:fldCharType="separate"/>
      </w:r>
      <w:r w:rsidR="0040369A">
        <w:rPr>
          <w:rFonts w:ascii="Arial" w:hAnsi="Arial" w:cs="Arial"/>
          <w:noProof/>
          <w:color w:val="000000" w:themeColor="text1"/>
          <w:sz w:val="18"/>
          <w:szCs w:val="18"/>
        </w:rPr>
        <w:t>57</w:t>
      </w:r>
      <w:r w:rsidRPr="004B0F5A">
        <w:rPr>
          <w:rFonts w:ascii="Arial" w:hAnsi="Arial" w:cs="Arial"/>
          <w:color w:val="000000" w:themeColor="text1"/>
          <w:sz w:val="18"/>
          <w:szCs w:val="18"/>
        </w:rPr>
        <w:fldChar w:fldCharType="end"/>
      </w:r>
      <w:r w:rsidR="003146C8" w:rsidRPr="004B0F5A">
        <w:rPr>
          <w:rFonts w:ascii="Arial" w:hAnsi="Arial" w:cs="Arial"/>
          <w:color w:val="000000" w:themeColor="text1"/>
          <w:sz w:val="18"/>
          <w:szCs w:val="18"/>
        </w:rPr>
        <w:t xml:space="preserve">: Graphs showing the mean and 95% confidence intervals of </w:t>
      </w:r>
      <w:r w:rsidR="004B0F5A">
        <w:rPr>
          <w:rFonts w:ascii="Arial" w:hAnsi="Arial" w:cs="Arial"/>
          <w:color w:val="000000" w:themeColor="text1"/>
          <w:sz w:val="18"/>
          <w:szCs w:val="18"/>
        </w:rPr>
        <w:t xml:space="preserve">bone balance </w:t>
      </w:r>
      <w:r w:rsidR="00A30AE0">
        <w:rPr>
          <w:rFonts w:ascii="Arial" w:hAnsi="Arial" w:cs="Arial"/>
          <w:color w:val="000000" w:themeColor="text1"/>
          <w:sz w:val="18"/>
          <w:szCs w:val="18"/>
        </w:rPr>
        <w:t>(calculated using the T</w:t>
      </w:r>
      <w:r w:rsidR="003146C8" w:rsidRPr="004B0F5A">
        <w:rPr>
          <w:rFonts w:ascii="Arial" w:hAnsi="Arial" w:cs="Arial"/>
          <w:color w:val="000000" w:themeColor="text1"/>
          <w:sz w:val="18"/>
          <w:szCs w:val="18"/>
        </w:rPr>
        <w:t>-scores of PINP and CTX) in postmenopausal women receiving ibandronate</w:t>
      </w:r>
      <w:r w:rsidR="007E1969" w:rsidRPr="004B0F5A">
        <w:rPr>
          <w:rFonts w:ascii="Arial" w:hAnsi="Arial" w:cs="Arial"/>
          <w:color w:val="000000" w:themeColor="text1"/>
          <w:sz w:val="18"/>
          <w:szCs w:val="18"/>
        </w:rPr>
        <w:t xml:space="preserve"> (black)</w:t>
      </w:r>
      <w:r w:rsidR="003146C8" w:rsidRPr="004B0F5A">
        <w:rPr>
          <w:rFonts w:ascii="Arial" w:hAnsi="Arial" w:cs="Arial"/>
          <w:color w:val="000000" w:themeColor="text1"/>
          <w:sz w:val="18"/>
          <w:szCs w:val="18"/>
        </w:rPr>
        <w:t>, alendronate</w:t>
      </w:r>
      <w:r w:rsidR="007E1969" w:rsidRPr="004B0F5A">
        <w:rPr>
          <w:rFonts w:ascii="Arial" w:hAnsi="Arial" w:cs="Arial"/>
          <w:color w:val="000000" w:themeColor="text1"/>
          <w:sz w:val="18"/>
          <w:szCs w:val="18"/>
        </w:rPr>
        <w:t xml:space="preserve"> (blue)</w:t>
      </w:r>
      <w:r w:rsidR="003146C8" w:rsidRPr="004B0F5A">
        <w:rPr>
          <w:rFonts w:ascii="Arial" w:hAnsi="Arial" w:cs="Arial"/>
          <w:color w:val="000000" w:themeColor="text1"/>
          <w:sz w:val="18"/>
          <w:szCs w:val="18"/>
        </w:rPr>
        <w:t xml:space="preserve"> </w:t>
      </w:r>
      <w:r w:rsidR="003146C8" w:rsidRPr="004B0F5A">
        <w:rPr>
          <w:rFonts w:ascii="Arial" w:hAnsi="Arial" w:cs="Arial"/>
          <w:color w:val="000000" w:themeColor="text1"/>
          <w:sz w:val="18"/>
          <w:szCs w:val="18"/>
        </w:rPr>
        <w:lastRenderedPageBreak/>
        <w:t xml:space="preserve">and risedronate </w:t>
      </w:r>
      <w:r w:rsidR="007E1969" w:rsidRPr="004B0F5A">
        <w:rPr>
          <w:rFonts w:ascii="Arial" w:hAnsi="Arial" w:cs="Arial"/>
          <w:color w:val="000000" w:themeColor="text1"/>
          <w:sz w:val="18"/>
          <w:szCs w:val="18"/>
        </w:rPr>
        <w:t xml:space="preserve">(orange) </w:t>
      </w:r>
      <w:r w:rsidR="003146C8" w:rsidRPr="004B0F5A">
        <w:rPr>
          <w:rFonts w:ascii="Arial" w:hAnsi="Arial" w:cs="Arial"/>
          <w:color w:val="000000" w:themeColor="text1"/>
          <w:sz w:val="18"/>
          <w:szCs w:val="18"/>
        </w:rPr>
        <w:t xml:space="preserve">over 96 weeks, (-1 = baseline 1 and 0 = baseline 2). </w:t>
      </w:r>
      <w:r w:rsidR="004B0F5A" w:rsidRPr="004B0F5A">
        <w:rPr>
          <w:rFonts w:ascii="Arial" w:hAnsi="Arial" w:cs="Arial"/>
          <w:sz w:val="18"/>
          <w:szCs w:val="18"/>
        </w:rPr>
        <w:t>The dashed line at Y = 0 represents the mean of the healthy premenopausal women.</w:t>
      </w:r>
      <w:bookmarkEnd w:id="217"/>
    </w:p>
    <w:p w:rsidR="007E1969" w:rsidRPr="007E1969" w:rsidRDefault="007E1969" w:rsidP="003E5C23">
      <w:pPr>
        <w:pStyle w:val="Caption"/>
        <w:keepNext/>
        <w:jc w:val="both"/>
        <w:rPr>
          <w:rFonts w:ascii="Arial" w:hAnsi="Arial" w:cs="Arial"/>
          <w:b w:val="0"/>
          <w:color w:val="000000" w:themeColor="text1"/>
        </w:rPr>
      </w:pPr>
      <w:bookmarkStart w:id="218" w:name="_Toc424043701"/>
      <w:r w:rsidRPr="00D949C9">
        <w:rPr>
          <w:rFonts w:ascii="Arial" w:hAnsi="Arial" w:cs="Arial"/>
          <w:b w:val="0"/>
          <w:color w:val="000000" w:themeColor="text1"/>
        </w:rPr>
        <w:t xml:space="preserve">Table </w:t>
      </w:r>
      <w:r w:rsidR="00D949C9" w:rsidRPr="00D949C9">
        <w:rPr>
          <w:rFonts w:ascii="Arial" w:hAnsi="Arial" w:cs="Arial"/>
          <w:b w:val="0"/>
          <w:color w:val="000000" w:themeColor="text1"/>
        </w:rPr>
        <w:fldChar w:fldCharType="begin"/>
      </w:r>
      <w:r w:rsidR="00D949C9" w:rsidRPr="00D949C9">
        <w:rPr>
          <w:rFonts w:ascii="Arial" w:hAnsi="Arial" w:cs="Arial"/>
          <w:b w:val="0"/>
          <w:color w:val="000000" w:themeColor="text1"/>
        </w:rPr>
        <w:instrText xml:space="preserve"> SEQ Table \* ARABIC </w:instrText>
      </w:r>
      <w:r w:rsidR="00D949C9" w:rsidRPr="00D949C9">
        <w:rPr>
          <w:rFonts w:ascii="Arial" w:hAnsi="Arial" w:cs="Arial"/>
          <w:b w:val="0"/>
          <w:color w:val="000000" w:themeColor="text1"/>
        </w:rPr>
        <w:fldChar w:fldCharType="separate"/>
      </w:r>
      <w:r w:rsidR="00DD116A">
        <w:rPr>
          <w:rFonts w:ascii="Arial" w:hAnsi="Arial" w:cs="Arial"/>
          <w:b w:val="0"/>
          <w:noProof/>
          <w:color w:val="000000" w:themeColor="text1"/>
        </w:rPr>
        <w:t>27</w:t>
      </w:r>
      <w:r w:rsidR="00D949C9" w:rsidRPr="00D949C9">
        <w:rPr>
          <w:rFonts w:ascii="Arial" w:hAnsi="Arial" w:cs="Arial"/>
          <w:b w:val="0"/>
          <w:noProof/>
          <w:color w:val="000000" w:themeColor="text1"/>
        </w:rPr>
        <w:fldChar w:fldCharType="end"/>
      </w:r>
      <w:r w:rsidRPr="00D949C9">
        <w:rPr>
          <w:rFonts w:ascii="Arial" w:hAnsi="Arial" w:cs="Arial"/>
          <w:b w:val="0"/>
          <w:color w:val="000000" w:themeColor="text1"/>
        </w:rPr>
        <w:t>: The mean values and 95% confi</w:t>
      </w:r>
      <w:r w:rsidR="004A7F9C">
        <w:rPr>
          <w:rFonts w:ascii="Arial" w:hAnsi="Arial" w:cs="Arial"/>
          <w:b w:val="0"/>
          <w:color w:val="000000" w:themeColor="text1"/>
        </w:rPr>
        <w:t>dence intervals of bone balance and bone turnover</w:t>
      </w:r>
      <w:r w:rsidRPr="00D949C9">
        <w:rPr>
          <w:rFonts w:ascii="Arial" w:hAnsi="Arial" w:cs="Arial"/>
          <w:b w:val="0"/>
          <w:color w:val="000000" w:themeColor="text1"/>
        </w:rPr>
        <w:t xml:space="preserve"> in postmenopausal </w:t>
      </w:r>
      <w:r w:rsidRPr="00980EE0">
        <w:rPr>
          <w:rFonts w:ascii="Arial" w:hAnsi="Arial" w:cs="Arial"/>
          <w:b w:val="0"/>
          <w:color w:val="000000" w:themeColor="text1"/>
        </w:rPr>
        <w:t xml:space="preserve">women receiving </w:t>
      </w:r>
      <w:r>
        <w:rPr>
          <w:rFonts w:ascii="Arial" w:hAnsi="Arial" w:cs="Arial"/>
          <w:b w:val="0"/>
          <w:color w:val="000000" w:themeColor="text1"/>
        </w:rPr>
        <w:t xml:space="preserve">ibandronate, alendronate and risedronate </w:t>
      </w:r>
      <w:r w:rsidRPr="00980EE0">
        <w:rPr>
          <w:rFonts w:ascii="Arial" w:hAnsi="Arial" w:cs="Arial"/>
          <w:b w:val="0"/>
          <w:color w:val="000000" w:themeColor="text1"/>
        </w:rPr>
        <w:t>over 96 weeks</w:t>
      </w:r>
      <w:r>
        <w:rPr>
          <w:rFonts w:ascii="Arial" w:hAnsi="Arial" w:cs="Arial"/>
          <w:b w:val="0"/>
          <w:color w:val="000000" w:themeColor="text1"/>
        </w:rPr>
        <w:t>. N is the number of women at each visit.</w:t>
      </w:r>
      <w:bookmarkEnd w:id="218"/>
    </w:p>
    <w:tbl>
      <w:tblPr>
        <w:tblStyle w:val="TableGrid"/>
        <w:tblW w:w="9491" w:type="dxa"/>
        <w:jc w:val="center"/>
        <w:tblLook w:val="04A0" w:firstRow="1" w:lastRow="0" w:firstColumn="1" w:lastColumn="0" w:noHBand="0" w:noVBand="1"/>
      </w:tblPr>
      <w:tblGrid>
        <w:gridCol w:w="1108"/>
        <w:gridCol w:w="479"/>
        <w:gridCol w:w="796"/>
        <w:gridCol w:w="1536"/>
        <w:gridCol w:w="478"/>
        <w:gridCol w:w="795"/>
        <w:gridCol w:w="1536"/>
        <w:gridCol w:w="478"/>
        <w:gridCol w:w="795"/>
        <w:gridCol w:w="1490"/>
      </w:tblGrid>
      <w:tr w:rsidR="00CC6074" w:rsidRPr="00CC6074" w:rsidTr="004A7F9C">
        <w:trPr>
          <w:trHeight w:val="246"/>
          <w:jc w:val="center"/>
        </w:trPr>
        <w:tc>
          <w:tcPr>
            <w:tcW w:w="9491" w:type="dxa"/>
            <w:gridSpan w:val="10"/>
            <w:vAlign w:val="center"/>
          </w:tcPr>
          <w:p w:rsidR="00CC6074" w:rsidRPr="00CC6074" w:rsidRDefault="00BC1086" w:rsidP="00900F2C">
            <w:pPr>
              <w:rPr>
                <w:b/>
                <w:sz w:val="16"/>
                <w:szCs w:val="16"/>
              </w:rPr>
            </w:pPr>
            <w:r>
              <w:rPr>
                <w:b/>
                <w:sz w:val="16"/>
                <w:szCs w:val="16"/>
              </w:rPr>
              <w:t>Bone b</w:t>
            </w:r>
            <w:r w:rsidR="00CC6074" w:rsidRPr="00CC6074">
              <w:rPr>
                <w:b/>
                <w:sz w:val="16"/>
                <w:szCs w:val="16"/>
              </w:rPr>
              <w:t>alance</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p>
        </w:tc>
        <w:tc>
          <w:tcPr>
            <w:tcW w:w="0" w:type="auto"/>
            <w:gridSpan w:val="3"/>
            <w:vAlign w:val="center"/>
          </w:tcPr>
          <w:p w:rsidR="00CC6074" w:rsidRPr="00CC6074" w:rsidRDefault="00CC6074" w:rsidP="00900F2C">
            <w:pPr>
              <w:rPr>
                <w:b/>
                <w:sz w:val="16"/>
                <w:szCs w:val="16"/>
              </w:rPr>
            </w:pPr>
            <w:r w:rsidRPr="00CC6074">
              <w:rPr>
                <w:b/>
                <w:sz w:val="16"/>
                <w:szCs w:val="16"/>
              </w:rPr>
              <w:t>Ibandronate</w:t>
            </w:r>
          </w:p>
        </w:tc>
        <w:tc>
          <w:tcPr>
            <w:tcW w:w="0" w:type="auto"/>
            <w:gridSpan w:val="3"/>
            <w:vAlign w:val="center"/>
          </w:tcPr>
          <w:p w:rsidR="00CC6074" w:rsidRPr="00CC6074" w:rsidRDefault="00CC6074" w:rsidP="00900F2C">
            <w:pPr>
              <w:rPr>
                <w:b/>
                <w:sz w:val="16"/>
                <w:szCs w:val="16"/>
              </w:rPr>
            </w:pPr>
            <w:r w:rsidRPr="00CC6074">
              <w:rPr>
                <w:b/>
                <w:sz w:val="16"/>
                <w:szCs w:val="16"/>
              </w:rPr>
              <w:t>Alendronate</w:t>
            </w:r>
          </w:p>
        </w:tc>
        <w:tc>
          <w:tcPr>
            <w:tcW w:w="2503" w:type="dxa"/>
            <w:gridSpan w:val="3"/>
            <w:vAlign w:val="center"/>
          </w:tcPr>
          <w:p w:rsidR="00CC6074" w:rsidRPr="00CC6074" w:rsidRDefault="00CC6074" w:rsidP="00900F2C">
            <w:pPr>
              <w:rPr>
                <w:b/>
                <w:sz w:val="16"/>
                <w:szCs w:val="16"/>
              </w:rPr>
            </w:pPr>
            <w:r w:rsidRPr="00CC6074">
              <w:rPr>
                <w:b/>
                <w:sz w:val="16"/>
                <w:szCs w:val="16"/>
              </w:rPr>
              <w:t>Risedronate</w:t>
            </w:r>
          </w:p>
        </w:tc>
      </w:tr>
      <w:tr w:rsidR="00CC6074" w:rsidRPr="00CC6074" w:rsidTr="004A7F9C">
        <w:trPr>
          <w:trHeight w:val="286"/>
          <w:jc w:val="center"/>
        </w:trPr>
        <w:tc>
          <w:tcPr>
            <w:tcW w:w="0" w:type="auto"/>
            <w:vAlign w:val="center"/>
          </w:tcPr>
          <w:p w:rsidR="00CC6074" w:rsidRPr="00CC6074" w:rsidRDefault="00CC6074" w:rsidP="00900F2C">
            <w:pPr>
              <w:rPr>
                <w:sz w:val="16"/>
                <w:szCs w:val="16"/>
              </w:rPr>
            </w:pP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0" w:type="auto"/>
            <w:vAlign w:val="center"/>
          </w:tcPr>
          <w:p w:rsidR="00CC6074" w:rsidRPr="00CC6074" w:rsidRDefault="00CC6074" w:rsidP="00900F2C">
            <w:pPr>
              <w:rPr>
                <w:sz w:val="16"/>
                <w:szCs w:val="16"/>
              </w:rPr>
            </w:pPr>
            <w:r w:rsidRPr="00CC6074">
              <w:rPr>
                <w:sz w:val="16"/>
                <w:szCs w:val="16"/>
              </w:rPr>
              <w:t>95% CI</w:t>
            </w: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0" w:type="auto"/>
            <w:vAlign w:val="center"/>
          </w:tcPr>
          <w:p w:rsidR="00CC6074" w:rsidRPr="00CC6074" w:rsidRDefault="00CC6074" w:rsidP="00900F2C">
            <w:pPr>
              <w:rPr>
                <w:sz w:val="16"/>
                <w:szCs w:val="16"/>
              </w:rPr>
            </w:pPr>
            <w:r w:rsidRPr="00CC6074">
              <w:rPr>
                <w:sz w:val="16"/>
                <w:szCs w:val="16"/>
              </w:rPr>
              <w:t>95% CI</w:t>
            </w: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1180" w:type="dxa"/>
            <w:vAlign w:val="center"/>
          </w:tcPr>
          <w:p w:rsidR="00CC6074" w:rsidRPr="00CC6074" w:rsidRDefault="00CC6074" w:rsidP="00900F2C">
            <w:pPr>
              <w:rPr>
                <w:sz w:val="16"/>
                <w:szCs w:val="16"/>
              </w:rPr>
            </w:pPr>
            <w:r w:rsidRPr="00CC6074">
              <w:rPr>
                <w:sz w:val="16"/>
                <w:szCs w:val="16"/>
              </w:rPr>
              <w:t>95% CI</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r w:rsidRPr="00CC6074">
              <w:rPr>
                <w:sz w:val="16"/>
                <w:szCs w:val="16"/>
              </w:rPr>
              <w:t>Baseline 1</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0.205</w:t>
            </w:r>
          </w:p>
        </w:tc>
        <w:tc>
          <w:tcPr>
            <w:tcW w:w="0" w:type="auto"/>
            <w:vAlign w:val="center"/>
          </w:tcPr>
          <w:p w:rsidR="00CC6074" w:rsidRPr="00CC6074" w:rsidRDefault="00CC6074" w:rsidP="00900F2C">
            <w:pPr>
              <w:rPr>
                <w:sz w:val="16"/>
                <w:szCs w:val="16"/>
              </w:rPr>
            </w:pPr>
            <w:r w:rsidRPr="00CC6074">
              <w:rPr>
                <w:sz w:val="16"/>
                <w:szCs w:val="16"/>
              </w:rPr>
              <w:t>(0.005, 0.405)</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-0.060</w:t>
            </w:r>
          </w:p>
        </w:tc>
        <w:tc>
          <w:tcPr>
            <w:tcW w:w="0" w:type="auto"/>
            <w:vAlign w:val="center"/>
          </w:tcPr>
          <w:p w:rsidR="00CC6074" w:rsidRPr="00CC6074" w:rsidRDefault="00CC6074" w:rsidP="00900F2C">
            <w:pPr>
              <w:rPr>
                <w:sz w:val="16"/>
                <w:szCs w:val="16"/>
              </w:rPr>
            </w:pPr>
            <w:r w:rsidRPr="00CC6074">
              <w:rPr>
                <w:sz w:val="16"/>
                <w:szCs w:val="16"/>
              </w:rPr>
              <w:t>(-0.262, 0.141)</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-0.004</w:t>
            </w:r>
          </w:p>
        </w:tc>
        <w:tc>
          <w:tcPr>
            <w:tcW w:w="1180" w:type="dxa"/>
            <w:vAlign w:val="center"/>
          </w:tcPr>
          <w:p w:rsidR="00CC6074" w:rsidRPr="00CC6074" w:rsidRDefault="00CC6074" w:rsidP="00900F2C">
            <w:pPr>
              <w:rPr>
                <w:sz w:val="16"/>
                <w:szCs w:val="16"/>
              </w:rPr>
            </w:pPr>
            <w:r w:rsidRPr="00CC6074">
              <w:rPr>
                <w:sz w:val="16"/>
                <w:szCs w:val="16"/>
              </w:rPr>
              <w:t>(-0.202,0.194)</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Baseline 2</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0.837</w:t>
            </w:r>
          </w:p>
        </w:tc>
        <w:tc>
          <w:tcPr>
            <w:tcW w:w="0" w:type="auto"/>
            <w:vAlign w:val="center"/>
          </w:tcPr>
          <w:p w:rsidR="00CC6074" w:rsidRPr="00CC6074" w:rsidRDefault="00CC6074" w:rsidP="00900F2C">
            <w:pPr>
              <w:rPr>
                <w:sz w:val="16"/>
                <w:szCs w:val="16"/>
              </w:rPr>
            </w:pPr>
            <w:r w:rsidRPr="00CC6074">
              <w:rPr>
                <w:sz w:val="16"/>
                <w:szCs w:val="16"/>
              </w:rPr>
              <w:t>(0.540, 1.134)</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0.582</w:t>
            </w:r>
          </w:p>
        </w:tc>
        <w:tc>
          <w:tcPr>
            <w:tcW w:w="0" w:type="auto"/>
            <w:vAlign w:val="center"/>
          </w:tcPr>
          <w:p w:rsidR="00CC6074" w:rsidRPr="00CC6074" w:rsidRDefault="00CC6074" w:rsidP="00900F2C">
            <w:pPr>
              <w:rPr>
                <w:sz w:val="16"/>
                <w:szCs w:val="16"/>
              </w:rPr>
            </w:pPr>
            <w:r w:rsidRPr="00CC6074">
              <w:rPr>
                <w:sz w:val="16"/>
                <w:szCs w:val="16"/>
              </w:rPr>
              <w:t>(0.282, 0.881)</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0.564</w:t>
            </w:r>
          </w:p>
        </w:tc>
        <w:tc>
          <w:tcPr>
            <w:tcW w:w="1180" w:type="dxa"/>
            <w:vAlign w:val="center"/>
          </w:tcPr>
          <w:p w:rsidR="00CC6074" w:rsidRPr="00CC6074" w:rsidRDefault="00CC6074" w:rsidP="00900F2C">
            <w:pPr>
              <w:rPr>
                <w:sz w:val="16"/>
                <w:szCs w:val="16"/>
              </w:rPr>
            </w:pPr>
            <w:r w:rsidRPr="00CC6074">
              <w:rPr>
                <w:sz w:val="16"/>
                <w:szCs w:val="16"/>
              </w:rPr>
              <w:t>(0.269, 0.858)</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1</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4.285</w:t>
            </w:r>
          </w:p>
        </w:tc>
        <w:tc>
          <w:tcPr>
            <w:tcW w:w="0" w:type="auto"/>
            <w:vAlign w:val="center"/>
          </w:tcPr>
          <w:p w:rsidR="00CC6074" w:rsidRPr="00CC6074" w:rsidRDefault="00CC6074" w:rsidP="00900F2C">
            <w:pPr>
              <w:rPr>
                <w:sz w:val="16"/>
                <w:szCs w:val="16"/>
              </w:rPr>
            </w:pPr>
            <w:r w:rsidRPr="00CC6074">
              <w:rPr>
                <w:sz w:val="16"/>
                <w:szCs w:val="16"/>
              </w:rPr>
              <w:t>(3.860, 4.710)</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1.758</w:t>
            </w:r>
          </w:p>
        </w:tc>
        <w:tc>
          <w:tcPr>
            <w:tcW w:w="0" w:type="auto"/>
            <w:vAlign w:val="center"/>
          </w:tcPr>
          <w:p w:rsidR="00CC6074" w:rsidRPr="00CC6074" w:rsidRDefault="00CC6074" w:rsidP="00900F2C">
            <w:pPr>
              <w:rPr>
                <w:sz w:val="16"/>
                <w:szCs w:val="16"/>
              </w:rPr>
            </w:pPr>
            <w:r w:rsidRPr="00CC6074">
              <w:rPr>
                <w:sz w:val="16"/>
                <w:szCs w:val="16"/>
              </w:rPr>
              <w:t>(1.329, 2.187)</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1.160</w:t>
            </w:r>
          </w:p>
        </w:tc>
        <w:tc>
          <w:tcPr>
            <w:tcW w:w="1180" w:type="dxa"/>
            <w:vAlign w:val="center"/>
          </w:tcPr>
          <w:p w:rsidR="00CC6074" w:rsidRPr="00CC6074" w:rsidRDefault="00CC6074" w:rsidP="00900F2C">
            <w:pPr>
              <w:rPr>
                <w:sz w:val="16"/>
                <w:szCs w:val="16"/>
              </w:rPr>
            </w:pPr>
            <w:r w:rsidRPr="00CC6074">
              <w:rPr>
                <w:sz w:val="16"/>
                <w:szCs w:val="16"/>
              </w:rPr>
              <w:t>(0.738, 1.581)</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r w:rsidRPr="00CC6074">
              <w:rPr>
                <w:sz w:val="16"/>
                <w:szCs w:val="16"/>
              </w:rPr>
              <w:t>Week 2</w:t>
            </w:r>
          </w:p>
        </w:tc>
        <w:tc>
          <w:tcPr>
            <w:tcW w:w="0" w:type="auto"/>
            <w:vAlign w:val="center"/>
          </w:tcPr>
          <w:p w:rsidR="00CC6074" w:rsidRPr="00CC6074" w:rsidRDefault="00CC6074" w:rsidP="00900F2C">
            <w:pPr>
              <w:rPr>
                <w:sz w:val="16"/>
                <w:szCs w:val="16"/>
              </w:rPr>
            </w:pPr>
            <w:r w:rsidRPr="00CC6074">
              <w:rPr>
                <w:sz w:val="16"/>
                <w:szCs w:val="16"/>
              </w:rPr>
              <w:t>53</w:t>
            </w:r>
          </w:p>
        </w:tc>
        <w:tc>
          <w:tcPr>
            <w:tcW w:w="0" w:type="auto"/>
            <w:vAlign w:val="center"/>
          </w:tcPr>
          <w:p w:rsidR="00CC6074" w:rsidRPr="00CC6074" w:rsidRDefault="00CC6074" w:rsidP="00900F2C">
            <w:pPr>
              <w:rPr>
                <w:sz w:val="16"/>
                <w:szCs w:val="16"/>
              </w:rPr>
            </w:pPr>
            <w:r w:rsidRPr="00CC6074">
              <w:rPr>
                <w:sz w:val="16"/>
                <w:szCs w:val="16"/>
              </w:rPr>
              <w:t>3.984</w:t>
            </w:r>
          </w:p>
        </w:tc>
        <w:tc>
          <w:tcPr>
            <w:tcW w:w="0" w:type="auto"/>
            <w:vAlign w:val="center"/>
          </w:tcPr>
          <w:p w:rsidR="00CC6074" w:rsidRPr="00CC6074" w:rsidRDefault="00CC6074" w:rsidP="00900F2C">
            <w:pPr>
              <w:rPr>
                <w:sz w:val="16"/>
                <w:szCs w:val="16"/>
              </w:rPr>
            </w:pPr>
            <w:r w:rsidRPr="00CC6074">
              <w:rPr>
                <w:sz w:val="16"/>
                <w:szCs w:val="16"/>
              </w:rPr>
              <w:t>(3.516, 4.452)</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2.309</w:t>
            </w:r>
          </w:p>
        </w:tc>
        <w:tc>
          <w:tcPr>
            <w:tcW w:w="0" w:type="auto"/>
            <w:vAlign w:val="center"/>
          </w:tcPr>
          <w:p w:rsidR="00CC6074" w:rsidRPr="00CC6074" w:rsidRDefault="00CC6074" w:rsidP="00900F2C">
            <w:pPr>
              <w:rPr>
                <w:sz w:val="16"/>
                <w:szCs w:val="16"/>
              </w:rPr>
            </w:pPr>
            <w:r w:rsidRPr="00CC6074">
              <w:rPr>
                <w:sz w:val="16"/>
                <w:szCs w:val="16"/>
              </w:rPr>
              <w:t>(1.833, 2.786)</w:t>
            </w:r>
          </w:p>
        </w:tc>
        <w:tc>
          <w:tcPr>
            <w:tcW w:w="0" w:type="auto"/>
            <w:vAlign w:val="center"/>
          </w:tcPr>
          <w:p w:rsidR="00CC6074" w:rsidRPr="00CC6074" w:rsidRDefault="00CC6074" w:rsidP="00900F2C">
            <w:pPr>
              <w:rPr>
                <w:sz w:val="16"/>
                <w:szCs w:val="16"/>
              </w:rPr>
            </w:pPr>
            <w:r w:rsidRPr="00CC6074">
              <w:rPr>
                <w:sz w:val="16"/>
                <w:szCs w:val="16"/>
              </w:rPr>
              <w:t>53</w:t>
            </w:r>
          </w:p>
        </w:tc>
        <w:tc>
          <w:tcPr>
            <w:tcW w:w="0" w:type="auto"/>
            <w:vAlign w:val="center"/>
          </w:tcPr>
          <w:p w:rsidR="00CC6074" w:rsidRPr="00CC6074" w:rsidRDefault="00CC6074" w:rsidP="00900F2C">
            <w:pPr>
              <w:rPr>
                <w:sz w:val="16"/>
                <w:szCs w:val="16"/>
              </w:rPr>
            </w:pPr>
            <w:r w:rsidRPr="00CC6074">
              <w:rPr>
                <w:sz w:val="16"/>
                <w:szCs w:val="16"/>
              </w:rPr>
              <w:t>2.043</w:t>
            </w:r>
          </w:p>
        </w:tc>
        <w:tc>
          <w:tcPr>
            <w:tcW w:w="1180" w:type="dxa"/>
            <w:vAlign w:val="center"/>
          </w:tcPr>
          <w:p w:rsidR="00CC6074" w:rsidRPr="00CC6074" w:rsidRDefault="00CC6074" w:rsidP="00900F2C">
            <w:pPr>
              <w:rPr>
                <w:sz w:val="16"/>
                <w:szCs w:val="16"/>
              </w:rPr>
            </w:pPr>
            <w:r w:rsidRPr="00CC6074">
              <w:rPr>
                <w:sz w:val="16"/>
                <w:szCs w:val="16"/>
              </w:rPr>
              <w:t>(1.575, 2.510)</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4</w:t>
            </w:r>
          </w:p>
        </w:tc>
        <w:tc>
          <w:tcPr>
            <w:tcW w:w="0" w:type="auto"/>
            <w:vAlign w:val="center"/>
          </w:tcPr>
          <w:p w:rsidR="00CC6074" w:rsidRPr="00CC6074" w:rsidRDefault="00CC6074" w:rsidP="00900F2C">
            <w:pPr>
              <w:rPr>
                <w:sz w:val="16"/>
                <w:szCs w:val="16"/>
              </w:rPr>
            </w:pPr>
            <w:r w:rsidRPr="00CC6074">
              <w:rPr>
                <w:sz w:val="16"/>
                <w:szCs w:val="16"/>
              </w:rPr>
              <w:t>52</w:t>
            </w:r>
          </w:p>
        </w:tc>
        <w:tc>
          <w:tcPr>
            <w:tcW w:w="0" w:type="auto"/>
            <w:vAlign w:val="center"/>
          </w:tcPr>
          <w:p w:rsidR="00CC6074" w:rsidRPr="00CC6074" w:rsidRDefault="00CC6074" w:rsidP="00900F2C">
            <w:pPr>
              <w:rPr>
                <w:sz w:val="16"/>
                <w:szCs w:val="16"/>
              </w:rPr>
            </w:pPr>
            <w:r w:rsidRPr="00CC6074">
              <w:rPr>
                <w:sz w:val="16"/>
                <w:szCs w:val="16"/>
              </w:rPr>
              <w:t>2.249</w:t>
            </w:r>
          </w:p>
        </w:tc>
        <w:tc>
          <w:tcPr>
            <w:tcW w:w="0" w:type="auto"/>
            <w:vAlign w:val="center"/>
          </w:tcPr>
          <w:p w:rsidR="00CC6074" w:rsidRPr="00CC6074" w:rsidRDefault="00CC6074" w:rsidP="00900F2C">
            <w:pPr>
              <w:rPr>
                <w:sz w:val="16"/>
                <w:szCs w:val="16"/>
              </w:rPr>
            </w:pPr>
            <w:r w:rsidRPr="00CC6074">
              <w:rPr>
                <w:sz w:val="16"/>
                <w:szCs w:val="16"/>
              </w:rPr>
              <w:t>(1.801, 2.697)</w:t>
            </w:r>
          </w:p>
        </w:tc>
        <w:tc>
          <w:tcPr>
            <w:tcW w:w="0" w:type="auto"/>
            <w:vAlign w:val="center"/>
          </w:tcPr>
          <w:p w:rsidR="00CC6074" w:rsidRPr="00CC6074" w:rsidRDefault="00CC6074" w:rsidP="00900F2C">
            <w:pPr>
              <w:rPr>
                <w:sz w:val="16"/>
                <w:szCs w:val="16"/>
              </w:rPr>
            </w:pPr>
            <w:r w:rsidRPr="00CC6074">
              <w:rPr>
                <w:sz w:val="16"/>
                <w:szCs w:val="16"/>
              </w:rPr>
              <w:t>52</w:t>
            </w:r>
          </w:p>
        </w:tc>
        <w:tc>
          <w:tcPr>
            <w:tcW w:w="0" w:type="auto"/>
            <w:vAlign w:val="center"/>
          </w:tcPr>
          <w:p w:rsidR="00CC6074" w:rsidRPr="00CC6074" w:rsidRDefault="00CC6074" w:rsidP="00900F2C">
            <w:pPr>
              <w:rPr>
                <w:sz w:val="16"/>
                <w:szCs w:val="16"/>
              </w:rPr>
            </w:pPr>
            <w:r w:rsidRPr="00CC6074">
              <w:rPr>
                <w:sz w:val="16"/>
                <w:szCs w:val="16"/>
              </w:rPr>
              <w:t>2.587</w:t>
            </w:r>
          </w:p>
        </w:tc>
        <w:tc>
          <w:tcPr>
            <w:tcW w:w="0" w:type="auto"/>
            <w:vAlign w:val="center"/>
          </w:tcPr>
          <w:p w:rsidR="00CC6074" w:rsidRPr="00CC6074" w:rsidRDefault="00CC6074" w:rsidP="00900F2C">
            <w:pPr>
              <w:rPr>
                <w:sz w:val="16"/>
                <w:szCs w:val="16"/>
              </w:rPr>
            </w:pPr>
            <w:r w:rsidRPr="00CC6074">
              <w:rPr>
                <w:sz w:val="16"/>
                <w:szCs w:val="16"/>
              </w:rPr>
              <w:t>(2.139, 3.035)</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1.990</w:t>
            </w:r>
          </w:p>
        </w:tc>
        <w:tc>
          <w:tcPr>
            <w:tcW w:w="1180" w:type="dxa"/>
            <w:vAlign w:val="center"/>
          </w:tcPr>
          <w:p w:rsidR="00CC6074" w:rsidRPr="00CC6074" w:rsidRDefault="00CC6074" w:rsidP="00900F2C">
            <w:pPr>
              <w:rPr>
                <w:sz w:val="16"/>
                <w:szCs w:val="16"/>
              </w:rPr>
            </w:pPr>
            <w:r w:rsidRPr="00CC6074">
              <w:rPr>
                <w:sz w:val="16"/>
                <w:szCs w:val="16"/>
              </w:rPr>
              <w:t>(1.537, 2.442)</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12</w:t>
            </w:r>
          </w:p>
        </w:tc>
        <w:tc>
          <w:tcPr>
            <w:tcW w:w="0" w:type="auto"/>
            <w:vAlign w:val="center"/>
          </w:tcPr>
          <w:p w:rsidR="00CC6074" w:rsidRPr="00CC6074" w:rsidRDefault="00CC6074" w:rsidP="00900F2C">
            <w:pPr>
              <w:rPr>
                <w:sz w:val="16"/>
                <w:szCs w:val="16"/>
              </w:rPr>
            </w:pPr>
            <w:r w:rsidRPr="00CC6074">
              <w:rPr>
                <w:sz w:val="16"/>
                <w:szCs w:val="16"/>
              </w:rPr>
              <w:t>49</w:t>
            </w:r>
          </w:p>
        </w:tc>
        <w:tc>
          <w:tcPr>
            <w:tcW w:w="0" w:type="auto"/>
            <w:vAlign w:val="center"/>
          </w:tcPr>
          <w:p w:rsidR="00CC6074" w:rsidRPr="00CC6074" w:rsidRDefault="00CC6074" w:rsidP="00900F2C">
            <w:pPr>
              <w:rPr>
                <w:sz w:val="16"/>
                <w:szCs w:val="16"/>
              </w:rPr>
            </w:pPr>
            <w:r w:rsidRPr="00CC6074">
              <w:rPr>
                <w:sz w:val="16"/>
                <w:szCs w:val="16"/>
              </w:rPr>
              <w:t>0.326</w:t>
            </w:r>
          </w:p>
        </w:tc>
        <w:tc>
          <w:tcPr>
            <w:tcW w:w="0" w:type="auto"/>
            <w:vAlign w:val="center"/>
          </w:tcPr>
          <w:p w:rsidR="00CC6074" w:rsidRPr="00CC6074" w:rsidRDefault="00CC6074" w:rsidP="00900F2C">
            <w:pPr>
              <w:rPr>
                <w:sz w:val="16"/>
                <w:szCs w:val="16"/>
              </w:rPr>
            </w:pPr>
            <w:r w:rsidRPr="00CC6074">
              <w:rPr>
                <w:sz w:val="16"/>
                <w:szCs w:val="16"/>
              </w:rPr>
              <w:t>(-0.018, 0.670)</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1.077</w:t>
            </w:r>
          </w:p>
        </w:tc>
        <w:tc>
          <w:tcPr>
            <w:tcW w:w="0" w:type="auto"/>
            <w:vAlign w:val="center"/>
          </w:tcPr>
          <w:p w:rsidR="00CC6074" w:rsidRPr="00CC6074" w:rsidRDefault="00CC6074" w:rsidP="00900F2C">
            <w:pPr>
              <w:rPr>
                <w:sz w:val="16"/>
                <w:szCs w:val="16"/>
              </w:rPr>
            </w:pPr>
            <w:r w:rsidRPr="00CC6074">
              <w:rPr>
                <w:sz w:val="16"/>
                <w:szCs w:val="16"/>
              </w:rPr>
              <w:t>(0.740, 1.414)</w:t>
            </w:r>
          </w:p>
        </w:tc>
        <w:tc>
          <w:tcPr>
            <w:tcW w:w="0" w:type="auto"/>
            <w:vAlign w:val="center"/>
          </w:tcPr>
          <w:p w:rsidR="00CC6074" w:rsidRPr="00CC6074" w:rsidRDefault="00CC6074" w:rsidP="00900F2C">
            <w:pPr>
              <w:rPr>
                <w:sz w:val="16"/>
                <w:szCs w:val="16"/>
              </w:rPr>
            </w:pPr>
            <w:r w:rsidRPr="00CC6074">
              <w:rPr>
                <w:sz w:val="16"/>
                <w:szCs w:val="16"/>
              </w:rPr>
              <w:t>47</w:t>
            </w:r>
          </w:p>
        </w:tc>
        <w:tc>
          <w:tcPr>
            <w:tcW w:w="0" w:type="auto"/>
            <w:vAlign w:val="center"/>
          </w:tcPr>
          <w:p w:rsidR="00CC6074" w:rsidRPr="00CC6074" w:rsidRDefault="00CC6074" w:rsidP="00900F2C">
            <w:pPr>
              <w:rPr>
                <w:sz w:val="16"/>
                <w:szCs w:val="16"/>
              </w:rPr>
            </w:pPr>
            <w:r w:rsidRPr="00CC6074">
              <w:rPr>
                <w:sz w:val="16"/>
                <w:szCs w:val="16"/>
              </w:rPr>
              <w:t>0.685</w:t>
            </w:r>
          </w:p>
        </w:tc>
        <w:tc>
          <w:tcPr>
            <w:tcW w:w="1180" w:type="dxa"/>
            <w:vAlign w:val="center"/>
          </w:tcPr>
          <w:p w:rsidR="00CC6074" w:rsidRPr="00CC6074" w:rsidRDefault="00CC6074" w:rsidP="00900F2C">
            <w:pPr>
              <w:rPr>
                <w:sz w:val="16"/>
                <w:szCs w:val="16"/>
              </w:rPr>
            </w:pPr>
            <w:r w:rsidRPr="00CC6074">
              <w:rPr>
                <w:sz w:val="16"/>
                <w:szCs w:val="16"/>
              </w:rPr>
              <w:t>(0.334, 1.036)</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48</w:t>
            </w:r>
          </w:p>
        </w:tc>
        <w:tc>
          <w:tcPr>
            <w:tcW w:w="0" w:type="auto"/>
            <w:vAlign w:val="center"/>
          </w:tcPr>
          <w:p w:rsidR="00CC6074" w:rsidRPr="00CC6074" w:rsidRDefault="00CC6074" w:rsidP="00900F2C">
            <w:pPr>
              <w:rPr>
                <w:sz w:val="16"/>
                <w:szCs w:val="16"/>
              </w:rPr>
            </w:pPr>
            <w:r w:rsidRPr="00CC6074">
              <w:rPr>
                <w:sz w:val="16"/>
                <w:szCs w:val="16"/>
              </w:rPr>
              <w:t>44</w:t>
            </w:r>
          </w:p>
        </w:tc>
        <w:tc>
          <w:tcPr>
            <w:tcW w:w="0" w:type="auto"/>
            <w:vAlign w:val="center"/>
          </w:tcPr>
          <w:p w:rsidR="00CC6074" w:rsidRPr="00CC6074" w:rsidRDefault="00CC6074" w:rsidP="00900F2C">
            <w:pPr>
              <w:rPr>
                <w:sz w:val="16"/>
                <w:szCs w:val="16"/>
              </w:rPr>
            </w:pPr>
            <w:r w:rsidRPr="00CC6074">
              <w:rPr>
                <w:sz w:val="16"/>
                <w:szCs w:val="16"/>
              </w:rPr>
              <w:t>0.173</w:t>
            </w:r>
          </w:p>
        </w:tc>
        <w:tc>
          <w:tcPr>
            <w:tcW w:w="0" w:type="auto"/>
            <w:vAlign w:val="center"/>
          </w:tcPr>
          <w:p w:rsidR="00CC6074" w:rsidRPr="00CC6074" w:rsidRDefault="00CC6074" w:rsidP="00900F2C">
            <w:pPr>
              <w:rPr>
                <w:sz w:val="16"/>
                <w:szCs w:val="16"/>
              </w:rPr>
            </w:pPr>
            <w:r w:rsidRPr="00CC6074">
              <w:rPr>
                <w:sz w:val="16"/>
                <w:szCs w:val="16"/>
              </w:rPr>
              <w:t>(-0.180, 0.527)</w:t>
            </w:r>
          </w:p>
        </w:tc>
        <w:tc>
          <w:tcPr>
            <w:tcW w:w="0" w:type="auto"/>
            <w:vAlign w:val="center"/>
          </w:tcPr>
          <w:p w:rsidR="00CC6074" w:rsidRPr="00CC6074" w:rsidRDefault="00CC6074" w:rsidP="00900F2C">
            <w:pPr>
              <w:rPr>
                <w:sz w:val="16"/>
                <w:szCs w:val="16"/>
              </w:rPr>
            </w:pPr>
            <w:r w:rsidRPr="00CC6074">
              <w:rPr>
                <w:sz w:val="16"/>
                <w:szCs w:val="16"/>
              </w:rPr>
              <w:t>48</w:t>
            </w:r>
          </w:p>
        </w:tc>
        <w:tc>
          <w:tcPr>
            <w:tcW w:w="0" w:type="auto"/>
            <w:vAlign w:val="center"/>
          </w:tcPr>
          <w:p w:rsidR="00CC6074" w:rsidRPr="00CC6074" w:rsidRDefault="00CC6074" w:rsidP="00900F2C">
            <w:pPr>
              <w:rPr>
                <w:sz w:val="16"/>
                <w:szCs w:val="16"/>
              </w:rPr>
            </w:pPr>
            <w:r w:rsidRPr="00CC6074">
              <w:rPr>
                <w:sz w:val="16"/>
                <w:szCs w:val="16"/>
              </w:rPr>
              <w:t>0.597</w:t>
            </w:r>
          </w:p>
        </w:tc>
        <w:tc>
          <w:tcPr>
            <w:tcW w:w="0" w:type="auto"/>
            <w:vAlign w:val="center"/>
          </w:tcPr>
          <w:p w:rsidR="00CC6074" w:rsidRPr="00CC6074" w:rsidRDefault="00CC6074" w:rsidP="00900F2C">
            <w:pPr>
              <w:rPr>
                <w:sz w:val="16"/>
                <w:szCs w:val="16"/>
              </w:rPr>
            </w:pPr>
            <w:r w:rsidRPr="00CC6074">
              <w:rPr>
                <w:sz w:val="16"/>
                <w:szCs w:val="16"/>
              </w:rPr>
              <w:t>(0.259, 0.935)</w:t>
            </w:r>
          </w:p>
        </w:tc>
        <w:tc>
          <w:tcPr>
            <w:tcW w:w="0" w:type="auto"/>
            <w:vAlign w:val="center"/>
          </w:tcPr>
          <w:p w:rsidR="00CC6074" w:rsidRPr="00CC6074" w:rsidRDefault="00CC6074" w:rsidP="00900F2C">
            <w:pPr>
              <w:rPr>
                <w:sz w:val="16"/>
                <w:szCs w:val="16"/>
              </w:rPr>
            </w:pPr>
            <w:r w:rsidRPr="00CC6074">
              <w:rPr>
                <w:sz w:val="16"/>
                <w:szCs w:val="16"/>
              </w:rPr>
              <w:t>44</w:t>
            </w:r>
          </w:p>
        </w:tc>
        <w:tc>
          <w:tcPr>
            <w:tcW w:w="0" w:type="auto"/>
            <w:vAlign w:val="center"/>
          </w:tcPr>
          <w:p w:rsidR="00CC6074" w:rsidRPr="00CC6074" w:rsidRDefault="00CC6074" w:rsidP="00900F2C">
            <w:pPr>
              <w:rPr>
                <w:sz w:val="16"/>
                <w:szCs w:val="16"/>
              </w:rPr>
            </w:pPr>
            <w:r w:rsidRPr="00CC6074">
              <w:rPr>
                <w:sz w:val="16"/>
                <w:szCs w:val="16"/>
              </w:rPr>
              <w:t>0.248</w:t>
            </w:r>
          </w:p>
        </w:tc>
        <w:tc>
          <w:tcPr>
            <w:tcW w:w="1180" w:type="dxa"/>
            <w:vAlign w:val="center"/>
          </w:tcPr>
          <w:p w:rsidR="00CC6074" w:rsidRPr="00CC6074" w:rsidRDefault="00CC6074" w:rsidP="00900F2C">
            <w:pPr>
              <w:rPr>
                <w:sz w:val="16"/>
                <w:szCs w:val="16"/>
              </w:rPr>
            </w:pPr>
            <w:r w:rsidRPr="00CC6074">
              <w:rPr>
                <w:sz w:val="16"/>
                <w:szCs w:val="16"/>
              </w:rPr>
              <w:t>(-0.106, 0.601)</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r w:rsidRPr="00CC6074">
              <w:rPr>
                <w:sz w:val="16"/>
                <w:szCs w:val="16"/>
              </w:rPr>
              <w:t>Week 96</w:t>
            </w:r>
          </w:p>
        </w:tc>
        <w:tc>
          <w:tcPr>
            <w:tcW w:w="0" w:type="auto"/>
            <w:vAlign w:val="center"/>
          </w:tcPr>
          <w:p w:rsidR="00CC6074" w:rsidRPr="00CC6074" w:rsidRDefault="00CC6074" w:rsidP="00900F2C">
            <w:pPr>
              <w:rPr>
                <w:sz w:val="16"/>
                <w:szCs w:val="16"/>
              </w:rPr>
            </w:pPr>
            <w:r w:rsidRPr="00CC6074">
              <w:rPr>
                <w:sz w:val="16"/>
                <w:szCs w:val="16"/>
              </w:rPr>
              <w:t>28</w:t>
            </w:r>
          </w:p>
        </w:tc>
        <w:tc>
          <w:tcPr>
            <w:tcW w:w="0" w:type="auto"/>
            <w:vAlign w:val="center"/>
          </w:tcPr>
          <w:p w:rsidR="00CC6074" w:rsidRPr="00CC6074" w:rsidRDefault="00CC6074" w:rsidP="00900F2C">
            <w:pPr>
              <w:rPr>
                <w:sz w:val="16"/>
                <w:szCs w:val="16"/>
              </w:rPr>
            </w:pPr>
            <w:r w:rsidRPr="00CC6074">
              <w:rPr>
                <w:sz w:val="16"/>
                <w:szCs w:val="16"/>
              </w:rPr>
              <w:t>0.052</w:t>
            </w:r>
          </w:p>
        </w:tc>
        <w:tc>
          <w:tcPr>
            <w:tcW w:w="0" w:type="auto"/>
            <w:vAlign w:val="center"/>
          </w:tcPr>
          <w:p w:rsidR="00CC6074" w:rsidRPr="00CC6074" w:rsidRDefault="00CC6074" w:rsidP="00900F2C">
            <w:pPr>
              <w:rPr>
                <w:sz w:val="16"/>
                <w:szCs w:val="16"/>
              </w:rPr>
            </w:pPr>
            <w:r w:rsidRPr="00CC6074">
              <w:rPr>
                <w:sz w:val="16"/>
                <w:szCs w:val="16"/>
              </w:rPr>
              <w:t>(-0.426, 0.530)</w:t>
            </w:r>
          </w:p>
        </w:tc>
        <w:tc>
          <w:tcPr>
            <w:tcW w:w="0" w:type="auto"/>
            <w:vAlign w:val="center"/>
          </w:tcPr>
          <w:p w:rsidR="00CC6074" w:rsidRPr="00CC6074" w:rsidRDefault="00CC6074" w:rsidP="00900F2C">
            <w:pPr>
              <w:rPr>
                <w:sz w:val="16"/>
                <w:szCs w:val="16"/>
              </w:rPr>
            </w:pPr>
            <w:r w:rsidRPr="00CC6074">
              <w:rPr>
                <w:sz w:val="16"/>
                <w:szCs w:val="16"/>
              </w:rPr>
              <w:t>31</w:t>
            </w:r>
          </w:p>
        </w:tc>
        <w:tc>
          <w:tcPr>
            <w:tcW w:w="0" w:type="auto"/>
            <w:vAlign w:val="center"/>
          </w:tcPr>
          <w:p w:rsidR="00CC6074" w:rsidRPr="00CC6074" w:rsidRDefault="00CC6074" w:rsidP="00900F2C">
            <w:pPr>
              <w:rPr>
                <w:sz w:val="16"/>
                <w:szCs w:val="16"/>
              </w:rPr>
            </w:pPr>
            <w:r w:rsidRPr="00CC6074">
              <w:rPr>
                <w:sz w:val="16"/>
                <w:szCs w:val="16"/>
              </w:rPr>
              <w:t>0.662</w:t>
            </w:r>
          </w:p>
        </w:tc>
        <w:tc>
          <w:tcPr>
            <w:tcW w:w="0" w:type="auto"/>
            <w:vAlign w:val="center"/>
          </w:tcPr>
          <w:p w:rsidR="00CC6074" w:rsidRPr="00CC6074" w:rsidRDefault="00CC6074" w:rsidP="00900F2C">
            <w:pPr>
              <w:rPr>
                <w:sz w:val="16"/>
                <w:szCs w:val="16"/>
              </w:rPr>
            </w:pPr>
            <w:r w:rsidRPr="00CC6074">
              <w:rPr>
                <w:sz w:val="16"/>
                <w:szCs w:val="16"/>
              </w:rPr>
              <w:t>(0.207, 1.116)</w:t>
            </w:r>
          </w:p>
        </w:tc>
        <w:tc>
          <w:tcPr>
            <w:tcW w:w="0" w:type="auto"/>
            <w:vAlign w:val="center"/>
          </w:tcPr>
          <w:p w:rsidR="00CC6074" w:rsidRPr="00CC6074" w:rsidRDefault="00CC6074" w:rsidP="00900F2C">
            <w:pPr>
              <w:rPr>
                <w:sz w:val="16"/>
                <w:szCs w:val="16"/>
              </w:rPr>
            </w:pPr>
            <w:r w:rsidRPr="00CC6074">
              <w:rPr>
                <w:sz w:val="16"/>
                <w:szCs w:val="16"/>
              </w:rPr>
              <w:t>27</w:t>
            </w:r>
          </w:p>
        </w:tc>
        <w:tc>
          <w:tcPr>
            <w:tcW w:w="0" w:type="auto"/>
            <w:vAlign w:val="center"/>
          </w:tcPr>
          <w:p w:rsidR="00CC6074" w:rsidRPr="00CC6074" w:rsidRDefault="00CC6074" w:rsidP="00900F2C">
            <w:pPr>
              <w:rPr>
                <w:sz w:val="16"/>
                <w:szCs w:val="16"/>
              </w:rPr>
            </w:pPr>
            <w:r w:rsidRPr="00CC6074">
              <w:rPr>
                <w:sz w:val="16"/>
                <w:szCs w:val="16"/>
              </w:rPr>
              <w:t>-0.088</w:t>
            </w:r>
          </w:p>
        </w:tc>
        <w:tc>
          <w:tcPr>
            <w:tcW w:w="1180" w:type="dxa"/>
            <w:vAlign w:val="center"/>
          </w:tcPr>
          <w:p w:rsidR="00CC6074" w:rsidRPr="00CC6074" w:rsidRDefault="00CC6074" w:rsidP="00900F2C">
            <w:pPr>
              <w:rPr>
                <w:sz w:val="16"/>
                <w:szCs w:val="16"/>
              </w:rPr>
            </w:pPr>
            <w:r w:rsidRPr="00CC6074">
              <w:rPr>
                <w:sz w:val="16"/>
                <w:szCs w:val="16"/>
              </w:rPr>
              <w:t>(-0.575, 0.399)</w:t>
            </w:r>
          </w:p>
        </w:tc>
      </w:tr>
      <w:tr w:rsidR="00CC6074" w:rsidRPr="00CC6074" w:rsidTr="004A7F9C">
        <w:trPr>
          <w:trHeight w:val="265"/>
          <w:jc w:val="center"/>
        </w:trPr>
        <w:tc>
          <w:tcPr>
            <w:tcW w:w="9491" w:type="dxa"/>
            <w:gridSpan w:val="10"/>
            <w:vAlign w:val="center"/>
          </w:tcPr>
          <w:p w:rsidR="00CC6074" w:rsidRPr="00CC6074" w:rsidRDefault="00BC1086" w:rsidP="00900F2C">
            <w:pPr>
              <w:rPr>
                <w:b/>
                <w:sz w:val="16"/>
                <w:szCs w:val="16"/>
              </w:rPr>
            </w:pPr>
            <w:r>
              <w:rPr>
                <w:b/>
                <w:sz w:val="16"/>
                <w:szCs w:val="16"/>
              </w:rPr>
              <w:t>Bone t</w:t>
            </w:r>
            <w:r w:rsidR="00CC6074" w:rsidRPr="00CC6074">
              <w:rPr>
                <w:b/>
                <w:sz w:val="16"/>
                <w:szCs w:val="16"/>
              </w:rPr>
              <w:t>urnover</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p>
        </w:tc>
        <w:tc>
          <w:tcPr>
            <w:tcW w:w="0" w:type="auto"/>
            <w:gridSpan w:val="3"/>
            <w:vAlign w:val="center"/>
          </w:tcPr>
          <w:p w:rsidR="00CC6074" w:rsidRPr="00CC6074" w:rsidRDefault="00CC6074" w:rsidP="00900F2C">
            <w:pPr>
              <w:rPr>
                <w:b/>
                <w:sz w:val="16"/>
                <w:szCs w:val="16"/>
              </w:rPr>
            </w:pPr>
            <w:r w:rsidRPr="00CC6074">
              <w:rPr>
                <w:b/>
                <w:sz w:val="16"/>
                <w:szCs w:val="16"/>
              </w:rPr>
              <w:t>Ibandronate</w:t>
            </w:r>
          </w:p>
        </w:tc>
        <w:tc>
          <w:tcPr>
            <w:tcW w:w="0" w:type="auto"/>
            <w:gridSpan w:val="3"/>
            <w:vAlign w:val="center"/>
          </w:tcPr>
          <w:p w:rsidR="00CC6074" w:rsidRPr="00CC6074" w:rsidRDefault="00CC6074" w:rsidP="00900F2C">
            <w:pPr>
              <w:rPr>
                <w:b/>
                <w:sz w:val="16"/>
                <w:szCs w:val="16"/>
              </w:rPr>
            </w:pPr>
            <w:r w:rsidRPr="00CC6074">
              <w:rPr>
                <w:b/>
                <w:sz w:val="16"/>
                <w:szCs w:val="16"/>
              </w:rPr>
              <w:t>Alendronate</w:t>
            </w:r>
          </w:p>
        </w:tc>
        <w:tc>
          <w:tcPr>
            <w:tcW w:w="2503" w:type="dxa"/>
            <w:gridSpan w:val="3"/>
            <w:vAlign w:val="center"/>
          </w:tcPr>
          <w:p w:rsidR="00CC6074" w:rsidRPr="00CC6074" w:rsidRDefault="00CC6074" w:rsidP="00900F2C">
            <w:pPr>
              <w:rPr>
                <w:b/>
                <w:sz w:val="16"/>
                <w:szCs w:val="16"/>
              </w:rPr>
            </w:pPr>
            <w:r w:rsidRPr="00CC6074">
              <w:rPr>
                <w:b/>
                <w:sz w:val="16"/>
                <w:szCs w:val="16"/>
              </w:rPr>
              <w:t>Risedronate</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0" w:type="auto"/>
            <w:vAlign w:val="center"/>
          </w:tcPr>
          <w:p w:rsidR="00CC6074" w:rsidRPr="00CC6074" w:rsidRDefault="00CC6074" w:rsidP="00900F2C">
            <w:pPr>
              <w:rPr>
                <w:sz w:val="16"/>
                <w:szCs w:val="16"/>
              </w:rPr>
            </w:pPr>
            <w:r w:rsidRPr="00CC6074">
              <w:rPr>
                <w:sz w:val="16"/>
                <w:szCs w:val="16"/>
              </w:rPr>
              <w:t>95% CI</w:t>
            </w: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0" w:type="auto"/>
            <w:vAlign w:val="center"/>
          </w:tcPr>
          <w:p w:rsidR="00CC6074" w:rsidRPr="00CC6074" w:rsidRDefault="00CC6074" w:rsidP="00900F2C">
            <w:pPr>
              <w:rPr>
                <w:sz w:val="16"/>
                <w:szCs w:val="16"/>
              </w:rPr>
            </w:pPr>
            <w:r w:rsidRPr="00CC6074">
              <w:rPr>
                <w:sz w:val="16"/>
                <w:szCs w:val="16"/>
              </w:rPr>
              <w:t>95% CI</w:t>
            </w:r>
          </w:p>
        </w:tc>
        <w:tc>
          <w:tcPr>
            <w:tcW w:w="0" w:type="auto"/>
            <w:vAlign w:val="center"/>
          </w:tcPr>
          <w:p w:rsidR="00CC6074" w:rsidRPr="00CC6074" w:rsidRDefault="00CC6074" w:rsidP="00900F2C">
            <w:pPr>
              <w:rPr>
                <w:sz w:val="16"/>
                <w:szCs w:val="16"/>
              </w:rPr>
            </w:pPr>
            <w:r w:rsidRPr="00CC6074">
              <w:rPr>
                <w:sz w:val="16"/>
                <w:szCs w:val="16"/>
              </w:rPr>
              <w:t>N</w:t>
            </w:r>
          </w:p>
        </w:tc>
        <w:tc>
          <w:tcPr>
            <w:tcW w:w="0" w:type="auto"/>
            <w:vAlign w:val="center"/>
          </w:tcPr>
          <w:p w:rsidR="00CC6074" w:rsidRPr="00CC6074" w:rsidRDefault="00CC6074" w:rsidP="00900F2C">
            <w:pPr>
              <w:rPr>
                <w:sz w:val="16"/>
                <w:szCs w:val="16"/>
              </w:rPr>
            </w:pPr>
            <w:r w:rsidRPr="00CC6074">
              <w:rPr>
                <w:sz w:val="16"/>
                <w:szCs w:val="16"/>
              </w:rPr>
              <w:t>Mean</w:t>
            </w:r>
          </w:p>
        </w:tc>
        <w:tc>
          <w:tcPr>
            <w:tcW w:w="1180" w:type="dxa"/>
            <w:vAlign w:val="center"/>
          </w:tcPr>
          <w:p w:rsidR="00CC6074" w:rsidRPr="00CC6074" w:rsidRDefault="00CC6074" w:rsidP="00900F2C">
            <w:pPr>
              <w:rPr>
                <w:sz w:val="16"/>
                <w:szCs w:val="16"/>
              </w:rPr>
            </w:pPr>
            <w:r w:rsidRPr="00CC6074">
              <w:rPr>
                <w:sz w:val="16"/>
                <w:szCs w:val="16"/>
              </w:rPr>
              <w:t>95% CI</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Baseline 1</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1.553</w:t>
            </w:r>
          </w:p>
        </w:tc>
        <w:tc>
          <w:tcPr>
            <w:tcW w:w="0" w:type="auto"/>
            <w:vAlign w:val="center"/>
          </w:tcPr>
          <w:p w:rsidR="00CC6074" w:rsidRPr="00CC6074" w:rsidRDefault="00CC6074" w:rsidP="00900F2C">
            <w:pPr>
              <w:rPr>
                <w:sz w:val="16"/>
                <w:szCs w:val="16"/>
              </w:rPr>
            </w:pPr>
            <w:r w:rsidRPr="00CC6074">
              <w:rPr>
                <w:sz w:val="16"/>
                <w:szCs w:val="16"/>
              </w:rPr>
              <w:t>(1.336, 1.770)</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1.342</w:t>
            </w:r>
          </w:p>
        </w:tc>
        <w:tc>
          <w:tcPr>
            <w:tcW w:w="0" w:type="auto"/>
            <w:vAlign w:val="center"/>
          </w:tcPr>
          <w:p w:rsidR="00CC6074" w:rsidRPr="00CC6074" w:rsidRDefault="00CC6074" w:rsidP="00900F2C">
            <w:pPr>
              <w:rPr>
                <w:sz w:val="16"/>
                <w:szCs w:val="16"/>
              </w:rPr>
            </w:pPr>
            <w:r w:rsidRPr="00CC6074">
              <w:rPr>
                <w:sz w:val="16"/>
                <w:szCs w:val="16"/>
              </w:rPr>
              <w:t>(1.123, 1.562)</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1.218</w:t>
            </w:r>
          </w:p>
        </w:tc>
        <w:tc>
          <w:tcPr>
            <w:tcW w:w="1180" w:type="dxa"/>
            <w:vAlign w:val="center"/>
          </w:tcPr>
          <w:p w:rsidR="00CC6074" w:rsidRPr="00CC6074" w:rsidRDefault="00CC6074" w:rsidP="00900F2C">
            <w:pPr>
              <w:rPr>
                <w:sz w:val="16"/>
                <w:szCs w:val="16"/>
              </w:rPr>
            </w:pPr>
            <w:r w:rsidRPr="00CC6074">
              <w:rPr>
                <w:sz w:val="16"/>
                <w:szCs w:val="16"/>
              </w:rPr>
              <w:t>(1.003, 1.433)</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Baseline 2</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1.382</w:t>
            </w:r>
          </w:p>
        </w:tc>
        <w:tc>
          <w:tcPr>
            <w:tcW w:w="0" w:type="auto"/>
            <w:vAlign w:val="center"/>
          </w:tcPr>
          <w:p w:rsidR="00CC6074" w:rsidRPr="00CC6074" w:rsidRDefault="00CC6074" w:rsidP="00900F2C">
            <w:pPr>
              <w:rPr>
                <w:sz w:val="16"/>
                <w:szCs w:val="16"/>
              </w:rPr>
            </w:pPr>
            <w:r w:rsidRPr="00CC6074">
              <w:rPr>
                <w:sz w:val="16"/>
                <w:szCs w:val="16"/>
              </w:rPr>
              <w:t>(1.124, 1.640)</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1.145</w:t>
            </w:r>
          </w:p>
        </w:tc>
        <w:tc>
          <w:tcPr>
            <w:tcW w:w="0" w:type="auto"/>
            <w:vAlign w:val="center"/>
          </w:tcPr>
          <w:p w:rsidR="00CC6074" w:rsidRPr="00CC6074" w:rsidRDefault="00CC6074" w:rsidP="00900F2C">
            <w:pPr>
              <w:rPr>
                <w:sz w:val="16"/>
                <w:szCs w:val="16"/>
              </w:rPr>
            </w:pPr>
            <w:r w:rsidRPr="00CC6074">
              <w:rPr>
                <w:sz w:val="16"/>
                <w:szCs w:val="16"/>
              </w:rPr>
              <w:t>(0.884, 1.405)</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0.906</w:t>
            </w:r>
          </w:p>
        </w:tc>
        <w:tc>
          <w:tcPr>
            <w:tcW w:w="1180" w:type="dxa"/>
            <w:vAlign w:val="center"/>
          </w:tcPr>
          <w:p w:rsidR="00CC6074" w:rsidRPr="00CC6074" w:rsidRDefault="00CC6074" w:rsidP="00900F2C">
            <w:pPr>
              <w:rPr>
                <w:sz w:val="16"/>
                <w:szCs w:val="16"/>
              </w:rPr>
            </w:pPr>
            <w:r w:rsidRPr="00CC6074">
              <w:rPr>
                <w:sz w:val="16"/>
                <w:szCs w:val="16"/>
              </w:rPr>
              <w:t>(0.650, 1.161)</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r w:rsidRPr="00CC6074">
              <w:rPr>
                <w:sz w:val="16"/>
                <w:szCs w:val="16"/>
              </w:rPr>
              <w:t>Week 1</w:t>
            </w:r>
          </w:p>
        </w:tc>
        <w:tc>
          <w:tcPr>
            <w:tcW w:w="0" w:type="auto"/>
            <w:vAlign w:val="center"/>
          </w:tcPr>
          <w:p w:rsidR="00CC6074" w:rsidRPr="00CC6074" w:rsidRDefault="00CC6074" w:rsidP="00900F2C">
            <w:pPr>
              <w:rPr>
                <w:sz w:val="16"/>
                <w:szCs w:val="16"/>
              </w:rPr>
            </w:pPr>
            <w:r w:rsidRPr="00CC6074">
              <w:rPr>
                <w:sz w:val="16"/>
                <w:szCs w:val="16"/>
              </w:rPr>
              <w:t>55</w:t>
            </w:r>
          </w:p>
        </w:tc>
        <w:tc>
          <w:tcPr>
            <w:tcW w:w="0" w:type="auto"/>
            <w:vAlign w:val="center"/>
          </w:tcPr>
          <w:p w:rsidR="00CC6074" w:rsidRPr="00CC6074" w:rsidRDefault="00CC6074" w:rsidP="00900F2C">
            <w:pPr>
              <w:rPr>
                <w:sz w:val="16"/>
                <w:szCs w:val="16"/>
              </w:rPr>
            </w:pPr>
            <w:r w:rsidRPr="00CC6074">
              <w:rPr>
                <w:sz w:val="16"/>
                <w:szCs w:val="16"/>
              </w:rPr>
              <w:t>-0.640</w:t>
            </w:r>
          </w:p>
        </w:tc>
        <w:tc>
          <w:tcPr>
            <w:tcW w:w="0" w:type="auto"/>
            <w:vAlign w:val="center"/>
          </w:tcPr>
          <w:p w:rsidR="00CC6074" w:rsidRPr="00CC6074" w:rsidRDefault="00CC6074" w:rsidP="00900F2C">
            <w:pPr>
              <w:rPr>
                <w:sz w:val="16"/>
                <w:szCs w:val="16"/>
              </w:rPr>
            </w:pPr>
            <w:r w:rsidRPr="00CC6074">
              <w:rPr>
                <w:sz w:val="16"/>
                <w:szCs w:val="16"/>
              </w:rPr>
              <w:t>(-0.929, -0.350)</w:t>
            </w:r>
          </w:p>
        </w:tc>
        <w:tc>
          <w:tcPr>
            <w:tcW w:w="0" w:type="auto"/>
            <w:vAlign w:val="center"/>
          </w:tcPr>
          <w:p w:rsidR="00CC6074" w:rsidRPr="00CC6074" w:rsidRDefault="00CC6074" w:rsidP="00900F2C">
            <w:pPr>
              <w:rPr>
                <w:sz w:val="16"/>
                <w:szCs w:val="16"/>
              </w:rPr>
            </w:pPr>
            <w:r w:rsidRPr="00CC6074">
              <w:rPr>
                <w:sz w:val="16"/>
                <w:szCs w:val="16"/>
              </w:rPr>
              <w:t>54</w:t>
            </w:r>
          </w:p>
        </w:tc>
        <w:tc>
          <w:tcPr>
            <w:tcW w:w="0" w:type="auto"/>
            <w:vAlign w:val="center"/>
          </w:tcPr>
          <w:p w:rsidR="00CC6074" w:rsidRPr="00CC6074" w:rsidRDefault="00CC6074" w:rsidP="00900F2C">
            <w:pPr>
              <w:rPr>
                <w:sz w:val="16"/>
                <w:szCs w:val="16"/>
              </w:rPr>
            </w:pPr>
            <w:r w:rsidRPr="00CC6074">
              <w:rPr>
                <w:sz w:val="16"/>
                <w:szCs w:val="16"/>
              </w:rPr>
              <w:t>0.538</w:t>
            </w:r>
          </w:p>
        </w:tc>
        <w:tc>
          <w:tcPr>
            <w:tcW w:w="0" w:type="auto"/>
            <w:vAlign w:val="center"/>
          </w:tcPr>
          <w:p w:rsidR="00CC6074" w:rsidRPr="00CC6074" w:rsidRDefault="00CC6074" w:rsidP="00900F2C">
            <w:pPr>
              <w:rPr>
                <w:sz w:val="16"/>
                <w:szCs w:val="16"/>
              </w:rPr>
            </w:pPr>
            <w:r w:rsidRPr="00CC6074">
              <w:rPr>
                <w:sz w:val="16"/>
                <w:szCs w:val="16"/>
              </w:rPr>
              <w:t>(0.246, 0.830)</w:t>
            </w:r>
          </w:p>
        </w:tc>
        <w:tc>
          <w:tcPr>
            <w:tcW w:w="0" w:type="auto"/>
            <w:vAlign w:val="center"/>
          </w:tcPr>
          <w:p w:rsidR="00CC6074" w:rsidRPr="00CC6074" w:rsidRDefault="00CC6074" w:rsidP="00900F2C">
            <w:pPr>
              <w:rPr>
                <w:sz w:val="16"/>
                <w:szCs w:val="16"/>
              </w:rPr>
            </w:pPr>
            <w:r w:rsidRPr="00CC6074">
              <w:rPr>
                <w:sz w:val="16"/>
                <w:szCs w:val="16"/>
              </w:rPr>
              <w:t>56</w:t>
            </w:r>
          </w:p>
        </w:tc>
        <w:tc>
          <w:tcPr>
            <w:tcW w:w="0" w:type="auto"/>
            <w:vAlign w:val="center"/>
          </w:tcPr>
          <w:p w:rsidR="00CC6074" w:rsidRPr="00CC6074" w:rsidRDefault="00CC6074" w:rsidP="00900F2C">
            <w:pPr>
              <w:rPr>
                <w:sz w:val="16"/>
                <w:szCs w:val="16"/>
              </w:rPr>
            </w:pPr>
            <w:r w:rsidRPr="00CC6074">
              <w:rPr>
                <w:sz w:val="16"/>
                <w:szCs w:val="16"/>
              </w:rPr>
              <w:t>0.581</w:t>
            </w:r>
          </w:p>
        </w:tc>
        <w:tc>
          <w:tcPr>
            <w:tcW w:w="1180" w:type="dxa"/>
            <w:vAlign w:val="center"/>
          </w:tcPr>
          <w:p w:rsidR="00CC6074" w:rsidRPr="00CC6074" w:rsidRDefault="00CC6074" w:rsidP="00900F2C">
            <w:pPr>
              <w:rPr>
                <w:sz w:val="16"/>
                <w:szCs w:val="16"/>
              </w:rPr>
            </w:pPr>
            <w:r w:rsidRPr="00CC6074">
              <w:rPr>
                <w:sz w:val="16"/>
                <w:szCs w:val="16"/>
              </w:rPr>
              <w:t>(0.294, 0.867)</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2</w:t>
            </w:r>
          </w:p>
        </w:tc>
        <w:tc>
          <w:tcPr>
            <w:tcW w:w="0" w:type="auto"/>
            <w:vAlign w:val="center"/>
          </w:tcPr>
          <w:p w:rsidR="00CC6074" w:rsidRPr="00CC6074" w:rsidRDefault="00CC6074" w:rsidP="00900F2C">
            <w:pPr>
              <w:rPr>
                <w:sz w:val="16"/>
                <w:szCs w:val="16"/>
              </w:rPr>
            </w:pPr>
            <w:r w:rsidRPr="00CC6074">
              <w:rPr>
                <w:sz w:val="16"/>
                <w:szCs w:val="16"/>
              </w:rPr>
              <w:t>53</w:t>
            </w:r>
          </w:p>
        </w:tc>
        <w:tc>
          <w:tcPr>
            <w:tcW w:w="0" w:type="auto"/>
            <w:vAlign w:val="center"/>
          </w:tcPr>
          <w:p w:rsidR="00CC6074" w:rsidRPr="00CC6074" w:rsidRDefault="00CC6074" w:rsidP="00900F2C">
            <w:pPr>
              <w:rPr>
                <w:sz w:val="16"/>
                <w:szCs w:val="16"/>
              </w:rPr>
            </w:pPr>
            <w:r w:rsidRPr="00CC6074">
              <w:rPr>
                <w:sz w:val="16"/>
                <w:szCs w:val="16"/>
              </w:rPr>
              <w:t>-0.354</w:t>
            </w:r>
          </w:p>
        </w:tc>
        <w:tc>
          <w:tcPr>
            <w:tcW w:w="0" w:type="auto"/>
            <w:vAlign w:val="center"/>
          </w:tcPr>
          <w:p w:rsidR="00CC6074" w:rsidRPr="00CC6074" w:rsidRDefault="00CC6074" w:rsidP="00900F2C">
            <w:pPr>
              <w:rPr>
                <w:sz w:val="16"/>
                <w:szCs w:val="16"/>
              </w:rPr>
            </w:pPr>
            <w:r w:rsidRPr="00CC6074">
              <w:rPr>
                <w:sz w:val="16"/>
                <w:szCs w:val="16"/>
              </w:rPr>
              <w:t>(-0.656, -0.053)</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0.135</w:t>
            </w:r>
          </w:p>
        </w:tc>
        <w:tc>
          <w:tcPr>
            <w:tcW w:w="0" w:type="auto"/>
            <w:vAlign w:val="center"/>
          </w:tcPr>
          <w:p w:rsidR="00CC6074" w:rsidRPr="00CC6074" w:rsidRDefault="00CC6074" w:rsidP="00900F2C">
            <w:pPr>
              <w:rPr>
                <w:sz w:val="16"/>
                <w:szCs w:val="16"/>
              </w:rPr>
            </w:pPr>
            <w:r w:rsidRPr="00CC6074">
              <w:rPr>
                <w:sz w:val="16"/>
                <w:szCs w:val="16"/>
              </w:rPr>
              <w:t>(-0.173, 0.442)</w:t>
            </w:r>
          </w:p>
        </w:tc>
        <w:tc>
          <w:tcPr>
            <w:tcW w:w="0" w:type="auto"/>
            <w:vAlign w:val="center"/>
          </w:tcPr>
          <w:p w:rsidR="00CC6074" w:rsidRPr="00CC6074" w:rsidRDefault="00CC6074" w:rsidP="00900F2C">
            <w:pPr>
              <w:rPr>
                <w:sz w:val="16"/>
                <w:szCs w:val="16"/>
              </w:rPr>
            </w:pPr>
            <w:r w:rsidRPr="00CC6074">
              <w:rPr>
                <w:sz w:val="16"/>
                <w:szCs w:val="16"/>
              </w:rPr>
              <w:t>53</w:t>
            </w:r>
          </w:p>
        </w:tc>
        <w:tc>
          <w:tcPr>
            <w:tcW w:w="0" w:type="auto"/>
            <w:vAlign w:val="center"/>
          </w:tcPr>
          <w:p w:rsidR="00CC6074" w:rsidRPr="00CC6074" w:rsidRDefault="00CC6074" w:rsidP="00900F2C">
            <w:pPr>
              <w:rPr>
                <w:sz w:val="16"/>
                <w:szCs w:val="16"/>
              </w:rPr>
            </w:pPr>
            <w:r w:rsidRPr="00CC6074">
              <w:rPr>
                <w:sz w:val="16"/>
                <w:szCs w:val="16"/>
              </w:rPr>
              <w:t>0.128</w:t>
            </w:r>
          </w:p>
        </w:tc>
        <w:tc>
          <w:tcPr>
            <w:tcW w:w="1180" w:type="dxa"/>
            <w:vAlign w:val="center"/>
          </w:tcPr>
          <w:p w:rsidR="00CC6074" w:rsidRPr="00CC6074" w:rsidRDefault="00CC6074" w:rsidP="00900F2C">
            <w:pPr>
              <w:rPr>
                <w:sz w:val="16"/>
                <w:szCs w:val="16"/>
              </w:rPr>
            </w:pPr>
            <w:r w:rsidRPr="00CC6074">
              <w:rPr>
                <w:sz w:val="16"/>
                <w:szCs w:val="16"/>
              </w:rPr>
              <w:t>(-0.173, 0.429)</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4</w:t>
            </w:r>
          </w:p>
        </w:tc>
        <w:tc>
          <w:tcPr>
            <w:tcW w:w="0" w:type="auto"/>
            <w:vAlign w:val="center"/>
          </w:tcPr>
          <w:p w:rsidR="00CC6074" w:rsidRPr="00CC6074" w:rsidRDefault="00CC6074" w:rsidP="00900F2C">
            <w:pPr>
              <w:rPr>
                <w:sz w:val="16"/>
                <w:szCs w:val="16"/>
              </w:rPr>
            </w:pPr>
            <w:r w:rsidRPr="00CC6074">
              <w:rPr>
                <w:sz w:val="16"/>
                <w:szCs w:val="16"/>
              </w:rPr>
              <w:t>52</w:t>
            </w:r>
          </w:p>
        </w:tc>
        <w:tc>
          <w:tcPr>
            <w:tcW w:w="0" w:type="auto"/>
            <w:vAlign w:val="center"/>
          </w:tcPr>
          <w:p w:rsidR="00CC6074" w:rsidRPr="00CC6074" w:rsidRDefault="00CC6074" w:rsidP="00900F2C">
            <w:pPr>
              <w:rPr>
                <w:sz w:val="16"/>
                <w:szCs w:val="16"/>
              </w:rPr>
            </w:pPr>
            <w:r w:rsidRPr="00CC6074">
              <w:rPr>
                <w:sz w:val="16"/>
                <w:szCs w:val="16"/>
              </w:rPr>
              <w:t>-0.128</w:t>
            </w:r>
          </w:p>
        </w:tc>
        <w:tc>
          <w:tcPr>
            <w:tcW w:w="0" w:type="auto"/>
            <w:vAlign w:val="center"/>
          </w:tcPr>
          <w:p w:rsidR="00CC6074" w:rsidRPr="00CC6074" w:rsidRDefault="00CC6074" w:rsidP="00900F2C">
            <w:pPr>
              <w:rPr>
                <w:sz w:val="16"/>
                <w:szCs w:val="16"/>
              </w:rPr>
            </w:pPr>
            <w:r w:rsidRPr="00CC6074">
              <w:rPr>
                <w:sz w:val="16"/>
                <w:szCs w:val="16"/>
              </w:rPr>
              <w:t>(-0.427, 0.171)</w:t>
            </w:r>
          </w:p>
        </w:tc>
        <w:tc>
          <w:tcPr>
            <w:tcW w:w="0" w:type="auto"/>
            <w:vAlign w:val="center"/>
          </w:tcPr>
          <w:p w:rsidR="00CC6074" w:rsidRPr="00CC6074" w:rsidRDefault="00CC6074" w:rsidP="00900F2C">
            <w:pPr>
              <w:rPr>
                <w:sz w:val="16"/>
                <w:szCs w:val="16"/>
              </w:rPr>
            </w:pPr>
            <w:r w:rsidRPr="00CC6074">
              <w:rPr>
                <w:sz w:val="16"/>
                <w:szCs w:val="16"/>
              </w:rPr>
              <w:t>52</w:t>
            </w:r>
          </w:p>
        </w:tc>
        <w:tc>
          <w:tcPr>
            <w:tcW w:w="0" w:type="auto"/>
            <w:vAlign w:val="center"/>
          </w:tcPr>
          <w:p w:rsidR="00CC6074" w:rsidRPr="00CC6074" w:rsidRDefault="00CC6074" w:rsidP="00900F2C">
            <w:pPr>
              <w:rPr>
                <w:sz w:val="16"/>
                <w:szCs w:val="16"/>
              </w:rPr>
            </w:pPr>
            <w:r w:rsidRPr="00CC6074">
              <w:rPr>
                <w:sz w:val="16"/>
                <w:szCs w:val="16"/>
              </w:rPr>
              <w:t>-0.300</w:t>
            </w:r>
          </w:p>
        </w:tc>
        <w:tc>
          <w:tcPr>
            <w:tcW w:w="0" w:type="auto"/>
            <w:vAlign w:val="center"/>
          </w:tcPr>
          <w:p w:rsidR="00CC6074" w:rsidRPr="00CC6074" w:rsidRDefault="00CC6074" w:rsidP="00900F2C">
            <w:pPr>
              <w:rPr>
                <w:sz w:val="16"/>
                <w:szCs w:val="16"/>
              </w:rPr>
            </w:pPr>
            <w:r w:rsidRPr="00CC6074">
              <w:rPr>
                <w:sz w:val="16"/>
                <w:szCs w:val="16"/>
              </w:rPr>
              <w:t>(-0.599, -0.001)</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-0.114</w:t>
            </w:r>
          </w:p>
        </w:tc>
        <w:tc>
          <w:tcPr>
            <w:tcW w:w="1180" w:type="dxa"/>
            <w:vAlign w:val="center"/>
          </w:tcPr>
          <w:p w:rsidR="00CC6074" w:rsidRPr="00CC6074" w:rsidRDefault="00CC6074" w:rsidP="00900F2C">
            <w:pPr>
              <w:rPr>
                <w:sz w:val="16"/>
                <w:szCs w:val="16"/>
              </w:rPr>
            </w:pPr>
            <w:r w:rsidRPr="00CC6074">
              <w:rPr>
                <w:sz w:val="16"/>
                <w:szCs w:val="16"/>
              </w:rPr>
              <w:t>(-0.416, 0.188)</w:t>
            </w:r>
          </w:p>
        </w:tc>
      </w:tr>
      <w:tr w:rsidR="00CC6074" w:rsidRPr="00CC6074" w:rsidTr="004A7F9C">
        <w:trPr>
          <w:trHeight w:val="246"/>
          <w:jc w:val="center"/>
        </w:trPr>
        <w:tc>
          <w:tcPr>
            <w:tcW w:w="0" w:type="auto"/>
            <w:vAlign w:val="center"/>
          </w:tcPr>
          <w:p w:rsidR="00CC6074" w:rsidRPr="00CC6074" w:rsidRDefault="00CC6074" w:rsidP="00900F2C">
            <w:pPr>
              <w:rPr>
                <w:sz w:val="16"/>
                <w:szCs w:val="16"/>
              </w:rPr>
            </w:pPr>
            <w:r w:rsidRPr="00CC6074">
              <w:rPr>
                <w:sz w:val="16"/>
                <w:szCs w:val="16"/>
              </w:rPr>
              <w:t>Week 12</w:t>
            </w:r>
          </w:p>
        </w:tc>
        <w:tc>
          <w:tcPr>
            <w:tcW w:w="0" w:type="auto"/>
            <w:vAlign w:val="center"/>
          </w:tcPr>
          <w:p w:rsidR="00CC6074" w:rsidRPr="00CC6074" w:rsidRDefault="00CC6074" w:rsidP="00900F2C">
            <w:pPr>
              <w:rPr>
                <w:sz w:val="16"/>
                <w:szCs w:val="16"/>
              </w:rPr>
            </w:pPr>
            <w:r w:rsidRPr="00CC6074">
              <w:rPr>
                <w:sz w:val="16"/>
                <w:szCs w:val="16"/>
              </w:rPr>
              <w:t>49</w:t>
            </w:r>
          </w:p>
        </w:tc>
        <w:tc>
          <w:tcPr>
            <w:tcW w:w="0" w:type="auto"/>
            <w:vAlign w:val="center"/>
          </w:tcPr>
          <w:p w:rsidR="00CC6074" w:rsidRPr="00CC6074" w:rsidRDefault="00CC6074" w:rsidP="00900F2C">
            <w:pPr>
              <w:rPr>
                <w:sz w:val="16"/>
                <w:szCs w:val="16"/>
              </w:rPr>
            </w:pPr>
            <w:r w:rsidRPr="00CC6074">
              <w:rPr>
                <w:sz w:val="16"/>
                <w:szCs w:val="16"/>
              </w:rPr>
              <w:t>-1.555</w:t>
            </w:r>
          </w:p>
        </w:tc>
        <w:tc>
          <w:tcPr>
            <w:tcW w:w="0" w:type="auto"/>
            <w:vAlign w:val="center"/>
          </w:tcPr>
          <w:p w:rsidR="00CC6074" w:rsidRPr="00CC6074" w:rsidRDefault="00CC6074" w:rsidP="00900F2C">
            <w:pPr>
              <w:rPr>
                <w:sz w:val="16"/>
                <w:szCs w:val="16"/>
              </w:rPr>
            </w:pPr>
            <w:r w:rsidRPr="00CC6074">
              <w:rPr>
                <w:sz w:val="16"/>
                <w:szCs w:val="16"/>
              </w:rPr>
              <w:t>(-1.915, -1.195)</w:t>
            </w:r>
          </w:p>
        </w:tc>
        <w:tc>
          <w:tcPr>
            <w:tcW w:w="0" w:type="auto"/>
            <w:vAlign w:val="center"/>
          </w:tcPr>
          <w:p w:rsidR="00CC6074" w:rsidRPr="00CC6074" w:rsidRDefault="00CC6074" w:rsidP="00900F2C">
            <w:pPr>
              <w:rPr>
                <w:sz w:val="16"/>
                <w:szCs w:val="16"/>
              </w:rPr>
            </w:pPr>
            <w:r w:rsidRPr="00CC6074">
              <w:rPr>
                <w:sz w:val="16"/>
                <w:szCs w:val="16"/>
              </w:rPr>
              <w:t>51</w:t>
            </w:r>
          </w:p>
        </w:tc>
        <w:tc>
          <w:tcPr>
            <w:tcW w:w="0" w:type="auto"/>
            <w:vAlign w:val="center"/>
          </w:tcPr>
          <w:p w:rsidR="00CC6074" w:rsidRPr="00CC6074" w:rsidRDefault="00CC6074" w:rsidP="00900F2C">
            <w:pPr>
              <w:rPr>
                <w:sz w:val="16"/>
                <w:szCs w:val="16"/>
              </w:rPr>
            </w:pPr>
            <w:r w:rsidRPr="00CC6074">
              <w:rPr>
                <w:sz w:val="16"/>
                <w:szCs w:val="16"/>
              </w:rPr>
              <w:t>-1.879</w:t>
            </w:r>
          </w:p>
        </w:tc>
        <w:tc>
          <w:tcPr>
            <w:tcW w:w="0" w:type="auto"/>
            <w:vAlign w:val="center"/>
          </w:tcPr>
          <w:p w:rsidR="00CC6074" w:rsidRPr="00CC6074" w:rsidRDefault="00CC6074" w:rsidP="00900F2C">
            <w:pPr>
              <w:rPr>
                <w:sz w:val="16"/>
                <w:szCs w:val="16"/>
              </w:rPr>
            </w:pPr>
            <w:r w:rsidRPr="00CC6074">
              <w:rPr>
                <w:sz w:val="16"/>
                <w:szCs w:val="16"/>
              </w:rPr>
              <w:t>(-2.232, -1.526)</w:t>
            </w:r>
          </w:p>
        </w:tc>
        <w:tc>
          <w:tcPr>
            <w:tcW w:w="0" w:type="auto"/>
            <w:vAlign w:val="center"/>
          </w:tcPr>
          <w:p w:rsidR="00CC6074" w:rsidRPr="00CC6074" w:rsidRDefault="00CC6074" w:rsidP="00900F2C">
            <w:pPr>
              <w:rPr>
                <w:sz w:val="16"/>
                <w:szCs w:val="16"/>
              </w:rPr>
            </w:pPr>
            <w:r w:rsidRPr="00CC6074">
              <w:rPr>
                <w:sz w:val="16"/>
                <w:szCs w:val="16"/>
              </w:rPr>
              <w:t>47</w:t>
            </w:r>
          </w:p>
        </w:tc>
        <w:tc>
          <w:tcPr>
            <w:tcW w:w="0" w:type="auto"/>
            <w:vAlign w:val="center"/>
          </w:tcPr>
          <w:p w:rsidR="00CC6074" w:rsidRPr="00CC6074" w:rsidRDefault="00CC6074" w:rsidP="00900F2C">
            <w:pPr>
              <w:rPr>
                <w:sz w:val="16"/>
                <w:szCs w:val="16"/>
              </w:rPr>
            </w:pPr>
            <w:r w:rsidRPr="00CC6074">
              <w:rPr>
                <w:sz w:val="16"/>
                <w:szCs w:val="16"/>
              </w:rPr>
              <w:t>-1.289</w:t>
            </w:r>
          </w:p>
        </w:tc>
        <w:tc>
          <w:tcPr>
            <w:tcW w:w="1180" w:type="dxa"/>
            <w:vAlign w:val="center"/>
          </w:tcPr>
          <w:p w:rsidR="00CC6074" w:rsidRPr="00CC6074" w:rsidRDefault="00CC6074" w:rsidP="00900F2C">
            <w:pPr>
              <w:rPr>
                <w:sz w:val="16"/>
                <w:szCs w:val="16"/>
              </w:rPr>
            </w:pPr>
            <w:r w:rsidRPr="00CC6074">
              <w:rPr>
                <w:sz w:val="16"/>
                <w:szCs w:val="16"/>
              </w:rPr>
              <w:t>(-1.657, -0.921)</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48</w:t>
            </w:r>
          </w:p>
        </w:tc>
        <w:tc>
          <w:tcPr>
            <w:tcW w:w="0" w:type="auto"/>
            <w:vAlign w:val="center"/>
          </w:tcPr>
          <w:p w:rsidR="00CC6074" w:rsidRPr="00CC6074" w:rsidRDefault="00CC6074" w:rsidP="00900F2C">
            <w:pPr>
              <w:rPr>
                <w:sz w:val="16"/>
                <w:szCs w:val="16"/>
              </w:rPr>
            </w:pPr>
            <w:r w:rsidRPr="00CC6074">
              <w:rPr>
                <w:sz w:val="16"/>
                <w:szCs w:val="16"/>
              </w:rPr>
              <w:t>44</w:t>
            </w:r>
          </w:p>
        </w:tc>
        <w:tc>
          <w:tcPr>
            <w:tcW w:w="0" w:type="auto"/>
            <w:vAlign w:val="center"/>
          </w:tcPr>
          <w:p w:rsidR="00CC6074" w:rsidRPr="00CC6074" w:rsidRDefault="00CC6074" w:rsidP="00900F2C">
            <w:pPr>
              <w:rPr>
                <w:sz w:val="16"/>
                <w:szCs w:val="16"/>
              </w:rPr>
            </w:pPr>
            <w:r w:rsidRPr="00CC6074">
              <w:rPr>
                <w:sz w:val="16"/>
                <w:szCs w:val="16"/>
              </w:rPr>
              <w:t>-2.342</w:t>
            </w:r>
          </w:p>
        </w:tc>
        <w:tc>
          <w:tcPr>
            <w:tcW w:w="0" w:type="auto"/>
            <w:vAlign w:val="center"/>
          </w:tcPr>
          <w:p w:rsidR="00CC6074" w:rsidRPr="00CC6074" w:rsidRDefault="00CC6074" w:rsidP="00900F2C">
            <w:pPr>
              <w:rPr>
                <w:sz w:val="16"/>
                <w:szCs w:val="16"/>
              </w:rPr>
            </w:pPr>
            <w:r w:rsidRPr="00CC6074">
              <w:rPr>
                <w:sz w:val="16"/>
                <w:szCs w:val="16"/>
              </w:rPr>
              <w:t>(-2.740, -1.945)</w:t>
            </w:r>
          </w:p>
        </w:tc>
        <w:tc>
          <w:tcPr>
            <w:tcW w:w="0" w:type="auto"/>
            <w:vAlign w:val="center"/>
          </w:tcPr>
          <w:p w:rsidR="00CC6074" w:rsidRPr="00CC6074" w:rsidRDefault="00CC6074" w:rsidP="00900F2C">
            <w:pPr>
              <w:rPr>
                <w:sz w:val="16"/>
                <w:szCs w:val="16"/>
              </w:rPr>
            </w:pPr>
            <w:r w:rsidRPr="00CC6074">
              <w:rPr>
                <w:sz w:val="16"/>
                <w:szCs w:val="16"/>
              </w:rPr>
              <w:t>48</w:t>
            </w:r>
          </w:p>
        </w:tc>
        <w:tc>
          <w:tcPr>
            <w:tcW w:w="0" w:type="auto"/>
            <w:vAlign w:val="center"/>
          </w:tcPr>
          <w:p w:rsidR="00CC6074" w:rsidRPr="00CC6074" w:rsidRDefault="00CC6074" w:rsidP="00900F2C">
            <w:pPr>
              <w:rPr>
                <w:sz w:val="16"/>
                <w:szCs w:val="16"/>
              </w:rPr>
            </w:pPr>
            <w:r w:rsidRPr="00CC6074">
              <w:rPr>
                <w:sz w:val="16"/>
                <w:szCs w:val="16"/>
              </w:rPr>
              <w:t>-2.441</w:t>
            </w:r>
          </w:p>
        </w:tc>
        <w:tc>
          <w:tcPr>
            <w:tcW w:w="0" w:type="auto"/>
            <w:vAlign w:val="center"/>
          </w:tcPr>
          <w:p w:rsidR="00CC6074" w:rsidRPr="00CC6074" w:rsidRDefault="00CC6074" w:rsidP="00900F2C">
            <w:pPr>
              <w:rPr>
                <w:sz w:val="16"/>
                <w:szCs w:val="16"/>
              </w:rPr>
            </w:pPr>
            <w:r w:rsidRPr="00CC6074">
              <w:rPr>
                <w:sz w:val="16"/>
                <w:szCs w:val="16"/>
              </w:rPr>
              <w:t>(-2.822, -2.061)</w:t>
            </w:r>
          </w:p>
        </w:tc>
        <w:tc>
          <w:tcPr>
            <w:tcW w:w="0" w:type="auto"/>
            <w:vAlign w:val="center"/>
          </w:tcPr>
          <w:p w:rsidR="00CC6074" w:rsidRPr="00CC6074" w:rsidRDefault="00CC6074" w:rsidP="00900F2C">
            <w:pPr>
              <w:rPr>
                <w:sz w:val="16"/>
                <w:szCs w:val="16"/>
              </w:rPr>
            </w:pPr>
            <w:r w:rsidRPr="00CC6074">
              <w:rPr>
                <w:sz w:val="16"/>
                <w:szCs w:val="16"/>
              </w:rPr>
              <w:t>44</w:t>
            </w:r>
          </w:p>
        </w:tc>
        <w:tc>
          <w:tcPr>
            <w:tcW w:w="0" w:type="auto"/>
            <w:vAlign w:val="center"/>
          </w:tcPr>
          <w:p w:rsidR="00CC6074" w:rsidRPr="00CC6074" w:rsidRDefault="00CC6074" w:rsidP="00900F2C">
            <w:pPr>
              <w:rPr>
                <w:sz w:val="16"/>
                <w:szCs w:val="16"/>
              </w:rPr>
            </w:pPr>
            <w:r w:rsidRPr="00CC6074">
              <w:rPr>
                <w:sz w:val="16"/>
                <w:szCs w:val="16"/>
              </w:rPr>
              <w:t>-1.439</w:t>
            </w:r>
          </w:p>
        </w:tc>
        <w:tc>
          <w:tcPr>
            <w:tcW w:w="1180" w:type="dxa"/>
            <w:vAlign w:val="center"/>
          </w:tcPr>
          <w:p w:rsidR="00CC6074" w:rsidRPr="00CC6074" w:rsidRDefault="00CC6074" w:rsidP="00900F2C">
            <w:pPr>
              <w:rPr>
                <w:sz w:val="16"/>
                <w:szCs w:val="16"/>
              </w:rPr>
            </w:pPr>
            <w:r w:rsidRPr="00CC6074">
              <w:rPr>
                <w:sz w:val="16"/>
                <w:szCs w:val="16"/>
              </w:rPr>
              <w:t>(-1.836, -1.041)</w:t>
            </w:r>
          </w:p>
        </w:tc>
      </w:tr>
      <w:tr w:rsidR="00CC6074" w:rsidRPr="00CC6074" w:rsidTr="004A7F9C">
        <w:trPr>
          <w:trHeight w:val="265"/>
          <w:jc w:val="center"/>
        </w:trPr>
        <w:tc>
          <w:tcPr>
            <w:tcW w:w="0" w:type="auto"/>
            <w:vAlign w:val="center"/>
          </w:tcPr>
          <w:p w:rsidR="00CC6074" w:rsidRPr="00CC6074" w:rsidRDefault="00CC6074" w:rsidP="00900F2C">
            <w:pPr>
              <w:rPr>
                <w:sz w:val="16"/>
                <w:szCs w:val="16"/>
              </w:rPr>
            </w:pPr>
            <w:r w:rsidRPr="00CC6074">
              <w:rPr>
                <w:sz w:val="16"/>
                <w:szCs w:val="16"/>
              </w:rPr>
              <w:t>Week 96</w:t>
            </w:r>
          </w:p>
        </w:tc>
        <w:tc>
          <w:tcPr>
            <w:tcW w:w="0" w:type="auto"/>
            <w:vAlign w:val="center"/>
          </w:tcPr>
          <w:p w:rsidR="00CC6074" w:rsidRPr="00CC6074" w:rsidRDefault="00CC6074" w:rsidP="00900F2C">
            <w:pPr>
              <w:rPr>
                <w:sz w:val="16"/>
                <w:szCs w:val="16"/>
              </w:rPr>
            </w:pPr>
            <w:r w:rsidRPr="00CC6074">
              <w:rPr>
                <w:sz w:val="16"/>
                <w:szCs w:val="16"/>
              </w:rPr>
              <w:t>28</w:t>
            </w:r>
          </w:p>
        </w:tc>
        <w:tc>
          <w:tcPr>
            <w:tcW w:w="0" w:type="auto"/>
            <w:vAlign w:val="center"/>
          </w:tcPr>
          <w:p w:rsidR="00CC6074" w:rsidRPr="00CC6074" w:rsidRDefault="00CC6074" w:rsidP="00900F2C">
            <w:pPr>
              <w:rPr>
                <w:sz w:val="16"/>
                <w:szCs w:val="16"/>
              </w:rPr>
            </w:pPr>
            <w:r w:rsidRPr="00CC6074">
              <w:rPr>
                <w:sz w:val="16"/>
                <w:szCs w:val="16"/>
              </w:rPr>
              <w:t>-2.178</w:t>
            </w:r>
          </w:p>
        </w:tc>
        <w:tc>
          <w:tcPr>
            <w:tcW w:w="0" w:type="auto"/>
            <w:vAlign w:val="center"/>
          </w:tcPr>
          <w:p w:rsidR="00CC6074" w:rsidRPr="00CC6074" w:rsidRDefault="00CC6074" w:rsidP="00900F2C">
            <w:pPr>
              <w:rPr>
                <w:sz w:val="16"/>
                <w:szCs w:val="16"/>
              </w:rPr>
            </w:pPr>
            <w:r w:rsidRPr="00CC6074">
              <w:rPr>
                <w:sz w:val="16"/>
                <w:szCs w:val="16"/>
              </w:rPr>
              <w:t>(-2.571, -1.784)</w:t>
            </w:r>
          </w:p>
        </w:tc>
        <w:tc>
          <w:tcPr>
            <w:tcW w:w="0" w:type="auto"/>
            <w:vAlign w:val="center"/>
          </w:tcPr>
          <w:p w:rsidR="00CC6074" w:rsidRPr="00CC6074" w:rsidRDefault="00CC6074" w:rsidP="00900F2C">
            <w:pPr>
              <w:rPr>
                <w:sz w:val="16"/>
                <w:szCs w:val="16"/>
              </w:rPr>
            </w:pPr>
            <w:r w:rsidRPr="00CC6074">
              <w:rPr>
                <w:sz w:val="16"/>
                <w:szCs w:val="16"/>
              </w:rPr>
              <w:t>31</w:t>
            </w:r>
          </w:p>
        </w:tc>
        <w:tc>
          <w:tcPr>
            <w:tcW w:w="0" w:type="auto"/>
            <w:vAlign w:val="center"/>
          </w:tcPr>
          <w:p w:rsidR="00CC6074" w:rsidRPr="00CC6074" w:rsidRDefault="00CC6074" w:rsidP="00900F2C">
            <w:pPr>
              <w:rPr>
                <w:sz w:val="16"/>
                <w:szCs w:val="16"/>
              </w:rPr>
            </w:pPr>
            <w:r w:rsidRPr="00CC6074">
              <w:rPr>
                <w:sz w:val="16"/>
                <w:szCs w:val="16"/>
              </w:rPr>
              <w:t>-2.534</w:t>
            </w:r>
          </w:p>
        </w:tc>
        <w:tc>
          <w:tcPr>
            <w:tcW w:w="0" w:type="auto"/>
            <w:vAlign w:val="center"/>
          </w:tcPr>
          <w:p w:rsidR="00CC6074" w:rsidRPr="00CC6074" w:rsidRDefault="00CC6074" w:rsidP="00900F2C">
            <w:pPr>
              <w:rPr>
                <w:sz w:val="16"/>
                <w:szCs w:val="16"/>
              </w:rPr>
            </w:pPr>
            <w:r w:rsidRPr="00CC6074">
              <w:rPr>
                <w:sz w:val="16"/>
                <w:szCs w:val="16"/>
              </w:rPr>
              <w:t>(-2.908, -2.160)</w:t>
            </w:r>
          </w:p>
        </w:tc>
        <w:tc>
          <w:tcPr>
            <w:tcW w:w="0" w:type="auto"/>
            <w:vAlign w:val="center"/>
          </w:tcPr>
          <w:p w:rsidR="00CC6074" w:rsidRPr="00CC6074" w:rsidRDefault="00CC6074" w:rsidP="00900F2C">
            <w:pPr>
              <w:rPr>
                <w:sz w:val="16"/>
                <w:szCs w:val="16"/>
              </w:rPr>
            </w:pPr>
            <w:r w:rsidRPr="00CC6074">
              <w:rPr>
                <w:sz w:val="16"/>
                <w:szCs w:val="16"/>
              </w:rPr>
              <w:t>27</w:t>
            </w:r>
          </w:p>
        </w:tc>
        <w:tc>
          <w:tcPr>
            <w:tcW w:w="0" w:type="auto"/>
            <w:vAlign w:val="center"/>
          </w:tcPr>
          <w:p w:rsidR="00CC6074" w:rsidRPr="00CC6074" w:rsidRDefault="00CC6074" w:rsidP="00900F2C">
            <w:pPr>
              <w:rPr>
                <w:sz w:val="16"/>
                <w:szCs w:val="16"/>
              </w:rPr>
            </w:pPr>
            <w:r w:rsidRPr="00CC6074">
              <w:rPr>
                <w:sz w:val="16"/>
                <w:szCs w:val="16"/>
              </w:rPr>
              <w:t>-1.275</w:t>
            </w:r>
          </w:p>
        </w:tc>
        <w:tc>
          <w:tcPr>
            <w:tcW w:w="1180" w:type="dxa"/>
            <w:vAlign w:val="center"/>
          </w:tcPr>
          <w:p w:rsidR="00CC6074" w:rsidRPr="00CC6074" w:rsidRDefault="00CC6074" w:rsidP="00900F2C">
            <w:pPr>
              <w:rPr>
                <w:sz w:val="16"/>
                <w:szCs w:val="16"/>
              </w:rPr>
            </w:pPr>
            <w:r w:rsidRPr="00CC6074">
              <w:rPr>
                <w:sz w:val="16"/>
                <w:szCs w:val="16"/>
              </w:rPr>
              <w:t>(-1.676, -0.874)</w:t>
            </w:r>
          </w:p>
        </w:tc>
      </w:tr>
    </w:tbl>
    <w:p w:rsidR="00CC6074" w:rsidRDefault="00CC6074" w:rsidP="00900F2C"/>
    <w:p w:rsidR="00BC1086" w:rsidRPr="00BC1086" w:rsidRDefault="00E477F8" w:rsidP="003E5C23">
      <w:pPr>
        <w:pStyle w:val="Caption"/>
        <w:keepNext/>
        <w:jc w:val="both"/>
        <w:rPr>
          <w:rFonts w:ascii="Arial" w:hAnsi="Arial" w:cs="Arial"/>
          <w:b w:val="0"/>
          <w:color w:val="auto"/>
        </w:rPr>
      </w:pPr>
      <w:bookmarkStart w:id="219" w:name="_Toc424043702"/>
      <w:r w:rsidRPr="00E477F8">
        <w:rPr>
          <w:rFonts w:ascii="Arial" w:hAnsi="Arial" w:cs="Arial"/>
          <w:b w:val="0"/>
          <w:color w:val="auto"/>
        </w:rPr>
        <w:t xml:space="preserve">Table </w:t>
      </w:r>
      <w:r w:rsidRPr="00E477F8">
        <w:rPr>
          <w:rFonts w:ascii="Arial" w:hAnsi="Arial" w:cs="Arial"/>
          <w:b w:val="0"/>
          <w:color w:val="auto"/>
        </w:rPr>
        <w:fldChar w:fldCharType="begin"/>
      </w:r>
      <w:r w:rsidRPr="00E477F8">
        <w:rPr>
          <w:rFonts w:ascii="Arial" w:hAnsi="Arial" w:cs="Arial"/>
          <w:b w:val="0"/>
          <w:color w:val="auto"/>
        </w:rPr>
        <w:instrText xml:space="preserve"> SEQ Table \* ARABIC </w:instrText>
      </w:r>
      <w:r w:rsidRPr="00E477F8">
        <w:rPr>
          <w:rFonts w:ascii="Arial" w:hAnsi="Arial" w:cs="Arial"/>
          <w:b w:val="0"/>
          <w:color w:val="auto"/>
        </w:rPr>
        <w:fldChar w:fldCharType="separate"/>
      </w:r>
      <w:r w:rsidR="00DD116A">
        <w:rPr>
          <w:rFonts w:ascii="Arial" w:hAnsi="Arial" w:cs="Arial"/>
          <w:b w:val="0"/>
          <w:noProof/>
          <w:color w:val="auto"/>
        </w:rPr>
        <w:t>28</w:t>
      </w:r>
      <w:r w:rsidRPr="00E477F8">
        <w:rPr>
          <w:rFonts w:ascii="Arial" w:hAnsi="Arial" w:cs="Arial"/>
          <w:b w:val="0"/>
          <w:color w:val="auto"/>
        </w:rPr>
        <w:fldChar w:fldCharType="end"/>
      </w:r>
      <w:r w:rsidRPr="00E477F8">
        <w:rPr>
          <w:rFonts w:ascii="Arial" w:hAnsi="Arial" w:cs="Arial"/>
          <w:b w:val="0"/>
          <w:color w:val="auto"/>
        </w:rPr>
        <w:t>: The mean change and 95% confi</w:t>
      </w:r>
      <w:r w:rsidR="004A7F9C">
        <w:rPr>
          <w:rFonts w:ascii="Arial" w:hAnsi="Arial" w:cs="Arial"/>
          <w:b w:val="0"/>
          <w:color w:val="auto"/>
        </w:rPr>
        <w:t>dence intervals in bone balance and bone turnover</w:t>
      </w:r>
      <w:r w:rsidRPr="00E477F8">
        <w:rPr>
          <w:rFonts w:ascii="Arial" w:hAnsi="Arial" w:cs="Arial"/>
          <w:b w:val="0"/>
          <w:color w:val="auto"/>
        </w:rPr>
        <w:t xml:space="preserve"> in postmenopausal women receiving </w:t>
      </w:r>
      <w:r>
        <w:rPr>
          <w:rFonts w:ascii="Arial" w:hAnsi="Arial" w:cs="Arial"/>
          <w:b w:val="0"/>
          <w:color w:val="auto"/>
        </w:rPr>
        <w:t>ibandronate, alendronate and risedronate</w:t>
      </w:r>
      <w:r w:rsidRPr="00E477F8">
        <w:rPr>
          <w:rFonts w:ascii="Arial" w:hAnsi="Arial" w:cs="Arial"/>
          <w:b w:val="0"/>
          <w:color w:val="auto"/>
        </w:rPr>
        <w:t xml:space="preserve"> over 96 weeks. Significance</w:t>
      </w:r>
      <w:r w:rsidR="00BC1086">
        <w:rPr>
          <w:rFonts w:ascii="Arial" w:hAnsi="Arial" w:cs="Arial"/>
          <w:b w:val="0"/>
          <w:color w:val="auto"/>
        </w:rPr>
        <w:t xml:space="preserve"> from baseline was tested using </w:t>
      </w:r>
      <w:r w:rsidR="009D3BB6">
        <w:rPr>
          <w:rFonts w:ascii="Arial" w:hAnsi="Arial" w:cs="Arial"/>
          <w:b w:val="0"/>
          <w:color w:val="auto"/>
        </w:rPr>
        <w:t>Dunn’s</w:t>
      </w:r>
      <w:r w:rsidR="00BC1086">
        <w:rPr>
          <w:rFonts w:ascii="Arial" w:hAnsi="Arial" w:cs="Arial"/>
          <w:b w:val="0"/>
          <w:color w:val="auto"/>
        </w:rPr>
        <w:t xml:space="preserve"> post hoc test.</w:t>
      </w:r>
      <w:bookmarkEnd w:id="219"/>
    </w:p>
    <w:tbl>
      <w:tblPr>
        <w:tblStyle w:val="TableGrid"/>
        <w:tblW w:w="8931" w:type="dxa"/>
        <w:tblInd w:w="-318" w:type="dxa"/>
        <w:tblLook w:val="04A0" w:firstRow="1" w:lastRow="0" w:firstColumn="1" w:lastColumn="0" w:noHBand="0" w:noVBand="1"/>
      </w:tblPr>
      <w:tblGrid>
        <w:gridCol w:w="1197"/>
        <w:gridCol w:w="630"/>
        <w:gridCol w:w="1218"/>
        <w:gridCol w:w="716"/>
        <w:gridCol w:w="630"/>
        <w:gridCol w:w="1218"/>
        <w:gridCol w:w="716"/>
        <w:gridCol w:w="630"/>
        <w:gridCol w:w="1218"/>
        <w:gridCol w:w="758"/>
      </w:tblGrid>
      <w:tr w:rsidR="00E477F8" w:rsidRPr="00E477F8" w:rsidTr="004A7F9C">
        <w:trPr>
          <w:trHeight w:val="260"/>
        </w:trPr>
        <w:tc>
          <w:tcPr>
            <w:tcW w:w="8931" w:type="dxa"/>
            <w:gridSpan w:val="10"/>
            <w:vAlign w:val="center"/>
          </w:tcPr>
          <w:p w:rsidR="00E477F8" w:rsidRPr="00E477F8" w:rsidRDefault="00BC1086" w:rsidP="00900F2C">
            <w:pPr>
              <w:rPr>
                <w:b/>
                <w:sz w:val="16"/>
                <w:szCs w:val="16"/>
              </w:rPr>
            </w:pPr>
            <w:r>
              <w:rPr>
                <w:b/>
                <w:sz w:val="16"/>
                <w:szCs w:val="16"/>
              </w:rPr>
              <w:t>Bone balance</w:t>
            </w:r>
          </w:p>
        </w:tc>
      </w:tr>
      <w:tr w:rsidR="00E477F8" w:rsidRPr="00E477F8" w:rsidTr="004A7F9C">
        <w:trPr>
          <w:trHeight w:val="260"/>
        </w:trPr>
        <w:tc>
          <w:tcPr>
            <w:tcW w:w="1197" w:type="dxa"/>
            <w:vAlign w:val="center"/>
          </w:tcPr>
          <w:p w:rsidR="00E477F8" w:rsidRPr="00E477F8" w:rsidRDefault="00E477F8" w:rsidP="00900F2C">
            <w:pPr>
              <w:rPr>
                <w:b/>
                <w:sz w:val="16"/>
                <w:szCs w:val="16"/>
              </w:rPr>
            </w:pPr>
          </w:p>
        </w:tc>
        <w:tc>
          <w:tcPr>
            <w:tcW w:w="0" w:type="auto"/>
            <w:gridSpan w:val="3"/>
            <w:vAlign w:val="center"/>
          </w:tcPr>
          <w:p w:rsidR="00E477F8" w:rsidRPr="00E477F8" w:rsidRDefault="00E477F8" w:rsidP="00900F2C">
            <w:pPr>
              <w:rPr>
                <w:b/>
                <w:sz w:val="16"/>
                <w:szCs w:val="16"/>
              </w:rPr>
            </w:pPr>
            <w:r w:rsidRPr="00E477F8">
              <w:rPr>
                <w:b/>
                <w:sz w:val="16"/>
                <w:szCs w:val="16"/>
              </w:rPr>
              <w:t>Ibandronate</w:t>
            </w:r>
          </w:p>
        </w:tc>
        <w:tc>
          <w:tcPr>
            <w:tcW w:w="0" w:type="auto"/>
            <w:gridSpan w:val="3"/>
            <w:vAlign w:val="center"/>
          </w:tcPr>
          <w:p w:rsidR="00E477F8" w:rsidRPr="00E477F8" w:rsidRDefault="00E477F8" w:rsidP="00900F2C">
            <w:pPr>
              <w:rPr>
                <w:b/>
                <w:sz w:val="16"/>
                <w:szCs w:val="16"/>
              </w:rPr>
            </w:pPr>
            <w:r w:rsidRPr="00E477F8">
              <w:rPr>
                <w:b/>
                <w:sz w:val="16"/>
                <w:szCs w:val="16"/>
              </w:rPr>
              <w:t>Alendronate</w:t>
            </w:r>
          </w:p>
        </w:tc>
        <w:tc>
          <w:tcPr>
            <w:tcW w:w="2606" w:type="dxa"/>
            <w:gridSpan w:val="3"/>
            <w:vAlign w:val="center"/>
          </w:tcPr>
          <w:p w:rsidR="00E477F8" w:rsidRPr="00E477F8" w:rsidRDefault="00E477F8" w:rsidP="00900F2C">
            <w:pPr>
              <w:rPr>
                <w:b/>
                <w:sz w:val="16"/>
                <w:szCs w:val="16"/>
              </w:rPr>
            </w:pPr>
            <w:r w:rsidRPr="00E477F8">
              <w:rPr>
                <w:b/>
                <w:sz w:val="16"/>
                <w:szCs w:val="16"/>
              </w:rPr>
              <w:t>Risedronate</w:t>
            </w:r>
          </w:p>
        </w:tc>
      </w:tr>
      <w:tr w:rsidR="00E477F8" w:rsidRPr="00E477F8" w:rsidTr="004A7F9C">
        <w:trPr>
          <w:trHeight w:val="260"/>
        </w:trPr>
        <w:tc>
          <w:tcPr>
            <w:tcW w:w="1197" w:type="dxa"/>
            <w:vAlign w:val="center"/>
          </w:tcPr>
          <w:p w:rsidR="00E477F8" w:rsidRPr="00E477F8" w:rsidRDefault="00E477F8" w:rsidP="00900F2C">
            <w:pPr>
              <w:rPr>
                <w:sz w:val="16"/>
                <w:szCs w:val="16"/>
              </w:rPr>
            </w:pP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0" w:type="auto"/>
            <w:vAlign w:val="center"/>
          </w:tcPr>
          <w:p w:rsidR="00E477F8" w:rsidRPr="00E477F8" w:rsidRDefault="00E477F8" w:rsidP="00900F2C">
            <w:pPr>
              <w:rPr>
                <w:sz w:val="16"/>
                <w:szCs w:val="16"/>
              </w:rPr>
            </w:pPr>
            <w:r w:rsidRPr="00E477F8">
              <w:rPr>
                <w:sz w:val="16"/>
                <w:szCs w:val="16"/>
              </w:rPr>
              <w:t>P-Value</w:t>
            </w: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0" w:type="auto"/>
            <w:vAlign w:val="center"/>
          </w:tcPr>
          <w:p w:rsidR="00E477F8" w:rsidRPr="00E477F8" w:rsidRDefault="00E477F8" w:rsidP="00900F2C">
            <w:pPr>
              <w:rPr>
                <w:sz w:val="16"/>
                <w:szCs w:val="16"/>
              </w:rPr>
            </w:pPr>
            <w:r w:rsidRPr="00E477F8">
              <w:rPr>
                <w:sz w:val="16"/>
                <w:szCs w:val="16"/>
              </w:rPr>
              <w:t>P-Value</w:t>
            </w: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758" w:type="dxa"/>
            <w:vAlign w:val="center"/>
          </w:tcPr>
          <w:p w:rsidR="00E477F8" w:rsidRPr="00E477F8" w:rsidRDefault="00E477F8" w:rsidP="00900F2C">
            <w:pPr>
              <w:rPr>
                <w:sz w:val="16"/>
                <w:szCs w:val="16"/>
              </w:rPr>
            </w:pPr>
            <w:r w:rsidRPr="00E477F8">
              <w:rPr>
                <w:sz w:val="16"/>
                <w:szCs w:val="16"/>
              </w:rPr>
              <w:t>P-Value</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Baseline 2</w:t>
            </w:r>
          </w:p>
        </w:tc>
        <w:tc>
          <w:tcPr>
            <w:tcW w:w="0" w:type="auto"/>
            <w:vAlign w:val="center"/>
          </w:tcPr>
          <w:p w:rsidR="00E477F8" w:rsidRPr="00E477F8" w:rsidRDefault="00E477F8" w:rsidP="00900F2C">
            <w:pPr>
              <w:rPr>
                <w:sz w:val="16"/>
                <w:szCs w:val="16"/>
              </w:rPr>
            </w:pPr>
            <w:r w:rsidRPr="00E477F8">
              <w:rPr>
                <w:sz w:val="16"/>
                <w:szCs w:val="16"/>
              </w:rPr>
              <w:t>0.632</w:t>
            </w:r>
          </w:p>
        </w:tc>
        <w:tc>
          <w:tcPr>
            <w:tcW w:w="0" w:type="auto"/>
            <w:vAlign w:val="center"/>
          </w:tcPr>
          <w:p w:rsidR="00E477F8" w:rsidRPr="00E477F8" w:rsidRDefault="00E477F8" w:rsidP="00900F2C">
            <w:pPr>
              <w:rPr>
                <w:sz w:val="16"/>
                <w:szCs w:val="16"/>
              </w:rPr>
            </w:pPr>
            <w:r w:rsidRPr="00E477F8">
              <w:rPr>
                <w:sz w:val="16"/>
                <w:szCs w:val="16"/>
              </w:rPr>
              <w:t>(0.254, 1.010)</w:t>
            </w:r>
          </w:p>
        </w:tc>
        <w:tc>
          <w:tcPr>
            <w:tcW w:w="0" w:type="auto"/>
            <w:vAlign w:val="center"/>
          </w:tcPr>
          <w:p w:rsidR="00E477F8" w:rsidRPr="00E477F8" w:rsidRDefault="00E477F8" w:rsidP="00900F2C">
            <w:pPr>
              <w:rPr>
                <w:sz w:val="16"/>
                <w:szCs w:val="16"/>
              </w:rPr>
            </w:pPr>
            <w:r w:rsidRPr="00E477F8">
              <w:rPr>
                <w:sz w:val="16"/>
                <w:szCs w:val="16"/>
              </w:rPr>
              <w:t>0.001</w:t>
            </w:r>
          </w:p>
        </w:tc>
        <w:tc>
          <w:tcPr>
            <w:tcW w:w="0" w:type="auto"/>
            <w:vAlign w:val="center"/>
          </w:tcPr>
          <w:p w:rsidR="00E477F8" w:rsidRPr="00E477F8" w:rsidRDefault="00E477F8" w:rsidP="00900F2C">
            <w:pPr>
              <w:rPr>
                <w:sz w:val="16"/>
                <w:szCs w:val="16"/>
              </w:rPr>
            </w:pPr>
            <w:r w:rsidRPr="00E477F8">
              <w:rPr>
                <w:sz w:val="16"/>
                <w:szCs w:val="16"/>
              </w:rPr>
              <w:t>0.642</w:t>
            </w:r>
          </w:p>
        </w:tc>
        <w:tc>
          <w:tcPr>
            <w:tcW w:w="0" w:type="auto"/>
            <w:vAlign w:val="center"/>
          </w:tcPr>
          <w:p w:rsidR="00E477F8" w:rsidRPr="00E477F8" w:rsidRDefault="00E477F8" w:rsidP="00900F2C">
            <w:pPr>
              <w:rPr>
                <w:sz w:val="16"/>
                <w:szCs w:val="16"/>
              </w:rPr>
            </w:pPr>
            <w:r w:rsidRPr="00E477F8">
              <w:rPr>
                <w:sz w:val="16"/>
                <w:szCs w:val="16"/>
              </w:rPr>
              <w:t>(0.260, 1.024)</w:t>
            </w:r>
          </w:p>
        </w:tc>
        <w:tc>
          <w:tcPr>
            <w:tcW w:w="0" w:type="auto"/>
            <w:vAlign w:val="center"/>
          </w:tcPr>
          <w:p w:rsidR="00E477F8" w:rsidRPr="00E477F8" w:rsidRDefault="00E477F8" w:rsidP="00900F2C">
            <w:pPr>
              <w:rPr>
                <w:sz w:val="16"/>
                <w:szCs w:val="16"/>
              </w:rPr>
            </w:pPr>
            <w:r w:rsidRPr="00E477F8">
              <w:rPr>
                <w:sz w:val="16"/>
                <w:szCs w:val="16"/>
              </w:rPr>
              <w:t>0.001</w:t>
            </w:r>
          </w:p>
        </w:tc>
        <w:tc>
          <w:tcPr>
            <w:tcW w:w="0" w:type="auto"/>
            <w:vAlign w:val="center"/>
          </w:tcPr>
          <w:p w:rsidR="00E477F8" w:rsidRPr="00E477F8" w:rsidRDefault="00E477F8" w:rsidP="00900F2C">
            <w:pPr>
              <w:rPr>
                <w:sz w:val="16"/>
                <w:szCs w:val="16"/>
              </w:rPr>
            </w:pPr>
            <w:r w:rsidRPr="00E477F8">
              <w:rPr>
                <w:sz w:val="16"/>
                <w:szCs w:val="16"/>
              </w:rPr>
              <w:t>0.568</w:t>
            </w:r>
          </w:p>
        </w:tc>
        <w:tc>
          <w:tcPr>
            <w:tcW w:w="0" w:type="auto"/>
            <w:vAlign w:val="center"/>
          </w:tcPr>
          <w:p w:rsidR="00E477F8" w:rsidRPr="00E477F8" w:rsidRDefault="00E477F8" w:rsidP="00900F2C">
            <w:pPr>
              <w:rPr>
                <w:sz w:val="16"/>
                <w:szCs w:val="16"/>
              </w:rPr>
            </w:pPr>
            <w:r w:rsidRPr="00E477F8">
              <w:rPr>
                <w:sz w:val="16"/>
                <w:szCs w:val="16"/>
              </w:rPr>
              <w:t>(0.250, 0.886)</w:t>
            </w:r>
          </w:p>
        </w:tc>
        <w:tc>
          <w:tcPr>
            <w:tcW w:w="758" w:type="dxa"/>
            <w:vAlign w:val="center"/>
          </w:tcPr>
          <w:p w:rsidR="00E477F8" w:rsidRPr="00E477F8" w:rsidRDefault="00E477F8" w:rsidP="00900F2C">
            <w:pPr>
              <w:rPr>
                <w:sz w:val="16"/>
                <w:szCs w:val="16"/>
              </w:rPr>
            </w:pPr>
            <w:r w:rsidRPr="00E477F8">
              <w:rPr>
                <w:sz w:val="16"/>
                <w:szCs w:val="16"/>
              </w:rPr>
              <w: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1</w:t>
            </w:r>
          </w:p>
        </w:tc>
        <w:tc>
          <w:tcPr>
            <w:tcW w:w="0" w:type="auto"/>
            <w:vAlign w:val="center"/>
          </w:tcPr>
          <w:p w:rsidR="00E477F8" w:rsidRPr="00E477F8" w:rsidRDefault="00E477F8" w:rsidP="00900F2C">
            <w:pPr>
              <w:rPr>
                <w:sz w:val="16"/>
                <w:szCs w:val="16"/>
              </w:rPr>
            </w:pPr>
            <w:r w:rsidRPr="00E477F8">
              <w:rPr>
                <w:sz w:val="16"/>
                <w:szCs w:val="16"/>
              </w:rPr>
              <w:t>4.080</w:t>
            </w:r>
          </w:p>
        </w:tc>
        <w:tc>
          <w:tcPr>
            <w:tcW w:w="0" w:type="auto"/>
            <w:vAlign w:val="center"/>
          </w:tcPr>
          <w:p w:rsidR="00E477F8" w:rsidRPr="00E477F8" w:rsidRDefault="00E477F8" w:rsidP="00900F2C">
            <w:pPr>
              <w:rPr>
                <w:sz w:val="16"/>
                <w:szCs w:val="16"/>
              </w:rPr>
            </w:pPr>
            <w:r w:rsidRPr="00E477F8">
              <w:rPr>
                <w:sz w:val="16"/>
                <w:szCs w:val="16"/>
              </w:rPr>
              <w:t>(3.550, 4.610)</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1.818</w:t>
            </w:r>
          </w:p>
        </w:tc>
        <w:tc>
          <w:tcPr>
            <w:tcW w:w="0" w:type="auto"/>
            <w:vAlign w:val="center"/>
          </w:tcPr>
          <w:p w:rsidR="00E477F8" w:rsidRPr="00E477F8" w:rsidRDefault="00E477F8" w:rsidP="00900F2C">
            <w:pPr>
              <w:rPr>
                <w:sz w:val="16"/>
                <w:szCs w:val="16"/>
              </w:rPr>
            </w:pPr>
            <w:r w:rsidRPr="00E477F8">
              <w:rPr>
                <w:sz w:val="16"/>
                <w:szCs w:val="16"/>
              </w:rPr>
              <w:t>(1.350, 2.287)</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1.164</w:t>
            </w:r>
          </w:p>
        </w:tc>
        <w:tc>
          <w:tcPr>
            <w:tcW w:w="0" w:type="auto"/>
            <w:vAlign w:val="center"/>
          </w:tcPr>
          <w:p w:rsidR="00E477F8" w:rsidRPr="00E477F8" w:rsidRDefault="00E477F8" w:rsidP="00900F2C">
            <w:pPr>
              <w:rPr>
                <w:sz w:val="16"/>
                <w:szCs w:val="16"/>
              </w:rPr>
            </w:pPr>
            <w:r w:rsidRPr="00E477F8">
              <w:rPr>
                <w:sz w:val="16"/>
                <w:szCs w:val="16"/>
              </w:rPr>
              <w:t>(0.746, 1.582)</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2</w:t>
            </w:r>
          </w:p>
        </w:tc>
        <w:tc>
          <w:tcPr>
            <w:tcW w:w="0" w:type="auto"/>
            <w:vAlign w:val="center"/>
          </w:tcPr>
          <w:p w:rsidR="00E477F8" w:rsidRPr="00E477F8" w:rsidRDefault="00E477F8" w:rsidP="00900F2C">
            <w:pPr>
              <w:rPr>
                <w:sz w:val="16"/>
                <w:szCs w:val="16"/>
              </w:rPr>
            </w:pPr>
            <w:r w:rsidRPr="00E477F8">
              <w:rPr>
                <w:sz w:val="16"/>
                <w:szCs w:val="16"/>
              </w:rPr>
              <w:t>3.779</w:t>
            </w:r>
          </w:p>
        </w:tc>
        <w:tc>
          <w:tcPr>
            <w:tcW w:w="0" w:type="auto"/>
            <w:vAlign w:val="center"/>
          </w:tcPr>
          <w:p w:rsidR="00E477F8" w:rsidRPr="00E477F8" w:rsidRDefault="00E477F8" w:rsidP="00900F2C">
            <w:pPr>
              <w:rPr>
                <w:sz w:val="16"/>
                <w:szCs w:val="16"/>
              </w:rPr>
            </w:pPr>
            <w:r w:rsidRPr="00E477F8">
              <w:rPr>
                <w:sz w:val="16"/>
                <w:szCs w:val="16"/>
              </w:rPr>
              <w:t>(3.252, 4.306)</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2.370</w:t>
            </w:r>
          </w:p>
        </w:tc>
        <w:tc>
          <w:tcPr>
            <w:tcW w:w="0" w:type="auto"/>
            <w:vAlign w:val="center"/>
          </w:tcPr>
          <w:p w:rsidR="00E477F8" w:rsidRPr="00E477F8" w:rsidRDefault="00E477F8" w:rsidP="00900F2C">
            <w:pPr>
              <w:rPr>
                <w:sz w:val="16"/>
                <w:szCs w:val="16"/>
              </w:rPr>
            </w:pPr>
            <w:r w:rsidRPr="00E477F8">
              <w:rPr>
                <w:sz w:val="16"/>
                <w:szCs w:val="16"/>
              </w:rPr>
              <w:t>(1.821, 2.918)</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2.047</w:t>
            </w:r>
          </w:p>
        </w:tc>
        <w:tc>
          <w:tcPr>
            <w:tcW w:w="0" w:type="auto"/>
            <w:vAlign w:val="center"/>
          </w:tcPr>
          <w:p w:rsidR="00E477F8" w:rsidRPr="00E477F8" w:rsidRDefault="00E477F8" w:rsidP="00900F2C">
            <w:pPr>
              <w:rPr>
                <w:sz w:val="16"/>
                <w:szCs w:val="16"/>
              </w:rPr>
            </w:pPr>
            <w:r w:rsidRPr="00E477F8">
              <w:rPr>
                <w:sz w:val="16"/>
                <w:szCs w:val="16"/>
              </w:rPr>
              <w:t>(1.574, 2.520)</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4</w:t>
            </w:r>
          </w:p>
        </w:tc>
        <w:tc>
          <w:tcPr>
            <w:tcW w:w="0" w:type="auto"/>
            <w:vAlign w:val="center"/>
          </w:tcPr>
          <w:p w:rsidR="00E477F8" w:rsidRPr="00E477F8" w:rsidRDefault="00E477F8" w:rsidP="00900F2C">
            <w:pPr>
              <w:rPr>
                <w:sz w:val="16"/>
                <w:szCs w:val="16"/>
              </w:rPr>
            </w:pPr>
            <w:r w:rsidRPr="00E477F8">
              <w:rPr>
                <w:sz w:val="16"/>
                <w:szCs w:val="16"/>
              </w:rPr>
              <w:t>2.044</w:t>
            </w:r>
          </w:p>
        </w:tc>
        <w:tc>
          <w:tcPr>
            <w:tcW w:w="0" w:type="auto"/>
            <w:vAlign w:val="center"/>
          </w:tcPr>
          <w:p w:rsidR="00E477F8" w:rsidRPr="00E477F8" w:rsidRDefault="00E477F8" w:rsidP="00900F2C">
            <w:pPr>
              <w:rPr>
                <w:sz w:val="16"/>
                <w:szCs w:val="16"/>
              </w:rPr>
            </w:pPr>
            <w:r w:rsidRPr="00E477F8">
              <w:rPr>
                <w:sz w:val="16"/>
                <w:szCs w:val="16"/>
              </w:rPr>
              <w:t>(1.543, 2.546)</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2.647</w:t>
            </w:r>
          </w:p>
        </w:tc>
        <w:tc>
          <w:tcPr>
            <w:tcW w:w="0" w:type="auto"/>
            <w:vAlign w:val="center"/>
          </w:tcPr>
          <w:p w:rsidR="00E477F8" w:rsidRPr="00E477F8" w:rsidRDefault="00E477F8" w:rsidP="00900F2C">
            <w:pPr>
              <w:rPr>
                <w:sz w:val="16"/>
                <w:szCs w:val="16"/>
              </w:rPr>
            </w:pPr>
            <w:r w:rsidRPr="00E477F8">
              <w:rPr>
                <w:sz w:val="16"/>
                <w:szCs w:val="16"/>
              </w:rPr>
              <w:t>(2.119, 3.175)</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1.994</w:t>
            </w:r>
          </w:p>
        </w:tc>
        <w:tc>
          <w:tcPr>
            <w:tcW w:w="0" w:type="auto"/>
            <w:vAlign w:val="center"/>
          </w:tcPr>
          <w:p w:rsidR="00E477F8" w:rsidRPr="00E477F8" w:rsidRDefault="00E477F8" w:rsidP="00900F2C">
            <w:pPr>
              <w:rPr>
                <w:sz w:val="16"/>
                <w:szCs w:val="16"/>
              </w:rPr>
            </w:pPr>
            <w:r w:rsidRPr="00E477F8">
              <w:rPr>
                <w:sz w:val="16"/>
                <w:szCs w:val="16"/>
              </w:rPr>
              <w:t>(1.537, 2.451)</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12</w:t>
            </w:r>
          </w:p>
        </w:tc>
        <w:tc>
          <w:tcPr>
            <w:tcW w:w="0" w:type="auto"/>
            <w:vAlign w:val="center"/>
          </w:tcPr>
          <w:p w:rsidR="00E477F8" w:rsidRPr="00E477F8" w:rsidRDefault="00E477F8" w:rsidP="00900F2C">
            <w:pPr>
              <w:rPr>
                <w:sz w:val="16"/>
                <w:szCs w:val="16"/>
              </w:rPr>
            </w:pPr>
            <w:r w:rsidRPr="00E477F8">
              <w:rPr>
                <w:sz w:val="16"/>
                <w:szCs w:val="16"/>
              </w:rPr>
              <w:t>0.121</w:t>
            </w:r>
          </w:p>
        </w:tc>
        <w:tc>
          <w:tcPr>
            <w:tcW w:w="0" w:type="auto"/>
            <w:vAlign w:val="center"/>
          </w:tcPr>
          <w:p w:rsidR="00E477F8" w:rsidRPr="00E477F8" w:rsidRDefault="00E477F8" w:rsidP="00900F2C">
            <w:pPr>
              <w:rPr>
                <w:sz w:val="16"/>
                <w:szCs w:val="16"/>
              </w:rPr>
            </w:pPr>
            <w:r w:rsidRPr="00E477F8">
              <w:rPr>
                <w:sz w:val="16"/>
                <w:szCs w:val="16"/>
              </w:rPr>
              <w:t>(-0.339, 0.582)</w:t>
            </w:r>
          </w:p>
        </w:tc>
        <w:tc>
          <w:tcPr>
            <w:tcW w:w="0" w:type="auto"/>
            <w:vAlign w:val="center"/>
          </w:tcPr>
          <w:p w:rsidR="00E477F8" w:rsidRPr="00E477F8" w:rsidRDefault="00E477F8" w:rsidP="00900F2C">
            <w:pPr>
              <w:rPr>
                <w:sz w:val="16"/>
                <w:szCs w:val="16"/>
              </w:rPr>
            </w:pPr>
            <w:r w:rsidRPr="00E477F8">
              <w:rPr>
                <w:sz w:val="16"/>
                <w:szCs w:val="16"/>
              </w:rPr>
              <w:t>0.600</w:t>
            </w:r>
          </w:p>
        </w:tc>
        <w:tc>
          <w:tcPr>
            <w:tcW w:w="0" w:type="auto"/>
            <w:vAlign w:val="center"/>
          </w:tcPr>
          <w:p w:rsidR="00E477F8" w:rsidRPr="00E477F8" w:rsidRDefault="00E477F8" w:rsidP="00900F2C">
            <w:pPr>
              <w:rPr>
                <w:sz w:val="16"/>
                <w:szCs w:val="16"/>
              </w:rPr>
            </w:pPr>
            <w:r w:rsidRPr="00E477F8">
              <w:rPr>
                <w:sz w:val="16"/>
                <w:szCs w:val="16"/>
              </w:rPr>
              <w:t>1.138</w:t>
            </w:r>
          </w:p>
        </w:tc>
        <w:tc>
          <w:tcPr>
            <w:tcW w:w="0" w:type="auto"/>
            <w:vAlign w:val="center"/>
          </w:tcPr>
          <w:p w:rsidR="00E477F8" w:rsidRPr="00E477F8" w:rsidRDefault="00E477F8" w:rsidP="00900F2C">
            <w:pPr>
              <w:rPr>
                <w:sz w:val="16"/>
                <w:szCs w:val="16"/>
              </w:rPr>
            </w:pPr>
            <w:r w:rsidRPr="00E477F8">
              <w:rPr>
                <w:sz w:val="16"/>
                <w:szCs w:val="16"/>
              </w:rPr>
              <w:t>(0.766, 1.509)</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0.689</w:t>
            </w:r>
          </w:p>
        </w:tc>
        <w:tc>
          <w:tcPr>
            <w:tcW w:w="0" w:type="auto"/>
            <w:vAlign w:val="center"/>
          </w:tcPr>
          <w:p w:rsidR="00E477F8" w:rsidRPr="00E477F8" w:rsidRDefault="00E477F8" w:rsidP="00900F2C">
            <w:pPr>
              <w:rPr>
                <w:sz w:val="16"/>
                <w:szCs w:val="16"/>
              </w:rPr>
            </w:pPr>
            <w:r w:rsidRPr="00E477F8">
              <w:rPr>
                <w:sz w:val="16"/>
                <w:szCs w:val="16"/>
              </w:rPr>
              <w:t>(0.324, 1.054)</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48</w:t>
            </w:r>
          </w:p>
        </w:tc>
        <w:tc>
          <w:tcPr>
            <w:tcW w:w="0" w:type="auto"/>
            <w:vAlign w:val="center"/>
          </w:tcPr>
          <w:p w:rsidR="00E477F8" w:rsidRPr="00E477F8" w:rsidRDefault="00E477F8" w:rsidP="00900F2C">
            <w:pPr>
              <w:rPr>
                <w:sz w:val="16"/>
                <w:szCs w:val="16"/>
              </w:rPr>
            </w:pPr>
            <w:r w:rsidRPr="00E477F8">
              <w:rPr>
                <w:sz w:val="16"/>
                <w:szCs w:val="16"/>
              </w:rPr>
              <w:t>-0.031</w:t>
            </w:r>
          </w:p>
        </w:tc>
        <w:tc>
          <w:tcPr>
            <w:tcW w:w="0" w:type="auto"/>
            <w:vAlign w:val="center"/>
          </w:tcPr>
          <w:p w:rsidR="00E477F8" w:rsidRPr="00E477F8" w:rsidRDefault="00E477F8" w:rsidP="00900F2C">
            <w:pPr>
              <w:rPr>
                <w:sz w:val="16"/>
                <w:szCs w:val="16"/>
              </w:rPr>
            </w:pPr>
            <w:r w:rsidRPr="00E477F8">
              <w:rPr>
                <w:sz w:val="16"/>
                <w:szCs w:val="16"/>
              </w:rPr>
              <w:t>(-0.492, 0.430)</w:t>
            </w:r>
          </w:p>
        </w:tc>
        <w:tc>
          <w:tcPr>
            <w:tcW w:w="0" w:type="auto"/>
            <w:vAlign w:val="center"/>
          </w:tcPr>
          <w:p w:rsidR="00E477F8" w:rsidRPr="00E477F8" w:rsidRDefault="00E477F8" w:rsidP="00900F2C">
            <w:pPr>
              <w:rPr>
                <w:sz w:val="16"/>
                <w:szCs w:val="16"/>
              </w:rPr>
            </w:pPr>
            <w:r w:rsidRPr="00E477F8">
              <w:rPr>
                <w:sz w:val="16"/>
                <w:szCs w:val="16"/>
              </w:rPr>
              <w:t>0.893</w:t>
            </w:r>
          </w:p>
        </w:tc>
        <w:tc>
          <w:tcPr>
            <w:tcW w:w="0" w:type="auto"/>
            <w:vAlign w:val="center"/>
          </w:tcPr>
          <w:p w:rsidR="00E477F8" w:rsidRPr="00E477F8" w:rsidRDefault="00E477F8" w:rsidP="00900F2C">
            <w:pPr>
              <w:rPr>
                <w:sz w:val="16"/>
                <w:szCs w:val="16"/>
              </w:rPr>
            </w:pPr>
            <w:r w:rsidRPr="00E477F8">
              <w:rPr>
                <w:sz w:val="16"/>
                <w:szCs w:val="16"/>
              </w:rPr>
              <w:t>0.658</w:t>
            </w:r>
          </w:p>
        </w:tc>
        <w:tc>
          <w:tcPr>
            <w:tcW w:w="0" w:type="auto"/>
            <w:vAlign w:val="center"/>
          </w:tcPr>
          <w:p w:rsidR="00E477F8" w:rsidRPr="00E477F8" w:rsidRDefault="00E477F8" w:rsidP="00900F2C">
            <w:pPr>
              <w:rPr>
                <w:sz w:val="16"/>
                <w:szCs w:val="16"/>
              </w:rPr>
            </w:pPr>
            <w:r w:rsidRPr="00E477F8">
              <w:rPr>
                <w:sz w:val="16"/>
                <w:szCs w:val="16"/>
              </w:rPr>
              <w:t>(0.257, 1.058)</w:t>
            </w:r>
          </w:p>
        </w:tc>
        <w:tc>
          <w:tcPr>
            <w:tcW w:w="0" w:type="auto"/>
            <w:vAlign w:val="center"/>
          </w:tcPr>
          <w:p w:rsidR="00E477F8" w:rsidRPr="00E477F8" w:rsidRDefault="00E477F8" w:rsidP="00900F2C">
            <w:pPr>
              <w:rPr>
                <w:sz w:val="16"/>
                <w:szCs w:val="16"/>
              </w:rPr>
            </w:pPr>
            <w:r w:rsidRPr="00E477F8">
              <w:rPr>
                <w:sz w:val="16"/>
                <w:szCs w:val="16"/>
              </w:rPr>
              <w:t>0.002</w:t>
            </w:r>
          </w:p>
        </w:tc>
        <w:tc>
          <w:tcPr>
            <w:tcW w:w="0" w:type="auto"/>
            <w:vAlign w:val="center"/>
          </w:tcPr>
          <w:p w:rsidR="00E477F8" w:rsidRPr="00E477F8" w:rsidRDefault="00E477F8" w:rsidP="00900F2C">
            <w:pPr>
              <w:rPr>
                <w:sz w:val="16"/>
                <w:szCs w:val="16"/>
              </w:rPr>
            </w:pPr>
            <w:r w:rsidRPr="00E477F8">
              <w:rPr>
                <w:sz w:val="16"/>
                <w:szCs w:val="16"/>
              </w:rPr>
              <w:t>0.252</w:t>
            </w:r>
          </w:p>
        </w:tc>
        <w:tc>
          <w:tcPr>
            <w:tcW w:w="0" w:type="auto"/>
            <w:vAlign w:val="center"/>
          </w:tcPr>
          <w:p w:rsidR="00E477F8" w:rsidRPr="00E477F8" w:rsidRDefault="00E477F8" w:rsidP="00900F2C">
            <w:pPr>
              <w:rPr>
                <w:sz w:val="16"/>
                <w:szCs w:val="16"/>
              </w:rPr>
            </w:pPr>
            <w:r w:rsidRPr="00E477F8">
              <w:rPr>
                <w:sz w:val="16"/>
                <w:szCs w:val="16"/>
              </w:rPr>
              <w:t>(-0.095, 0.599)</w:t>
            </w:r>
          </w:p>
        </w:tc>
        <w:tc>
          <w:tcPr>
            <w:tcW w:w="758" w:type="dxa"/>
            <w:vAlign w:val="center"/>
          </w:tcPr>
          <w:p w:rsidR="00E477F8" w:rsidRPr="00E477F8" w:rsidRDefault="00E477F8" w:rsidP="00900F2C">
            <w:pPr>
              <w:rPr>
                <w:sz w:val="16"/>
                <w:szCs w:val="16"/>
              </w:rPr>
            </w:pPr>
            <w:r w:rsidRPr="00E477F8">
              <w:rPr>
                <w:sz w:val="16"/>
                <w:szCs w:val="16"/>
              </w:rPr>
              <w:t>0.151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96</w:t>
            </w:r>
          </w:p>
        </w:tc>
        <w:tc>
          <w:tcPr>
            <w:tcW w:w="0" w:type="auto"/>
            <w:vAlign w:val="center"/>
          </w:tcPr>
          <w:p w:rsidR="00E477F8" w:rsidRPr="00E477F8" w:rsidRDefault="00E477F8" w:rsidP="00900F2C">
            <w:pPr>
              <w:rPr>
                <w:sz w:val="16"/>
                <w:szCs w:val="16"/>
              </w:rPr>
            </w:pPr>
            <w:r w:rsidRPr="00E477F8">
              <w:rPr>
                <w:sz w:val="16"/>
                <w:szCs w:val="16"/>
              </w:rPr>
              <w:t>-0.153</w:t>
            </w:r>
          </w:p>
        </w:tc>
        <w:tc>
          <w:tcPr>
            <w:tcW w:w="0" w:type="auto"/>
            <w:vAlign w:val="center"/>
          </w:tcPr>
          <w:p w:rsidR="00E477F8" w:rsidRPr="00E477F8" w:rsidRDefault="00E477F8" w:rsidP="00900F2C">
            <w:pPr>
              <w:rPr>
                <w:sz w:val="16"/>
                <w:szCs w:val="16"/>
              </w:rPr>
            </w:pPr>
            <w:r w:rsidRPr="00E477F8">
              <w:rPr>
                <w:sz w:val="16"/>
                <w:szCs w:val="16"/>
              </w:rPr>
              <w:t>(-0.776, 0.471)</w:t>
            </w:r>
          </w:p>
        </w:tc>
        <w:tc>
          <w:tcPr>
            <w:tcW w:w="0" w:type="auto"/>
            <w:vAlign w:val="center"/>
          </w:tcPr>
          <w:p w:rsidR="00E477F8" w:rsidRPr="00E477F8" w:rsidRDefault="00E477F8" w:rsidP="00900F2C">
            <w:pPr>
              <w:rPr>
                <w:sz w:val="16"/>
                <w:szCs w:val="16"/>
              </w:rPr>
            </w:pPr>
            <w:r w:rsidRPr="00E477F8">
              <w:rPr>
                <w:sz w:val="16"/>
                <w:szCs w:val="16"/>
              </w:rPr>
              <w:t>0.622</w:t>
            </w:r>
          </w:p>
        </w:tc>
        <w:tc>
          <w:tcPr>
            <w:tcW w:w="0" w:type="auto"/>
            <w:vAlign w:val="center"/>
          </w:tcPr>
          <w:p w:rsidR="00E477F8" w:rsidRPr="00E477F8" w:rsidRDefault="00E477F8" w:rsidP="00900F2C">
            <w:pPr>
              <w:rPr>
                <w:sz w:val="16"/>
                <w:szCs w:val="16"/>
              </w:rPr>
            </w:pPr>
            <w:r w:rsidRPr="00E477F8">
              <w:rPr>
                <w:sz w:val="16"/>
                <w:szCs w:val="16"/>
              </w:rPr>
              <w:t>0.722</w:t>
            </w:r>
          </w:p>
        </w:tc>
        <w:tc>
          <w:tcPr>
            <w:tcW w:w="0" w:type="auto"/>
            <w:vAlign w:val="center"/>
          </w:tcPr>
          <w:p w:rsidR="00E477F8" w:rsidRPr="00E477F8" w:rsidRDefault="00E477F8" w:rsidP="00900F2C">
            <w:pPr>
              <w:rPr>
                <w:sz w:val="16"/>
                <w:szCs w:val="16"/>
              </w:rPr>
            </w:pPr>
            <w:r w:rsidRPr="00E477F8">
              <w:rPr>
                <w:sz w:val="16"/>
                <w:szCs w:val="16"/>
              </w:rPr>
              <w:t>(0.230, 1.215)</w:t>
            </w:r>
          </w:p>
        </w:tc>
        <w:tc>
          <w:tcPr>
            <w:tcW w:w="0" w:type="auto"/>
            <w:vAlign w:val="center"/>
          </w:tcPr>
          <w:p w:rsidR="00E477F8" w:rsidRPr="00E477F8" w:rsidRDefault="00E477F8" w:rsidP="00900F2C">
            <w:pPr>
              <w:rPr>
                <w:sz w:val="16"/>
                <w:szCs w:val="16"/>
              </w:rPr>
            </w:pPr>
            <w:r w:rsidRPr="00E477F8">
              <w:rPr>
                <w:sz w:val="16"/>
                <w:szCs w:val="16"/>
              </w:rPr>
              <w:t>0.005</w:t>
            </w:r>
          </w:p>
        </w:tc>
        <w:tc>
          <w:tcPr>
            <w:tcW w:w="0" w:type="auto"/>
            <w:vAlign w:val="center"/>
          </w:tcPr>
          <w:p w:rsidR="00E477F8" w:rsidRPr="00E477F8" w:rsidRDefault="00E477F8" w:rsidP="00900F2C">
            <w:pPr>
              <w:rPr>
                <w:sz w:val="16"/>
                <w:szCs w:val="16"/>
              </w:rPr>
            </w:pPr>
            <w:r w:rsidRPr="00E477F8">
              <w:rPr>
                <w:sz w:val="16"/>
                <w:szCs w:val="16"/>
              </w:rPr>
              <w:t>-0.084</w:t>
            </w:r>
          </w:p>
        </w:tc>
        <w:tc>
          <w:tcPr>
            <w:tcW w:w="0" w:type="auto"/>
            <w:vAlign w:val="center"/>
          </w:tcPr>
          <w:p w:rsidR="00E477F8" w:rsidRPr="00E477F8" w:rsidRDefault="00E477F8" w:rsidP="00900F2C">
            <w:pPr>
              <w:rPr>
                <w:sz w:val="16"/>
                <w:szCs w:val="16"/>
              </w:rPr>
            </w:pPr>
            <w:r w:rsidRPr="00E477F8">
              <w:rPr>
                <w:sz w:val="16"/>
                <w:szCs w:val="16"/>
              </w:rPr>
              <w:t>(-5.20, 0.353)</w:t>
            </w:r>
          </w:p>
        </w:tc>
        <w:tc>
          <w:tcPr>
            <w:tcW w:w="758" w:type="dxa"/>
            <w:vAlign w:val="center"/>
          </w:tcPr>
          <w:p w:rsidR="00E477F8" w:rsidRPr="00E477F8" w:rsidRDefault="00E477F8" w:rsidP="00900F2C">
            <w:pPr>
              <w:rPr>
                <w:sz w:val="16"/>
                <w:szCs w:val="16"/>
              </w:rPr>
            </w:pPr>
            <w:r w:rsidRPr="00E477F8">
              <w:rPr>
                <w:sz w:val="16"/>
                <w:szCs w:val="16"/>
              </w:rPr>
              <w:t>0.700</w:t>
            </w:r>
          </w:p>
        </w:tc>
      </w:tr>
      <w:tr w:rsidR="00E477F8" w:rsidRPr="00E477F8" w:rsidTr="004A7F9C">
        <w:trPr>
          <w:trHeight w:val="260"/>
        </w:trPr>
        <w:tc>
          <w:tcPr>
            <w:tcW w:w="8931" w:type="dxa"/>
            <w:gridSpan w:val="10"/>
            <w:vAlign w:val="center"/>
          </w:tcPr>
          <w:p w:rsidR="00E477F8" w:rsidRPr="00E477F8" w:rsidRDefault="00BC1086" w:rsidP="00900F2C">
            <w:pPr>
              <w:rPr>
                <w:b/>
                <w:sz w:val="16"/>
                <w:szCs w:val="16"/>
              </w:rPr>
            </w:pPr>
            <w:r>
              <w:rPr>
                <w:b/>
                <w:sz w:val="16"/>
                <w:szCs w:val="16"/>
              </w:rPr>
              <w:t>Bone t</w:t>
            </w:r>
            <w:r w:rsidR="00E477F8" w:rsidRPr="00E477F8">
              <w:rPr>
                <w:b/>
                <w:sz w:val="16"/>
                <w:szCs w:val="16"/>
              </w:rPr>
              <w:t>urnover</w:t>
            </w:r>
          </w:p>
        </w:tc>
      </w:tr>
      <w:tr w:rsidR="00E477F8" w:rsidRPr="00E477F8" w:rsidTr="004A7F9C">
        <w:trPr>
          <w:trHeight w:val="260"/>
        </w:trPr>
        <w:tc>
          <w:tcPr>
            <w:tcW w:w="1197" w:type="dxa"/>
            <w:vAlign w:val="center"/>
          </w:tcPr>
          <w:p w:rsidR="00E477F8" w:rsidRPr="00E477F8" w:rsidRDefault="00E477F8" w:rsidP="00900F2C">
            <w:pPr>
              <w:rPr>
                <w:b/>
                <w:sz w:val="16"/>
                <w:szCs w:val="16"/>
              </w:rPr>
            </w:pPr>
          </w:p>
        </w:tc>
        <w:tc>
          <w:tcPr>
            <w:tcW w:w="0" w:type="auto"/>
            <w:gridSpan w:val="3"/>
            <w:vAlign w:val="center"/>
          </w:tcPr>
          <w:p w:rsidR="00E477F8" w:rsidRPr="00E477F8" w:rsidRDefault="00E477F8" w:rsidP="00900F2C">
            <w:pPr>
              <w:rPr>
                <w:b/>
                <w:sz w:val="16"/>
                <w:szCs w:val="16"/>
              </w:rPr>
            </w:pPr>
            <w:r w:rsidRPr="00E477F8">
              <w:rPr>
                <w:b/>
                <w:sz w:val="16"/>
                <w:szCs w:val="16"/>
              </w:rPr>
              <w:t>Ibandronate</w:t>
            </w:r>
          </w:p>
        </w:tc>
        <w:tc>
          <w:tcPr>
            <w:tcW w:w="0" w:type="auto"/>
            <w:gridSpan w:val="3"/>
            <w:vAlign w:val="center"/>
          </w:tcPr>
          <w:p w:rsidR="00E477F8" w:rsidRPr="00E477F8" w:rsidRDefault="00E477F8" w:rsidP="00900F2C">
            <w:pPr>
              <w:rPr>
                <w:b/>
                <w:sz w:val="16"/>
                <w:szCs w:val="16"/>
              </w:rPr>
            </w:pPr>
            <w:r w:rsidRPr="00E477F8">
              <w:rPr>
                <w:b/>
                <w:sz w:val="16"/>
                <w:szCs w:val="16"/>
              </w:rPr>
              <w:t>Alendronate</w:t>
            </w:r>
          </w:p>
        </w:tc>
        <w:tc>
          <w:tcPr>
            <w:tcW w:w="2606" w:type="dxa"/>
            <w:gridSpan w:val="3"/>
            <w:vAlign w:val="center"/>
          </w:tcPr>
          <w:p w:rsidR="00E477F8" w:rsidRPr="00E477F8" w:rsidRDefault="00E477F8" w:rsidP="00900F2C">
            <w:pPr>
              <w:rPr>
                <w:b/>
                <w:sz w:val="16"/>
                <w:szCs w:val="16"/>
              </w:rPr>
            </w:pPr>
            <w:r w:rsidRPr="00E477F8">
              <w:rPr>
                <w:b/>
                <w:sz w:val="16"/>
                <w:szCs w:val="16"/>
              </w:rPr>
              <w:t>Risedronate</w:t>
            </w:r>
          </w:p>
        </w:tc>
      </w:tr>
      <w:tr w:rsidR="00E477F8" w:rsidRPr="00E477F8" w:rsidTr="004A7F9C">
        <w:trPr>
          <w:trHeight w:val="260"/>
        </w:trPr>
        <w:tc>
          <w:tcPr>
            <w:tcW w:w="1197" w:type="dxa"/>
            <w:vAlign w:val="center"/>
          </w:tcPr>
          <w:p w:rsidR="00E477F8" w:rsidRPr="00E477F8" w:rsidRDefault="00E477F8" w:rsidP="00900F2C">
            <w:pPr>
              <w:rPr>
                <w:sz w:val="16"/>
                <w:szCs w:val="16"/>
              </w:rPr>
            </w:pP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0" w:type="auto"/>
            <w:vAlign w:val="center"/>
          </w:tcPr>
          <w:p w:rsidR="00E477F8" w:rsidRPr="00E477F8" w:rsidRDefault="00E477F8" w:rsidP="00900F2C">
            <w:pPr>
              <w:rPr>
                <w:sz w:val="16"/>
                <w:szCs w:val="16"/>
              </w:rPr>
            </w:pPr>
            <w:r w:rsidRPr="00E477F8">
              <w:rPr>
                <w:sz w:val="16"/>
                <w:szCs w:val="16"/>
              </w:rPr>
              <w:t>P-Value</w:t>
            </w: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0" w:type="auto"/>
            <w:vAlign w:val="center"/>
          </w:tcPr>
          <w:p w:rsidR="00E477F8" w:rsidRPr="00E477F8" w:rsidRDefault="00E477F8" w:rsidP="00900F2C">
            <w:pPr>
              <w:rPr>
                <w:sz w:val="16"/>
                <w:szCs w:val="16"/>
              </w:rPr>
            </w:pPr>
            <w:r w:rsidRPr="00E477F8">
              <w:rPr>
                <w:sz w:val="16"/>
                <w:szCs w:val="16"/>
              </w:rPr>
              <w:t>P-Value</w:t>
            </w:r>
          </w:p>
        </w:tc>
        <w:tc>
          <w:tcPr>
            <w:tcW w:w="0" w:type="auto"/>
            <w:vAlign w:val="center"/>
          </w:tcPr>
          <w:p w:rsidR="00E477F8" w:rsidRPr="00E477F8" w:rsidRDefault="00E477F8" w:rsidP="00900F2C">
            <w:pPr>
              <w:rPr>
                <w:sz w:val="16"/>
                <w:szCs w:val="16"/>
              </w:rPr>
            </w:pPr>
            <w:r w:rsidRPr="00E477F8">
              <w:rPr>
                <w:sz w:val="16"/>
                <w:szCs w:val="16"/>
              </w:rPr>
              <w:t>Mean</w:t>
            </w:r>
          </w:p>
        </w:tc>
        <w:tc>
          <w:tcPr>
            <w:tcW w:w="0" w:type="auto"/>
            <w:vAlign w:val="center"/>
          </w:tcPr>
          <w:p w:rsidR="00E477F8" w:rsidRPr="00E477F8" w:rsidRDefault="00E477F8" w:rsidP="00900F2C">
            <w:pPr>
              <w:rPr>
                <w:sz w:val="16"/>
                <w:szCs w:val="16"/>
              </w:rPr>
            </w:pPr>
            <w:r w:rsidRPr="00E477F8">
              <w:rPr>
                <w:sz w:val="16"/>
                <w:szCs w:val="16"/>
              </w:rPr>
              <w:t>95% CI</w:t>
            </w:r>
          </w:p>
        </w:tc>
        <w:tc>
          <w:tcPr>
            <w:tcW w:w="758" w:type="dxa"/>
            <w:vAlign w:val="center"/>
          </w:tcPr>
          <w:p w:rsidR="00E477F8" w:rsidRPr="00E477F8" w:rsidRDefault="00E477F8" w:rsidP="00900F2C">
            <w:pPr>
              <w:rPr>
                <w:sz w:val="16"/>
                <w:szCs w:val="16"/>
              </w:rPr>
            </w:pPr>
            <w:r w:rsidRPr="00E477F8">
              <w:rPr>
                <w:sz w:val="16"/>
                <w:szCs w:val="16"/>
              </w:rPr>
              <w:t>P-Value</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Baseline 2</w:t>
            </w:r>
          </w:p>
        </w:tc>
        <w:tc>
          <w:tcPr>
            <w:tcW w:w="0" w:type="auto"/>
            <w:vAlign w:val="center"/>
          </w:tcPr>
          <w:p w:rsidR="00E477F8" w:rsidRPr="00E477F8" w:rsidRDefault="00E477F8" w:rsidP="00900F2C">
            <w:pPr>
              <w:rPr>
                <w:sz w:val="16"/>
                <w:szCs w:val="16"/>
              </w:rPr>
            </w:pPr>
            <w:r w:rsidRPr="00E477F8">
              <w:rPr>
                <w:sz w:val="16"/>
                <w:szCs w:val="16"/>
              </w:rPr>
              <w:t>-0.171</w:t>
            </w:r>
          </w:p>
        </w:tc>
        <w:tc>
          <w:tcPr>
            <w:tcW w:w="0" w:type="auto"/>
            <w:vAlign w:val="center"/>
          </w:tcPr>
          <w:p w:rsidR="00E477F8" w:rsidRPr="00E477F8" w:rsidRDefault="00E477F8" w:rsidP="00900F2C">
            <w:pPr>
              <w:rPr>
                <w:sz w:val="16"/>
                <w:szCs w:val="16"/>
              </w:rPr>
            </w:pPr>
            <w:r w:rsidRPr="00E477F8">
              <w:rPr>
                <w:sz w:val="16"/>
                <w:szCs w:val="16"/>
              </w:rPr>
              <w:t>(-0.531, 0.189)</w:t>
            </w:r>
          </w:p>
        </w:tc>
        <w:tc>
          <w:tcPr>
            <w:tcW w:w="0" w:type="auto"/>
            <w:vAlign w:val="center"/>
          </w:tcPr>
          <w:p w:rsidR="00E477F8" w:rsidRPr="00E477F8" w:rsidRDefault="00E477F8" w:rsidP="00900F2C">
            <w:pPr>
              <w:rPr>
                <w:sz w:val="16"/>
                <w:szCs w:val="16"/>
              </w:rPr>
            </w:pPr>
            <w:r w:rsidRPr="00E477F8">
              <w:rPr>
                <w:sz w:val="16"/>
                <w:szCs w:val="16"/>
              </w:rPr>
              <w:t>0.348</w:t>
            </w:r>
          </w:p>
        </w:tc>
        <w:tc>
          <w:tcPr>
            <w:tcW w:w="0" w:type="auto"/>
            <w:vAlign w:val="center"/>
          </w:tcPr>
          <w:p w:rsidR="00E477F8" w:rsidRPr="00E477F8" w:rsidRDefault="00E477F8" w:rsidP="00900F2C">
            <w:pPr>
              <w:rPr>
                <w:sz w:val="16"/>
                <w:szCs w:val="16"/>
              </w:rPr>
            </w:pPr>
            <w:r w:rsidRPr="00E477F8">
              <w:rPr>
                <w:sz w:val="16"/>
                <w:szCs w:val="16"/>
              </w:rPr>
              <w:t>-0.198</w:t>
            </w:r>
          </w:p>
        </w:tc>
        <w:tc>
          <w:tcPr>
            <w:tcW w:w="0" w:type="auto"/>
            <w:vAlign w:val="center"/>
          </w:tcPr>
          <w:p w:rsidR="00E477F8" w:rsidRPr="00E477F8" w:rsidRDefault="00E477F8" w:rsidP="00900F2C">
            <w:pPr>
              <w:rPr>
                <w:sz w:val="16"/>
                <w:szCs w:val="16"/>
              </w:rPr>
            </w:pPr>
            <w:r w:rsidRPr="00E477F8">
              <w:rPr>
                <w:sz w:val="16"/>
                <w:szCs w:val="16"/>
              </w:rPr>
              <w:t>(-0.547, 0.152)</w:t>
            </w:r>
          </w:p>
        </w:tc>
        <w:tc>
          <w:tcPr>
            <w:tcW w:w="0" w:type="auto"/>
            <w:vAlign w:val="center"/>
          </w:tcPr>
          <w:p w:rsidR="00E477F8" w:rsidRPr="00E477F8" w:rsidRDefault="00E477F8" w:rsidP="00900F2C">
            <w:pPr>
              <w:rPr>
                <w:sz w:val="16"/>
                <w:szCs w:val="16"/>
              </w:rPr>
            </w:pPr>
            <w:r w:rsidRPr="00E477F8">
              <w:rPr>
                <w:sz w:val="16"/>
                <w:szCs w:val="16"/>
              </w:rPr>
              <w:t>0.265</w:t>
            </w:r>
          </w:p>
        </w:tc>
        <w:tc>
          <w:tcPr>
            <w:tcW w:w="0" w:type="auto"/>
            <w:vAlign w:val="center"/>
          </w:tcPr>
          <w:p w:rsidR="00E477F8" w:rsidRPr="00E477F8" w:rsidRDefault="00E477F8" w:rsidP="00900F2C">
            <w:pPr>
              <w:rPr>
                <w:sz w:val="16"/>
                <w:szCs w:val="16"/>
              </w:rPr>
            </w:pPr>
            <w:r w:rsidRPr="00E477F8">
              <w:rPr>
                <w:sz w:val="16"/>
                <w:szCs w:val="16"/>
              </w:rPr>
              <w:t>-0.312</w:t>
            </w:r>
          </w:p>
        </w:tc>
        <w:tc>
          <w:tcPr>
            <w:tcW w:w="0" w:type="auto"/>
            <w:vAlign w:val="center"/>
          </w:tcPr>
          <w:p w:rsidR="00E477F8" w:rsidRPr="00E477F8" w:rsidRDefault="00E477F8" w:rsidP="00900F2C">
            <w:pPr>
              <w:rPr>
                <w:sz w:val="16"/>
                <w:szCs w:val="16"/>
              </w:rPr>
            </w:pPr>
            <w:r w:rsidRPr="00E477F8">
              <w:rPr>
                <w:sz w:val="16"/>
                <w:szCs w:val="16"/>
              </w:rPr>
              <w:t>(-0.618, -0.007)</w:t>
            </w:r>
          </w:p>
        </w:tc>
        <w:tc>
          <w:tcPr>
            <w:tcW w:w="758" w:type="dxa"/>
            <w:vAlign w:val="center"/>
          </w:tcPr>
          <w:p w:rsidR="00E477F8" w:rsidRPr="00E477F8" w:rsidRDefault="00E477F8" w:rsidP="00900F2C">
            <w:pPr>
              <w:rPr>
                <w:sz w:val="16"/>
                <w:szCs w:val="16"/>
              </w:rPr>
            </w:pPr>
            <w:r w:rsidRPr="00E477F8">
              <w:rPr>
                <w:sz w:val="16"/>
                <w:szCs w:val="16"/>
              </w:rPr>
              <w:t>0.045</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1</w:t>
            </w:r>
          </w:p>
        </w:tc>
        <w:tc>
          <w:tcPr>
            <w:tcW w:w="0" w:type="auto"/>
            <w:vAlign w:val="center"/>
          </w:tcPr>
          <w:p w:rsidR="00E477F8" w:rsidRPr="00E477F8" w:rsidRDefault="00E477F8" w:rsidP="00900F2C">
            <w:pPr>
              <w:rPr>
                <w:sz w:val="16"/>
                <w:szCs w:val="16"/>
              </w:rPr>
            </w:pPr>
            <w:r w:rsidRPr="00E477F8">
              <w:rPr>
                <w:sz w:val="16"/>
                <w:szCs w:val="16"/>
              </w:rPr>
              <w:t>-2.193</w:t>
            </w:r>
          </w:p>
        </w:tc>
        <w:tc>
          <w:tcPr>
            <w:tcW w:w="0" w:type="auto"/>
            <w:vAlign w:val="center"/>
          </w:tcPr>
          <w:p w:rsidR="00E477F8" w:rsidRPr="00E477F8" w:rsidRDefault="00E477F8" w:rsidP="00900F2C">
            <w:pPr>
              <w:rPr>
                <w:sz w:val="16"/>
                <w:szCs w:val="16"/>
              </w:rPr>
            </w:pPr>
            <w:r w:rsidRPr="00E477F8">
              <w:rPr>
                <w:sz w:val="16"/>
                <w:szCs w:val="16"/>
              </w:rPr>
              <w:t>(-2.583, -1.804)</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-0.805</w:t>
            </w:r>
          </w:p>
        </w:tc>
        <w:tc>
          <w:tcPr>
            <w:tcW w:w="0" w:type="auto"/>
            <w:vAlign w:val="center"/>
          </w:tcPr>
          <w:p w:rsidR="00E477F8" w:rsidRPr="00E477F8" w:rsidRDefault="00E477F8" w:rsidP="00900F2C">
            <w:pPr>
              <w:rPr>
                <w:sz w:val="16"/>
                <w:szCs w:val="16"/>
              </w:rPr>
            </w:pPr>
            <w:r w:rsidRPr="00E477F8">
              <w:rPr>
                <w:sz w:val="16"/>
                <w:szCs w:val="16"/>
              </w:rPr>
              <w:t>(-1.164, -0.446)</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-0.637</w:t>
            </w:r>
          </w:p>
        </w:tc>
        <w:tc>
          <w:tcPr>
            <w:tcW w:w="0" w:type="auto"/>
            <w:vAlign w:val="center"/>
          </w:tcPr>
          <w:p w:rsidR="00E477F8" w:rsidRPr="00E477F8" w:rsidRDefault="00E477F8" w:rsidP="00900F2C">
            <w:pPr>
              <w:rPr>
                <w:sz w:val="16"/>
                <w:szCs w:val="16"/>
              </w:rPr>
            </w:pPr>
            <w:r w:rsidRPr="00E477F8">
              <w:rPr>
                <w:sz w:val="16"/>
                <w:szCs w:val="16"/>
              </w:rPr>
              <w:t>(-0.979, -0.296)</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2</w:t>
            </w:r>
          </w:p>
        </w:tc>
        <w:tc>
          <w:tcPr>
            <w:tcW w:w="0" w:type="auto"/>
            <w:vAlign w:val="center"/>
          </w:tcPr>
          <w:p w:rsidR="00E477F8" w:rsidRPr="00E477F8" w:rsidRDefault="00E477F8" w:rsidP="00900F2C">
            <w:pPr>
              <w:rPr>
                <w:sz w:val="16"/>
                <w:szCs w:val="16"/>
              </w:rPr>
            </w:pPr>
            <w:r w:rsidRPr="00E477F8">
              <w:rPr>
                <w:sz w:val="16"/>
                <w:szCs w:val="16"/>
              </w:rPr>
              <w:t>-1.907</w:t>
            </w:r>
          </w:p>
        </w:tc>
        <w:tc>
          <w:tcPr>
            <w:tcW w:w="0" w:type="auto"/>
            <w:vAlign w:val="center"/>
          </w:tcPr>
          <w:p w:rsidR="00E477F8" w:rsidRPr="00E477F8" w:rsidRDefault="00E477F8" w:rsidP="00900F2C">
            <w:pPr>
              <w:rPr>
                <w:sz w:val="16"/>
                <w:szCs w:val="16"/>
              </w:rPr>
            </w:pPr>
            <w:r w:rsidRPr="00E477F8">
              <w:rPr>
                <w:sz w:val="16"/>
                <w:szCs w:val="16"/>
              </w:rPr>
              <w:t>(-2.306, -1.508)</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-1.208</w:t>
            </w:r>
          </w:p>
        </w:tc>
        <w:tc>
          <w:tcPr>
            <w:tcW w:w="0" w:type="auto"/>
            <w:vAlign w:val="center"/>
          </w:tcPr>
          <w:p w:rsidR="00E477F8" w:rsidRPr="00E477F8" w:rsidRDefault="00E477F8" w:rsidP="00900F2C">
            <w:pPr>
              <w:rPr>
                <w:sz w:val="16"/>
                <w:szCs w:val="16"/>
              </w:rPr>
            </w:pPr>
            <w:r w:rsidRPr="00E477F8">
              <w:rPr>
                <w:sz w:val="16"/>
                <w:szCs w:val="16"/>
              </w:rPr>
              <w:t>(-1.573, -0.842)</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-1.090</w:t>
            </w:r>
          </w:p>
        </w:tc>
        <w:tc>
          <w:tcPr>
            <w:tcW w:w="0" w:type="auto"/>
            <w:vAlign w:val="center"/>
          </w:tcPr>
          <w:p w:rsidR="00E477F8" w:rsidRPr="00E477F8" w:rsidRDefault="00E477F8" w:rsidP="00900F2C">
            <w:pPr>
              <w:rPr>
                <w:sz w:val="16"/>
                <w:szCs w:val="16"/>
              </w:rPr>
            </w:pPr>
            <w:r w:rsidRPr="00E477F8">
              <w:rPr>
                <w:sz w:val="16"/>
                <w:szCs w:val="16"/>
              </w:rPr>
              <w:t>(-1.449, -0.731)</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4</w:t>
            </w:r>
          </w:p>
        </w:tc>
        <w:tc>
          <w:tcPr>
            <w:tcW w:w="0" w:type="auto"/>
            <w:vAlign w:val="center"/>
          </w:tcPr>
          <w:p w:rsidR="00E477F8" w:rsidRPr="00E477F8" w:rsidRDefault="00E477F8" w:rsidP="00900F2C">
            <w:pPr>
              <w:rPr>
                <w:sz w:val="16"/>
                <w:szCs w:val="16"/>
              </w:rPr>
            </w:pPr>
            <w:r w:rsidRPr="00E477F8">
              <w:rPr>
                <w:sz w:val="16"/>
                <w:szCs w:val="16"/>
              </w:rPr>
              <w:t>-1.681</w:t>
            </w:r>
          </w:p>
        </w:tc>
        <w:tc>
          <w:tcPr>
            <w:tcW w:w="0" w:type="auto"/>
            <w:vAlign w:val="center"/>
          </w:tcPr>
          <w:p w:rsidR="00E477F8" w:rsidRPr="00E477F8" w:rsidRDefault="00E477F8" w:rsidP="00900F2C">
            <w:pPr>
              <w:rPr>
                <w:sz w:val="16"/>
                <w:szCs w:val="16"/>
              </w:rPr>
            </w:pPr>
            <w:r w:rsidRPr="00E477F8">
              <w:rPr>
                <w:sz w:val="16"/>
                <w:szCs w:val="16"/>
              </w:rPr>
              <w:t>(-2.074, -1.288)</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-1.642</w:t>
            </w:r>
          </w:p>
        </w:tc>
        <w:tc>
          <w:tcPr>
            <w:tcW w:w="0" w:type="auto"/>
            <w:vAlign w:val="center"/>
          </w:tcPr>
          <w:p w:rsidR="00E477F8" w:rsidRPr="00E477F8" w:rsidRDefault="00E477F8" w:rsidP="00900F2C">
            <w:pPr>
              <w:rPr>
                <w:sz w:val="16"/>
                <w:szCs w:val="16"/>
              </w:rPr>
            </w:pPr>
            <w:r w:rsidRPr="00E477F8">
              <w:rPr>
                <w:sz w:val="16"/>
                <w:szCs w:val="16"/>
              </w:rPr>
              <w:t>(-2.010, -1.275)</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-1.332</w:t>
            </w:r>
          </w:p>
        </w:tc>
        <w:tc>
          <w:tcPr>
            <w:tcW w:w="0" w:type="auto"/>
            <w:vAlign w:val="center"/>
          </w:tcPr>
          <w:p w:rsidR="00E477F8" w:rsidRPr="00E477F8" w:rsidRDefault="00E477F8" w:rsidP="00900F2C">
            <w:pPr>
              <w:rPr>
                <w:sz w:val="16"/>
                <w:szCs w:val="16"/>
              </w:rPr>
            </w:pPr>
            <w:r w:rsidRPr="00E477F8">
              <w:rPr>
                <w:sz w:val="16"/>
                <w:szCs w:val="16"/>
              </w:rPr>
              <w:t>(-1.688, -0.977)</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12</w:t>
            </w:r>
          </w:p>
        </w:tc>
        <w:tc>
          <w:tcPr>
            <w:tcW w:w="0" w:type="auto"/>
            <w:vAlign w:val="center"/>
          </w:tcPr>
          <w:p w:rsidR="00E477F8" w:rsidRPr="00E477F8" w:rsidRDefault="00E477F8" w:rsidP="00900F2C">
            <w:pPr>
              <w:rPr>
                <w:sz w:val="16"/>
                <w:szCs w:val="16"/>
              </w:rPr>
            </w:pPr>
            <w:r w:rsidRPr="00E477F8">
              <w:rPr>
                <w:sz w:val="16"/>
                <w:szCs w:val="16"/>
              </w:rPr>
              <w:t>-3.108</w:t>
            </w:r>
          </w:p>
        </w:tc>
        <w:tc>
          <w:tcPr>
            <w:tcW w:w="0" w:type="auto"/>
            <w:vAlign w:val="center"/>
          </w:tcPr>
          <w:p w:rsidR="00E477F8" w:rsidRPr="00E477F8" w:rsidRDefault="00E477F8" w:rsidP="00900F2C">
            <w:pPr>
              <w:rPr>
                <w:sz w:val="16"/>
                <w:szCs w:val="16"/>
              </w:rPr>
            </w:pPr>
            <w:r w:rsidRPr="00E477F8">
              <w:rPr>
                <w:sz w:val="16"/>
                <w:szCs w:val="16"/>
              </w:rPr>
              <w:t>(-3.535, -2.681)</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-3.221</w:t>
            </w:r>
          </w:p>
        </w:tc>
        <w:tc>
          <w:tcPr>
            <w:tcW w:w="0" w:type="auto"/>
            <w:vAlign w:val="center"/>
          </w:tcPr>
          <w:p w:rsidR="00E477F8" w:rsidRPr="00E477F8" w:rsidRDefault="00E477F8" w:rsidP="00900F2C">
            <w:pPr>
              <w:rPr>
                <w:sz w:val="16"/>
                <w:szCs w:val="16"/>
              </w:rPr>
            </w:pPr>
            <w:r w:rsidRPr="00E477F8">
              <w:rPr>
                <w:sz w:val="16"/>
                <w:szCs w:val="16"/>
              </w:rPr>
              <w:t>(-3,649, -2.793)</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-2.507</w:t>
            </w:r>
          </w:p>
        </w:tc>
        <w:tc>
          <w:tcPr>
            <w:tcW w:w="0" w:type="auto"/>
            <w:vAlign w:val="center"/>
          </w:tcPr>
          <w:p w:rsidR="00E477F8" w:rsidRPr="00E477F8" w:rsidRDefault="00E477F8" w:rsidP="00900F2C">
            <w:pPr>
              <w:rPr>
                <w:sz w:val="16"/>
                <w:szCs w:val="16"/>
              </w:rPr>
            </w:pPr>
            <w:r w:rsidRPr="00E477F8">
              <w:rPr>
                <w:sz w:val="16"/>
                <w:szCs w:val="16"/>
              </w:rPr>
              <w:t>(-2.922, -2.092)</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48</w:t>
            </w:r>
          </w:p>
        </w:tc>
        <w:tc>
          <w:tcPr>
            <w:tcW w:w="0" w:type="auto"/>
            <w:vAlign w:val="center"/>
          </w:tcPr>
          <w:p w:rsidR="00E477F8" w:rsidRPr="00E477F8" w:rsidRDefault="00E477F8" w:rsidP="00900F2C">
            <w:pPr>
              <w:rPr>
                <w:sz w:val="16"/>
                <w:szCs w:val="16"/>
              </w:rPr>
            </w:pPr>
            <w:r w:rsidRPr="00E477F8">
              <w:rPr>
                <w:sz w:val="16"/>
                <w:szCs w:val="16"/>
              </w:rPr>
              <w:t>-3.895</w:t>
            </w:r>
          </w:p>
        </w:tc>
        <w:tc>
          <w:tcPr>
            <w:tcW w:w="0" w:type="auto"/>
            <w:vAlign w:val="center"/>
          </w:tcPr>
          <w:p w:rsidR="00E477F8" w:rsidRPr="00E477F8" w:rsidRDefault="00E477F8" w:rsidP="00900F2C">
            <w:pPr>
              <w:rPr>
                <w:sz w:val="16"/>
                <w:szCs w:val="16"/>
              </w:rPr>
            </w:pPr>
            <w:r w:rsidRPr="00E477F8">
              <w:rPr>
                <w:sz w:val="16"/>
                <w:szCs w:val="16"/>
              </w:rPr>
              <w:t>(-4.318, -3.473)</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-3.784</w:t>
            </w:r>
          </w:p>
        </w:tc>
        <w:tc>
          <w:tcPr>
            <w:tcW w:w="0" w:type="auto"/>
            <w:vAlign w:val="center"/>
          </w:tcPr>
          <w:p w:rsidR="00E477F8" w:rsidRPr="00E477F8" w:rsidRDefault="00E477F8" w:rsidP="00900F2C">
            <w:pPr>
              <w:rPr>
                <w:sz w:val="16"/>
                <w:szCs w:val="16"/>
              </w:rPr>
            </w:pPr>
            <w:r w:rsidRPr="00E477F8">
              <w:rPr>
                <w:sz w:val="16"/>
                <w:szCs w:val="16"/>
              </w:rPr>
              <w:t>(-4.227, -3.340)</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-2.657</w:t>
            </w:r>
          </w:p>
        </w:tc>
        <w:tc>
          <w:tcPr>
            <w:tcW w:w="0" w:type="auto"/>
            <w:vAlign w:val="center"/>
          </w:tcPr>
          <w:p w:rsidR="00E477F8" w:rsidRPr="00E477F8" w:rsidRDefault="00E477F8" w:rsidP="00900F2C">
            <w:pPr>
              <w:rPr>
                <w:sz w:val="16"/>
                <w:szCs w:val="16"/>
              </w:rPr>
            </w:pPr>
            <w:r w:rsidRPr="00E477F8">
              <w:rPr>
                <w:sz w:val="16"/>
                <w:szCs w:val="16"/>
              </w:rPr>
              <w:t>(-3.144, -2.169)</w:t>
            </w:r>
          </w:p>
        </w:tc>
        <w:tc>
          <w:tcPr>
            <w:tcW w:w="758" w:type="dxa"/>
            <w:vAlign w:val="center"/>
          </w:tcPr>
          <w:p w:rsidR="00E477F8" w:rsidRPr="00E477F8" w:rsidRDefault="00E477F8" w:rsidP="00900F2C">
            <w:pPr>
              <w:rPr>
                <w:sz w:val="16"/>
                <w:szCs w:val="16"/>
              </w:rPr>
            </w:pPr>
            <w:r w:rsidRPr="00E477F8">
              <w:rPr>
                <w:sz w:val="16"/>
                <w:szCs w:val="16"/>
              </w:rPr>
              <w:t>&lt;0.001</w:t>
            </w:r>
          </w:p>
        </w:tc>
      </w:tr>
      <w:tr w:rsidR="00E477F8" w:rsidRPr="00E477F8" w:rsidTr="004A7F9C">
        <w:trPr>
          <w:trHeight w:val="260"/>
        </w:trPr>
        <w:tc>
          <w:tcPr>
            <w:tcW w:w="1197" w:type="dxa"/>
            <w:vAlign w:val="center"/>
          </w:tcPr>
          <w:p w:rsidR="00E477F8" w:rsidRPr="00E477F8" w:rsidRDefault="00E477F8" w:rsidP="00900F2C">
            <w:pPr>
              <w:rPr>
                <w:sz w:val="16"/>
                <w:szCs w:val="16"/>
              </w:rPr>
            </w:pPr>
            <w:r w:rsidRPr="00E477F8">
              <w:rPr>
                <w:sz w:val="16"/>
                <w:szCs w:val="16"/>
              </w:rPr>
              <w:t>Week 96</w:t>
            </w:r>
          </w:p>
        </w:tc>
        <w:tc>
          <w:tcPr>
            <w:tcW w:w="0" w:type="auto"/>
            <w:vAlign w:val="center"/>
          </w:tcPr>
          <w:p w:rsidR="00E477F8" w:rsidRPr="00E477F8" w:rsidRDefault="00E477F8" w:rsidP="00900F2C">
            <w:pPr>
              <w:rPr>
                <w:sz w:val="16"/>
                <w:szCs w:val="16"/>
              </w:rPr>
            </w:pPr>
            <w:r w:rsidRPr="00E477F8">
              <w:rPr>
                <w:sz w:val="16"/>
                <w:szCs w:val="16"/>
              </w:rPr>
              <w:t>-3.731</w:t>
            </w:r>
          </w:p>
        </w:tc>
        <w:tc>
          <w:tcPr>
            <w:tcW w:w="0" w:type="auto"/>
            <w:vAlign w:val="center"/>
          </w:tcPr>
          <w:p w:rsidR="00E477F8" w:rsidRPr="00E477F8" w:rsidRDefault="00E477F8" w:rsidP="00900F2C">
            <w:pPr>
              <w:rPr>
                <w:sz w:val="16"/>
                <w:szCs w:val="16"/>
              </w:rPr>
            </w:pPr>
            <w:r w:rsidRPr="00E477F8">
              <w:rPr>
                <w:sz w:val="16"/>
                <w:szCs w:val="16"/>
              </w:rPr>
              <w:t>(-4.189, -3.272)</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-3.877</w:t>
            </w:r>
          </w:p>
        </w:tc>
        <w:tc>
          <w:tcPr>
            <w:tcW w:w="0" w:type="auto"/>
            <w:vAlign w:val="center"/>
          </w:tcPr>
          <w:p w:rsidR="00E477F8" w:rsidRPr="00E477F8" w:rsidRDefault="00E477F8" w:rsidP="00900F2C">
            <w:pPr>
              <w:rPr>
                <w:sz w:val="16"/>
                <w:szCs w:val="16"/>
              </w:rPr>
            </w:pPr>
            <w:r w:rsidRPr="00E477F8">
              <w:rPr>
                <w:sz w:val="16"/>
                <w:szCs w:val="16"/>
              </w:rPr>
              <w:t>(-4.294, -3.459)</w:t>
            </w:r>
          </w:p>
        </w:tc>
        <w:tc>
          <w:tcPr>
            <w:tcW w:w="0" w:type="auto"/>
            <w:vAlign w:val="center"/>
          </w:tcPr>
          <w:p w:rsidR="00E477F8" w:rsidRPr="00E477F8" w:rsidRDefault="00E477F8" w:rsidP="00900F2C">
            <w:pPr>
              <w:rPr>
                <w:sz w:val="16"/>
                <w:szCs w:val="16"/>
              </w:rPr>
            </w:pPr>
            <w:r w:rsidRPr="00E477F8">
              <w:rPr>
                <w:sz w:val="16"/>
                <w:szCs w:val="16"/>
              </w:rPr>
              <w:t>&lt;0.001</w:t>
            </w:r>
          </w:p>
        </w:tc>
        <w:tc>
          <w:tcPr>
            <w:tcW w:w="0" w:type="auto"/>
            <w:vAlign w:val="center"/>
          </w:tcPr>
          <w:p w:rsidR="00E477F8" w:rsidRPr="00E477F8" w:rsidRDefault="00E477F8" w:rsidP="00900F2C">
            <w:pPr>
              <w:rPr>
                <w:sz w:val="16"/>
                <w:szCs w:val="16"/>
              </w:rPr>
            </w:pPr>
            <w:r w:rsidRPr="00E477F8">
              <w:rPr>
                <w:sz w:val="16"/>
                <w:szCs w:val="16"/>
              </w:rPr>
              <w:t>-2.493</w:t>
            </w:r>
          </w:p>
        </w:tc>
        <w:tc>
          <w:tcPr>
            <w:tcW w:w="0" w:type="auto"/>
            <w:vAlign w:val="center"/>
          </w:tcPr>
          <w:p w:rsidR="00E477F8" w:rsidRPr="00E477F8" w:rsidRDefault="00E477F8" w:rsidP="00900F2C">
            <w:pPr>
              <w:rPr>
                <w:sz w:val="16"/>
                <w:szCs w:val="16"/>
              </w:rPr>
            </w:pPr>
            <w:r w:rsidRPr="00E477F8">
              <w:rPr>
                <w:sz w:val="16"/>
                <w:szCs w:val="16"/>
              </w:rPr>
              <w:t>(-2.980, -2.006)</w:t>
            </w:r>
          </w:p>
        </w:tc>
        <w:tc>
          <w:tcPr>
            <w:tcW w:w="758" w:type="dxa"/>
            <w:vAlign w:val="center"/>
          </w:tcPr>
          <w:p w:rsidR="00E477F8" w:rsidRPr="00E477F8" w:rsidRDefault="00E477F8" w:rsidP="00900F2C">
            <w:pPr>
              <w:rPr>
                <w:sz w:val="16"/>
                <w:szCs w:val="16"/>
              </w:rPr>
            </w:pPr>
            <w:r w:rsidRPr="00E477F8">
              <w:rPr>
                <w:sz w:val="16"/>
                <w:szCs w:val="16"/>
              </w:rPr>
              <w:t>&lt;0.001</w:t>
            </w:r>
          </w:p>
        </w:tc>
      </w:tr>
    </w:tbl>
    <w:p w:rsidR="00E477F8" w:rsidRDefault="00E477F8" w:rsidP="00900F2C">
      <w:pPr>
        <w:rPr>
          <w:sz w:val="16"/>
          <w:szCs w:val="16"/>
        </w:rPr>
      </w:pPr>
    </w:p>
    <w:p w:rsidR="0023366A" w:rsidRPr="00010A6C" w:rsidRDefault="00D50483" w:rsidP="003E5C23">
      <w:pPr>
        <w:spacing w:line="360" w:lineRule="auto"/>
        <w:jc w:val="both"/>
        <w:rPr>
          <w:rFonts w:ascii="Arial" w:hAnsi="Arial" w:cs="Arial"/>
        </w:rPr>
      </w:pPr>
      <w:r w:rsidRPr="00010A6C">
        <w:rPr>
          <w:rFonts w:ascii="Arial" w:hAnsi="Arial" w:cs="Arial"/>
        </w:rPr>
        <w:lastRenderedPageBreak/>
        <w:t>The T</w:t>
      </w:r>
      <w:r w:rsidR="0023366A" w:rsidRPr="00010A6C">
        <w:rPr>
          <w:rFonts w:ascii="Arial" w:hAnsi="Arial" w:cs="Arial"/>
        </w:rPr>
        <w:t>-sco</w:t>
      </w:r>
      <w:r w:rsidR="001B0A53">
        <w:rPr>
          <w:rFonts w:ascii="Arial" w:hAnsi="Arial" w:cs="Arial"/>
        </w:rPr>
        <w:t>re bone marker plot in figure 64</w:t>
      </w:r>
      <w:r w:rsidR="0023366A" w:rsidRPr="00010A6C">
        <w:rPr>
          <w:rFonts w:ascii="Arial" w:hAnsi="Arial" w:cs="Arial"/>
        </w:rPr>
        <w:t xml:space="preserve"> shows how bone turnover and bone balance (in the same plot) changes over 96 weeks of treatment with ibandronate, alendronate and risedronate relative to healthy premenopausal women. Within 4 weeks of</w:t>
      </w:r>
      <w:r w:rsidR="0066097A" w:rsidRPr="00010A6C">
        <w:rPr>
          <w:rFonts w:ascii="Arial" w:hAnsi="Arial" w:cs="Arial"/>
        </w:rPr>
        <w:t xml:space="preserve"> treatment with ibandronate, alendronate and risedronate postmenopausal women are in a state of normal bone turnover and a positive </w:t>
      </w:r>
      <w:r w:rsidR="0023366A" w:rsidRPr="00010A6C">
        <w:rPr>
          <w:rFonts w:ascii="Arial" w:hAnsi="Arial" w:cs="Arial"/>
        </w:rPr>
        <w:t xml:space="preserve">bone balance </w:t>
      </w:r>
      <w:r w:rsidR="00220137" w:rsidRPr="00010A6C">
        <w:rPr>
          <w:rFonts w:ascii="Arial" w:hAnsi="Arial" w:cs="Arial"/>
        </w:rPr>
        <w:t>compared to baseline and premenopausal women (p&lt;0.001)</w:t>
      </w:r>
      <w:r w:rsidR="0000595F">
        <w:rPr>
          <w:rFonts w:ascii="Arial" w:hAnsi="Arial" w:cs="Arial"/>
        </w:rPr>
        <w:t xml:space="preserve">. </w:t>
      </w:r>
      <w:r w:rsidR="0066097A" w:rsidRPr="00010A6C">
        <w:rPr>
          <w:rFonts w:ascii="Arial" w:hAnsi="Arial" w:cs="Arial"/>
        </w:rPr>
        <w:t xml:space="preserve">During this time bone balance is more positive </w:t>
      </w:r>
      <w:r w:rsidR="000F1EE3" w:rsidRPr="00010A6C">
        <w:rPr>
          <w:rFonts w:ascii="Arial" w:hAnsi="Arial" w:cs="Arial"/>
        </w:rPr>
        <w:t>in women receiving ibandronate.</w:t>
      </w:r>
      <w:r w:rsidR="0023366A" w:rsidRPr="00010A6C">
        <w:rPr>
          <w:rFonts w:ascii="Arial" w:hAnsi="Arial" w:cs="Arial"/>
        </w:rPr>
        <w:t xml:space="preserve"> Afte</w:t>
      </w:r>
      <w:r w:rsidR="000F1EE3" w:rsidRPr="00010A6C">
        <w:rPr>
          <w:rFonts w:ascii="Arial" w:hAnsi="Arial" w:cs="Arial"/>
        </w:rPr>
        <w:t>r 96 weeks of treatment postmenopausal women receiving ibandronate and risedronate were in a state of low turnover</w:t>
      </w:r>
      <w:r w:rsidR="00390AFE" w:rsidRPr="00010A6C">
        <w:rPr>
          <w:rFonts w:ascii="Arial" w:hAnsi="Arial" w:cs="Arial"/>
        </w:rPr>
        <w:t xml:space="preserve"> compared to baseline and premenopausal women</w:t>
      </w:r>
      <w:r w:rsidR="00220137" w:rsidRPr="00010A6C">
        <w:rPr>
          <w:rFonts w:ascii="Arial" w:hAnsi="Arial" w:cs="Arial"/>
        </w:rPr>
        <w:t xml:space="preserve"> </w:t>
      </w:r>
      <w:r w:rsidR="00390AFE" w:rsidRPr="00010A6C">
        <w:rPr>
          <w:rFonts w:ascii="Arial" w:hAnsi="Arial" w:cs="Arial"/>
        </w:rPr>
        <w:t>(p&lt;0.001)</w:t>
      </w:r>
      <w:r w:rsidR="000F1EE3" w:rsidRPr="00010A6C">
        <w:rPr>
          <w:rFonts w:ascii="Arial" w:hAnsi="Arial" w:cs="Arial"/>
        </w:rPr>
        <w:t xml:space="preserve"> and normal bone balance. Postmenopausal women receiving alendronate were in a state of low bone turnover and a positive bone balance</w:t>
      </w:r>
      <w:r w:rsidR="0000595F">
        <w:rPr>
          <w:rFonts w:ascii="Arial" w:hAnsi="Arial" w:cs="Arial"/>
        </w:rPr>
        <w:t>.</w:t>
      </w:r>
    </w:p>
    <w:p w:rsidR="000F1EE3" w:rsidRPr="00010A6C" w:rsidRDefault="00220137" w:rsidP="003E5C23">
      <w:pPr>
        <w:spacing w:line="360" w:lineRule="auto"/>
        <w:jc w:val="both"/>
        <w:rPr>
          <w:rFonts w:ascii="Arial" w:hAnsi="Arial" w:cs="Arial"/>
        </w:rPr>
      </w:pPr>
      <w:r w:rsidRPr="00010A6C">
        <w:rPr>
          <w:rFonts w:ascii="Arial" w:hAnsi="Arial" w:cs="Arial"/>
          <w:bCs/>
        </w:rPr>
        <w:t>ANOVA was used to compare the bone turnover and bone balance between each treatment group after 96 weeks of treatment.</w:t>
      </w:r>
      <w:r w:rsidR="00C16A7F" w:rsidRPr="00010A6C">
        <w:rPr>
          <w:rFonts w:ascii="Arial" w:hAnsi="Arial" w:cs="Arial"/>
          <w:bCs/>
        </w:rPr>
        <w:t xml:space="preserve"> There was an overall significant difference in bone balance and bone turnover between the treatment groups, (p&lt;0.001). There was no significant difference in bone turnover between ibandronate and alendronate, (p&gt;0.05). There was a significant difference in bone turnover between ibandronate and ris</w:t>
      </w:r>
      <w:r w:rsidR="001B0A53">
        <w:rPr>
          <w:rFonts w:ascii="Arial" w:hAnsi="Arial" w:cs="Arial"/>
          <w:bCs/>
        </w:rPr>
        <w:t>edronate,</w:t>
      </w:r>
      <w:r w:rsidR="00C16A7F" w:rsidRPr="00010A6C">
        <w:rPr>
          <w:rFonts w:ascii="Arial" w:hAnsi="Arial" w:cs="Arial"/>
          <w:bCs/>
        </w:rPr>
        <w:t xml:space="preserve"> -1.296 SD units (p&lt;0.001</w:t>
      </w:r>
      <w:r w:rsidR="007046DA" w:rsidRPr="00010A6C">
        <w:rPr>
          <w:rFonts w:ascii="Arial" w:hAnsi="Arial" w:cs="Arial"/>
          <w:bCs/>
        </w:rPr>
        <w:t>) and alendronate and risedronate, -1.480 SD units (p&lt;0.001). There was a significant difference in bone balance between i</w:t>
      </w:r>
      <w:r w:rsidR="001B0A53">
        <w:rPr>
          <w:rFonts w:ascii="Arial" w:hAnsi="Arial" w:cs="Arial"/>
          <w:bCs/>
        </w:rPr>
        <w:t xml:space="preserve">bandronate and alendronate, </w:t>
      </w:r>
      <w:r w:rsidR="007046DA" w:rsidRPr="00010A6C">
        <w:rPr>
          <w:rFonts w:ascii="Arial" w:hAnsi="Arial" w:cs="Arial"/>
          <w:bCs/>
        </w:rPr>
        <w:t>-0.792 SD units, (p = 0.01) and a difference between alendronate and risedronate, 0.600 SD units but this was not statistically significant (p = 0.06). There was no difference between ibandronate and risedronate, (p&gt;0.05).</w:t>
      </w:r>
    </w:p>
    <w:p w:rsidR="00F1233F" w:rsidRPr="003179FC" w:rsidRDefault="003179FC" w:rsidP="00406169">
      <w:pPr>
        <w:keepNext/>
        <w:jc w:val="center"/>
      </w:pPr>
      <w:r>
        <w:rPr>
          <w:noProof/>
          <w:lang w:eastAsia="zh-CN"/>
        </w:rPr>
        <w:lastRenderedPageBreak/>
        <w:drawing>
          <wp:inline distT="0" distB="0" distL="0" distR="0" wp14:anchorId="48BCF79B" wp14:editId="1473DB70">
            <wp:extent cx="3848100" cy="3756919"/>
            <wp:effectExtent l="0" t="0" r="0" b="0"/>
            <wp:docPr id="18605" name="Picture 1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66891" cy="3775264"/>
                    </a:xfrm>
                    <a:prstGeom prst="rect">
                      <a:avLst/>
                    </a:prstGeom>
                    <a:noFill/>
                  </pic:spPr>
                </pic:pic>
              </a:graphicData>
            </a:graphic>
          </wp:inline>
        </w:drawing>
      </w:r>
    </w:p>
    <w:p w:rsidR="00031824" w:rsidRPr="00031824" w:rsidRDefault="005652D8" w:rsidP="003E5C23">
      <w:pPr>
        <w:pStyle w:val="Caption"/>
        <w:jc w:val="both"/>
        <w:rPr>
          <w:rFonts w:ascii="Arial" w:hAnsi="Arial" w:cs="Arial"/>
          <w:b w:val="0"/>
          <w:color w:val="auto"/>
        </w:rPr>
      </w:pPr>
      <w:bookmarkStart w:id="220" w:name="_Toc425419547"/>
      <w:r w:rsidRPr="005652D8">
        <w:rPr>
          <w:rFonts w:ascii="Arial" w:hAnsi="Arial" w:cs="Arial"/>
          <w:b w:val="0"/>
          <w:color w:val="000000" w:themeColor="text1"/>
        </w:rPr>
        <w:t xml:space="preserve">Figure </w:t>
      </w:r>
      <w:r w:rsidRPr="005652D8">
        <w:rPr>
          <w:rFonts w:ascii="Arial" w:hAnsi="Arial" w:cs="Arial"/>
          <w:b w:val="0"/>
          <w:color w:val="000000" w:themeColor="text1"/>
        </w:rPr>
        <w:fldChar w:fldCharType="begin"/>
      </w:r>
      <w:r w:rsidRPr="005652D8">
        <w:rPr>
          <w:rFonts w:ascii="Arial" w:hAnsi="Arial" w:cs="Arial"/>
          <w:b w:val="0"/>
          <w:color w:val="000000" w:themeColor="text1"/>
        </w:rPr>
        <w:instrText xml:space="preserve"> SEQ Figure \* ARABIC </w:instrText>
      </w:r>
      <w:r w:rsidRPr="005652D8">
        <w:rPr>
          <w:rFonts w:ascii="Arial" w:hAnsi="Arial" w:cs="Arial"/>
          <w:b w:val="0"/>
          <w:color w:val="000000" w:themeColor="text1"/>
        </w:rPr>
        <w:fldChar w:fldCharType="separate"/>
      </w:r>
      <w:r w:rsidR="0040369A">
        <w:rPr>
          <w:rFonts w:ascii="Arial" w:hAnsi="Arial" w:cs="Arial"/>
          <w:b w:val="0"/>
          <w:noProof/>
          <w:color w:val="000000" w:themeColor="text1"/>
        </w:rPr>
        <w:t>58</w:t>
      </w:r>
      <w:r w:rsidRPr="005652D8">
        <w:rPr>
          <w:rFonts w:ascii="Arial" w:hAnsi="Arial" w:cs="Arial"/>
          <w:b w:val="0"/>
          <w:color w:val="000000" w:themeColor="text1"/>
        </w:rPr>
        <w:fldChar w:fldCharType="end"/>
      </w:r>
      <w:r w:rsidR="00010A6C">
        <w:rPr>
          <w:rFonts w:ascii="Arial" w:hAnsi="Arial" w:cs="Arial"/>
          <w:b w:val="0"/>
          <w:color w:val="000000" w:themeColor="text1"/>
        </w:rPr>
        <w:t>: The T</w:t>
      </w:r>
      <w:r w:rsidRPr="005652D8">
        <w:rPr>
          <w:rFonts w:ascii="Arial" w:hAnsi="Arial" w:cs="Arial"/>
          <w:b w:val="0"/>
          <w:color w:val="000000" w:themeColor="text1"/>
        </w:rPr>
        <w:t xml:space="preserve">-score </w:t>
      </w:r>
      <w:r w:rsidRPr="002F2F81">
        <w:rPr>
          <w:rFonts w:ascii="Arial" w:hAnsi="Arial" w:cs="Arial"/>
          <w:b w:val="0"/>
          <w:color w:val="auto"/>
        </w:rPr>
        <w:t xml:space="preserve">bone marker plots for postmenopausal </w:t>
      </w:r>
      <w:r>
        <w:rPr>
          <w:rFonts w:ascii="Arial" w:hAnsi="Arial" w:cs="Arial"/>
          <w:b w:val="0"/>
          <w:color w:val="auto"/>
        </w:rPr>
        <w:t xml:space="preserve">women receiving Ibandronate (blue line), alendronate (black line) and risedronate (green line) through the 96 week study period. The circles represent the centre of the ellipses for visit starting from baseline 1. The red ellipse represents premenopausal women. </w:t>
      </w:r>
      <w:bookmarkEnd w:id="220"/>
    </w:p>
    <w:p w:rsidR="00031824" w:rsidRDefault="00031824" w:rsidP="003E5C23">
      <w:pPr>
        <w:pStyle w:val="Heading3"/>
        <w:jc w:val="both"/>
      </w:pPr>
      <w:bookmarkStart w:id="221" w:name="_Toc425418963"/>
      <w:r>
        <w:t>The effect of bisphosphonates on levels of circulating sclerostin</w:t>
      </w:r>
      <w:bookmarkEnd w:id="221"/>
    </w:p>
    <w:p w:rsidR="007B6B2D" w:rsidRPr="00010A6C" w:rsidRDefault="007B6B2D" w:rsidP="003E5C23">
      <w:pPr>
        <w:spacing w:line="360" w:lineRule="auto"/>
        <w:jc w:val="both"/>
        <w:rPr>
          <w:rFonts w:ascii="Arial" w:hAnsi="Arial" w:cs="Arial"/>
        </w:rPr>
      </w:pPr>
      <w:r w:rsidRPr="00010A6C">
        <w:rPr>
          <w:rFonts w:ascii="Arial" w:hAnsi="Arial" w:cs="Arial"/>
        </w:rPr>
        <w:t>The baseline characteristics for the postmenopausal women with osteoporosis receiving ibandronate, alendronate and risedronate and the premenopausal comparator groups are shown in table 11 chapter 5.</w:t>
      </w:r>
    </w:p>
    <w:p w:rsidR="007B6B2D" w:rsidRPr="00010A6C" w:rsidRDefault="003D1F00" w:rsidP="003E5C23">
      <w:pPr>
        <w:spacing w:line="360" w:lineRule="auto"/>
        <w:jc w:val="both"/>
        <w:rPr>
          <w:rFonts w:ascii="Arial" w:hAnsi="Arial" w:cs="Arial"/>
        </w:rPr>
      </w:pPr>
      <w:r w:rsidRPr="00010A6C">
        <w:rPr>
          <w:rFonts w:ascii="Arial" w:hAnsi="Arial" w:cs="Arial"/>
        </w:rPr>
        <w:t xml:space="preserve">The median </w:t>
      </w:r>
      <w:r w:rsidR="007B6B2D" w:rsidRPr="00010A6C">
        <w:rPr>
          <w:rFonts w:ascii="Arial" w:hAnsi="Arial" w:cs="Arial"/>
        </w:rPr>
        <w:t>levels of circulating sclerostin were significantly higher in postmenopausal women with osteoporosis prior to treatment compared to healthy premenopausal women, 0.49 ng/ml and 0.</w:t>
      </w:r>
      <w:r w:rsidR="004363EA" w:rsidRPr="00010A6C">
        <w:rPr>
          <w:rFonts w:ascii="Arial" w:hAnsi="Arial" w:cs="Arial"/>
        </w:rPr>
        <w:t>38 ng/ml respecti</w:t>
      </w:r>
      <w:r w:rsidR="00010A6C" w:rsidRPr="00010A6C">
        <w:rPr>
          <w:rFonts w:ascii="Arial" w:hAnsi="Arial" w:cs="Arial"/>
        </w:rPr>
        <w:t>vely (p&lt;0.</w:t>
      </w:r>
      <w:r w:rsidR="001B0A53">
        <w:rPr>
          <w:rFonts w:ascii="Arial" w:hAnsi="Arial" w:cs="Arial"/>
        </w:rPr>
        <w:t>001), (Figure 65</w:t>
      </w:r>
      <w:r w:rsidR="006876C7" w:rsidRPr="00010A6C">
        <w:rPr>
          <w:rFonts w:ascii="Arial" w:hAnsi="Arial" w:cs="Arial"/>
        </w:rPr>
        <w:t>).</w:t>
      </w:r>
    </w:p>
    <w:p w:rsidR="00052F1F" w:rsidRDefault="00052F1F" w:rsidP="00406169">
      <w:pPr>
        <w:keepNext/>
        <w:jc w:val="center"/>
      </w:pPr>
      <w:r>
        <w:object w:dxaOrig="7726" w:dyaOrig="4830">
          <v:shape id="_x0000_i1026" type="#_x0000_t75" style="width:386.3pt;height:241.5pt" o:ole="">
            <v:imagedata r:id="rId174" o:title=""/>
          </v:shape>
          <o:OLEObject Type="Embed" ProgID="Prism6.Document" ShapeID="_x0000_i1026" DrawAspect="Content" ObjectID="_1690277098" r:id="rId175"/>
        </w:object>
      </w:r>
    </w:p>
    <w:p w:rsidR="00052F1F" w:rsidRPr="003E5C23" w:rsidRDefault="00052F1F" w:rsidP="003E5C23">
      <w:pPr>
        <w:pStyle w:val="Caption"/>
        <w:jc w:val="both"/>
        <w:rPr>
          <w:rFonts w:ascii="Arial" w:hAnsi="Arial" w:cs="Arial"/>
          <w:b w:val="0"/>
          <w:color w:val="auto"/>
        </w:rPr>
      </w:pPr>
      <w:bookmarkStart w:id="222" w:name="_Toc425419548"/>
      <w:r w:rsidRPr="003E5C23">
        <w:rPr>
          <w:rFonts w:ascii="Arial" w:hAnsi="Arial" w:cs="Arial"/>
          <w:b w:val="0"/>
          <w:color w:val="auto"/>
        </w:rPr>
        <w:t xml:space="preserve">Figure </w:t>
      </w:r>
      <w:r w:rsidR="008B65E6" w:rsidRPr="003E5C23">
        <w:rPr>
          <w:rFonts w:ascii="Arial" w:hAnsi="Arial" w:cs="Arial"/>
          <w:b w:val="0"/>
          <w:color w:val="auto"/>
        </w:rPr>
        <w:fldChar w:fldCharType="begin"/>
      </w:r>
      <w:r w:rsidR="008B65E6" w:rsidRPr="003E5C23">
        <w:rPr>
          <w:rFonts w:ascii="Arial" w:hAnsi="Arial" w:cs="Arial"/>
          <w:b w:val="0"/>
          <w:color w:val="auto"/>
        </w:rPr>
        <w:instrText xml:space="preserve"> SEQ Figure \* ARABIC </w:instrText>
      </w:r>
      <w:r w:rsidR="008B65E6" w:rsidRPr="003E5C23">
        <w:rPr>
          <w:rFonts w:ascii="Arial" w:hAnsi="Arial" w:cs="Arial"/>
          <w:b w:val="0"/>
          <w:color w:val="auto"/>
        </w:rPr>
        <w:fldChar w:fldCharType="separate"/>
      </w:r>
      <w:r w:rsidR="0040369A">
        <w:rPr>
          <w:rFonts w:ascii="Arial" w:hAnsi="Arial" w:cs="Arial"/>
          <w:b w:val="0"/>
          <w:noProof/>
          <w:color w:val="auto"/>
        </w:rPr>
        <w:t>59</w:t>
      </w:r>
      <w:r w:rsidR="008B65E6" w:rsidRPr="003E5C23">
        <w:rPr>
          <w:rFonts w:ascii="Arial" w:hAnsi="Arial" w:cs="Arial"/>
          <w:b w:val="0"/>
          <w:noProof/>
          <w:color w:val="auto"/>
        </w:rPr>
        <w:fldChar w:fldCharType="end"/>
      </w:r>
      <w:r w:rsidR="003D1F00" w:rsidRPr="003E5C23">
        <w:rPr>
          <w:rFonts w:ascii="Arial" w:hAnsi="Arial" w:cs="Arial"/>
          <w:b w:val="0"/>
          <w:noProof/>
          <w:color w:val="auto"/>
        </w:rPr>
        <w:t>: Lev</w:t>
      </w:r>
      <w:r w:rsidR="00A847AF" w:rsidRPr="003E5C23">
        <w:rPr>
          <w:rFonts w:ascii="Arial" w:hAnsi="Arial" w:cs="Arial"/>
          <w:b w:val="0"/>
          <w:noProof/>
          <w:color w:val="auto"/>
        </w:rPr>
        <w:t>els of circulating sclerostin (showing the median and 95% CIs) in</w:t>
      </w:r>
      <w:r w:rsidR="003D1F00" w:rsidRPr="003E5C23">
        <w:rPr>
          <w:rFonts w:ascii="Arial" w:hAnsi="Arial" w:cs="Arial"/>
          <w:b w:val="0"/>
          <w:noProof/>
          <w:color w:val="auto"/>
        </w:rPr>
        <w:t xml:space="preserve"> postmenopausal women with osteoporosis and healthy premenopausal women.  </w:t>
      </w:r>
      <w:r w:rsidR="0011598E" w:rsidRPr="003E5C23">
        <w:rPr>
          <w:rFonts w:ascii="Arial" w:hAnsi="Arial" w:cs="Arial"/>
          <w:b w:val="0"/>
          <w:noProof/>
          <w:color w:val="auto"/>
        </w:rPr>
        <w:t xml:space="preserve">Significance between the medians was tested using the </w:t>
      </w:r>
      <w:r w:rsidR="003D1F00" w:rsidRPr="003E5C23">
        <w:rPr>
          <w:rFonts w:ascii="Arial" w:hAnsi="Arial" w:cs="Arial"/>
          <w:b w:val="0"/>
          <w:noProof/>
          <w:color w:val="auto"/>
        </w:rPr>
        <w:t>Wil</w:t>
      </w:r>
      <w:r w:rsidR="0011598E" w:rsidRPr="003E5C23">
        <w:rPr>
          <w:rFonts w:ascii="Arial" w:hAnsi="Arial" w:cs="Arial"/>
          <w:b w:val="0"/>
          <w:noProof/>
          <w:color w:val="auto"/>
        </w:rPr>
        <w:t>coxon signed ranked test.</w:t>
      </w:r>
      <w:bookmarkEnd w:id="222"/>
    </w:p>
    <w:p w:rsidR="003264AD" w:rsidRPr="00010A6C" w:rsidRDefault="003264AD" w:rsidP="003E5C23">
      <w:pPr>
        <w:spacing w:line="360" w:lineRule="auto"/>
        <w:jc w:val="both"/>
        <w:rPr>
          <w:rFonts w:ascii="Arial" w:hAnsi="Arial" w:cs="Arial"/>
        </w:rPr>
      </w:pPr>
      <w:r w:rsidRPr="00010A6C">
        <w:rPr>
          <w:rFonts w:ascii="Arial" w:hAnsi="Arial" w:cs="Arial"/>
        </w:rPr>
        <w:t>Mean serum sclerostin levels over 96 weeks of treatment with ibandronate, alendronate and risedron</w:t>
      </w:r>
      <w:r w:rsidR="00F50FEE" w:rsidRPr="00010A6C">
        <w:rPr>
          <w:rFonts w:ascii="Arial" w:hAnsi="Arial" w:cs="Arial"/>
        </w:rPr>
        <w:t>at</w:t>
      </w:r>
      <w:r w:rsidR="001B0A53">
        <w:rPr>
          <w:rFonts w:ascii="Arial" w:hAnsi="Arial" w:cs="Arial"/>
        </w:rPr>
        <w:t>e are shown in table 29</w:t>
      </w:r>
      <w:r w:rsidRPr="00010A6C">
        <w:rPr>
          <w:rFonts w:ascii="Arial" w:hAnsi="Arial" w:cs="Arial"/>
        </w:rPr>
        <w:t xml:space="preserve"> and </w:t>
      </w:r>
      <w:r w:rsidR="001B0A53">
        <w:rPr>
          <w:rFonts w:ascii="Arial" w:hAnsi="Arial" w:cs="Arial"/>
        </w:rPr>
        <w:t xml:space="preserve">the </w:t>
      </w:r>
      <w:r w:rsidRPr="00010A6C">
        <w:rPr>
          <w:rFonts w:ascii="Arial" w:hAnsi="Arial" w:cs="Arial"/>
        </w:rPr>
        <w:t>percentage c</w:t>
      </w:r>
      <w:r w:rsidR="00010A6C" w:rsidRPr="00010A6C">
        <w:rPr>
          <w:rFonts w:ascii="Arial" w:hAnsi="Arial" w:cs="Arial"/>
        </w:rPr>
        <w:t>hange from baseline in fig</w:t>
      </w:r>
      <w:r w:rsidR="001B0A53">
        <w:rPr>
          <w:rFonts w:ascii="Arial" w:hAnsi="Arial" w:cs="Arial"/>
        </w:rPr>
        <w:t>ure 66</w:t>
      </w:r>
      <w:r w:rsidRPr="00010A6C">
        <w:rPr>
          <w:rFonts w:ascii="Arial" w:hAnsi="Arial" w:cs="Arial"/>
        </w:rPr>
        <w:t>.</w:t>
      </w:r>
      <w:r w:rsidR="002B6F3C" w:rsidRPr="00010A6C">
        <w:rPr>
          <w:rFonts w:ascii="Arial" w:hAnsi="Arial" w:cs="Arial"/>
        </w:rPr>
        <w:t xml:space="preserve"> </w:t>
      </w:r>
      <w:r w:rsidR="00042305" w:rsidRPr="00010A6C">
        <w:rPr>
          <w:rFonts w:ascii="Arial" w:hAnsi="Arial" w:cs="Arial"/>
        </w:rPr>
        <w:t xml:space="preserve">There was no overall statistical significant difference from baseline, (P = 0.879). </w:t>
      </w:r>
      <w:r w:rsidR="002B6F3C" w:rsidRPr="00010A6C">
        <w:rPr>
          <w:rFonts w:ascii="Arial" w:hAnsi="Arial" w:cs="Arial"/>
        </w:rPr>
        <w:t xml:space="preserve">There was no significant change in </w:t>
      </w:r>
      <w:r w:rsidR="00EA0127" w:rsidRPr="00010A6C">
        <w:rPr>
          <w:rFonts w:ascii="Arial" w:hAnsi="Arial" w:cs="Arial"/>
        </w:rPr>
        <w:t xml:space="preserve">sclerostin levels </w:t>
      </w:r>
      <w:r w:rsidR="00042305" w:rsidRPr="00010A6C">
        <w:rPr>
          <w:rFonts w:ascii="Arial" w:hAnsi="Arial" w:cs="Arial"/>
        </w:rPr>
        <w:t xml:space="preserve">from baseline </w:t>
      </w:r>
      <w:r w:rsidR="00EA0127" w:rsidRPr="00010A6C">
        <w:rPr>
          <w:rFonts w:ascii="Arial" w:hAnsi="Arial" w:cs="Arial"/>
        </w:rPr>
        <w:t xml:space="preserve">with </w:t>
      </w:r>
      <w:r w:rsidR="00F50FEE" w:rsidRPr="00010A6C">
        <w:rPr>
          <w:rFonts w:ascii="Arial" w:hAnsi="Arial" w:cs="Arial"/>
        </w:rPr>
        <w:t>ibandronate, alendronate and risedronate</w:t>
      </w:r>
      <w:r w:rsidR="00EA0127" w:rsidRPr="00010A6C">
        <w:rPr>
          <w:rFonts w:ascii="Arial" w:hAnsi="Arial" w:cs="Arial"/>
        </w:rPr>
        <w:t>, (P&gt;0.05).</w:t>
      </w:r>
      <w:r w:rsidR="00042305" w:rsidRPr="00010A6C">
        <w:rPr>
          <w:rFonts w:ascii="Arial" w:hAnsi="Arial" w:cs="Arial"/>
        </w:rPr>
        <w:t xml:space="preserve"> There was no overall statistical significant difference between the bisphosphonates, (P = 0.061).</w:t>
      </w:r>
    </w:p>
    <w:p w:rsidR="003264AD" w:rsidRPr="00EA0127" w:rsidRDefault="003264AD" w:rsidP="003E5C23">
      <w:pPr>
        <w:pStyle w:val="Caption"/>
        <w:keepNext/>
        <w:jc w:val="both"/>
        <w:rPr>
          <w:rFonts w:ascii="Arial" w:hAnsi="Arial" w:cs="Arial"/>
          <w:b w:val="0"/>
          <w:color w:val="auto"/>
        </w:rPr>
      </w:pPr>
      <w:bookmarkStart w:id="223" w:name="_Toc424043703"/>
      <w:r w:rsidRPr="00EA0127">
        <w:rPr>
          <w:rFonts w:ascii="Arial" w:hAnsi="Arial" w:cs="Arial"/>
          <w:b w:val="0"/>
          <w:color w:val="auto"/>
        </w:rPr>
        <w:t xml:space="preserve">Table </w:t>
      </w:r>
      <w:r w:rsidRPr="00EA0127">
        <w:rPr>
          <w:rFonts w:ascii="Arial" w:hAnsi="Arial" w:cs="Arial"/>
          <w:b w:val="0"/>
          <w:color w:val="auto"/>
        </w:rPr>
        <w:fldChar w:fldCharType="begin"/>
      </w:r>
      <w:r w:rsidRPr="00EA0127">
        <w:rPr>
          <w:rFonts w:ascii="Arial" w:hAnsi="Arial" w:cs="Arial"/>
          <w:b w:val="0"/>
          <w:color w:val="auto"/>
        </w:rPr>
        <w:instrText xml:space="preserve"> SEQ Table \* ARABIC </w:instrText>
      </w:r>
      <w:r w:rsidRPr="00EA0127">
        <w:rPr>
          <w:rFonts w:ascii="Arial" w:hAnsi="Arial" w:cs="Arial"/>
          <w:b w:val="0"/>
          <w:color w:val="auto"/>
        </w:rPr>
        <w:fldChar w:fldCharType="separate"/>
      </w:r>
      <w:r w:rsidR="00DD116A">
        <w:rPr>
          <w:rFonts w:ascii="Arial" w:hAnsi="Arial" w:cs="Arial"/>
          <w:b w:val="0"/>
          <w:noProof/>
          <w:color w:val="auto"/>
        </w:rPr>
        <w:t>29</w:t>
      </w:r>
      <w:r w:rsidRPr="00EA0127">
        <w:rPr>
          <w:rFonts w:ascii="Arial" w:hAnsi="Arial" w:cs="Arial"/>
          <w:b w:val="0"/>
          <w:color w:val="auto"/>
        </w:rPr>
        <w:fldChar w:fldCharType="end"/>
      </w:r>
      <w:r w:rsidR="00EA0127" w:rsidRPr="00EA0127">
        <w:rPr>
          <w:rFonts w:ascii="Arial" w:hAnsi="Arial" w:cs="Arial"/>
          <w:b w:val="0"/>
          <w:color w:val="auto"/>
        </w:rPr>
        <w:t>: The mean (standard deviation) of circulating serum sclerostin in postmenopausal women receiving either ibandronate, alendronate or risedronate over 96 weeks of treatment.</w:t>
      </w:r>
      <w:bookmarkEnd w:id="223"/>
    </w:p>
    <w:tbl>
      <w:tblPr>
        <w:tblStyle w:val="TableGrid"/>
        <w:tblW w:w="10114" w:type="dxa"/>
        <w:jc w:val="center"/>
        <w:tblLook w:val="04A0" w:firstRow="1" w:lastRow="0" w:firstColumn="1" w:lastColumn="0" w:noHBand="0" w:noVBand="1"/>
      </w:tblPr>
      <w:tblGrid>
        <w:gridCol w:w="1876"/>
        <w:gridCol w:w="1373"/>
        <w:gridCol w:w="1373"/>
        <w:gridCol w:w="1373"/>
        <w:gridCol w:w="1373"/>
        <w:gridCol w:w="1373"/>
        <w:gridCol w:w="1373"/>
      </w:tblGrid>
      <w:tr w:rsidR="003264AD" w:rsidRPr="00926F43" w:rsidTr="00EA0127">
        <w:trPr>
          <w:trHeight w:val="108"/>
          <w:jc w:val="center"/>
        </w:trPr>
        <w:tc>
          <w:tcPr>
            <w:tcW w:w="1876" w:type="dxa"/>
            <w:vAlign w:val="center"/>
          </w:tcPr>
          <w:p w:rsidR="003264AD" w:rsidRPr="00926F43" w:rsidRDefault="003264AD" w:rsidP="00900F2C">
            <w:pPr>
              <w:rPr>
                <w:rFonts w:ascii="Arial" w:hAnsi="Arial" w:cs="Arial"/>
                <w:sz w:val="16"/>
                <w:szCs w:val="16"/>
              </w:rPr>
            </w:pPr>
            <w:r>
              <w:rPr>
                <w:rFonts w:ascii="Arial" w:hAnsi="Arial" w:cs="Arial"/>
                <w:sz w:val="16"/>
                <w:szCs w:val="16"/>
              </w:rPr>
              <w:t>Bisphosphonate</w:t>
            </w:r>
          </w:p>
        </w:tc>
        <w:tc>
          <w:tcPr>
            <w:tcW w:w="1373" w:type="dxa"/>
            <w:vAlign w:val="center"/>
          </w:tcPr>
          <w:p w:rsidR="003264AD" w:rsidRPr="00926F43" w:rsidRDefault="003264AD" w:rsidP="00900F2C">
            <w:pPr>
              <w:rPr>
                <w:rFonts w:ascii="Arial" w:hAnsi="Arial" w:cs="Arial"/>
                <w:sz w:val="16"/>
                <w:szCs w:val="16"/>
              </w:rPr>
            </w:pPr>
            <w:r>
              <w:rPr>
                <w:rFonts w:ascii="Arial" w:hAnsi="Arial" w:cs="Arial"/>
                <w:sz w:val="16"/>
                <w:szCs w:val="16"/>
              </w:rPr>
              <w:t>Baseline</w:t>
            </w:r>
          </w:p>
        </w:tc>
        <w:tc>
          <w:tcPr>
            <w:tcW w:w="1373" w:type="dxa"/>
            <w:vAlign w:val="center"/>
          </w:tcPr>
          <w:p w:rsidR="003264AD" w:rsidRPr="00926F43" w:rsidRDefault="003264AD" w:rsidP="00900F2C">
            <w:pPr>
              <w:rPr>
                <w:rFonts w:ascii="Arial" w:hAnsi="Arial" w:cs="Arial"/>
                <w:sz w:val="16"/>
                <w:szCs w:val="16"/>
              </w:rPr>
            </w:pPr>
            <w:r w:rsidRPr="00926F43">
              <w:rPr>
                <w:rFonts w:ascii="Arial" w:hAnsi="Arial" w:cs="Arial"/>
                <w:sz w:val="16"/>
                <w:szCs w:val="16"/>
              </w:rPr>
              <w:t>Week 1</w:t>
            </w:r>
          </w:p>
        </w:tc>
        <w:tc>
          <w:tcPr>
            <w:tcW w:w="1373" w:type="dxa"/>
            <w:vAlign w:val="center"/>
          </w:tcPr>
          <w:p w:rsidR="003264AD" w:rsidRPr="00926F43" w:rsidRDefault="003264AD" w:rsidP="00900F2C">
            <w:pPr>
              <w:rPr>
                <w:rFonts w:ascii="Arial" w:hAnsi="Arial" w:cs="Arial"/>
                <w:sz w:val="16"/>
                <w:szCs w:val="16"/>
              </w:rPr>
            </w:pPr>
            <w:r>
              <w:rPr>
                <w:rFonts w:ascii="Arial" w:hAnsi="Arial" w:cs="Arial"/>
                <w:sz w:val="16"/>
                <w:szCs w:val="16"/>
              </w:rPr>
              <w:t>Week 4</w:t>
            </w:r>
          </w:p>
        </w:tc>
        <w:tc>
          <w:tcPr>
            <w:tcW w:w="1373" w:type="dxa"/>
            <w:vAlign w:val="center"/>
          </w:tcPr>
          <w:p w:rsidR="003264AD" w:rsidRPr="00926F43" w:rsidRDefault="003264AD" w:rsidP="00900F2C">
            <w:pPr>
              <w:rPr>
                <w:rFonts w:ascii="Arial" w:hAnsi="Arial" w:cs="Arial"/>
                <w:sz w:val="16"/>
                <w:szCs w:val="16"/>
              </w:rPr>
            </w:pPr>
            <w:r w:rsidRPr="00926F43">
              <w:rPr>
                <w:rFonts w:ascii="Arial" w:hAnsi="Arial" w:cs="Arial"/>
                <w:sz w:val="16"/>
                <w:szCs w:val="16"/>
              </w:rPr>
              <w:t>Week</w:t>
            </w:r>
            <w:r>
              <w:rPr>
                <w:rFonts w:ascii="Arial" w:hAnsi="Arial" w:cs="Arial"/>
                <w:sz w:val="16"/>
                <w:szCs w:val="16"/>
              </w:rPr>
              <w:t xml:space="preserve"> 12</w:t>
            </w:r>
          </w:p>
        </w:tc>
        <w:tc>
          <w:tcPr>
            <w:tcW w:w="1373" w:type="dxa"/>
            <w:vAlign w:val="center"/>
          </w:tcPr>
          <w:p w:rsidR="003264AD" w:rsidRPr="00926F43" w:rsidRDefault="003264AD" w:rsidP="00900F2C">
            <w:pPr>
              <w:rPr>
                <w:rFonts w:ascii="Arial" w:hAnsi="Arial" w:cs="Arial"/>
                <w:sz w:val="16"/>
                <w:szCs w:val="16"/>
              </w:rPr>
            </w:pPr>
            <w:r>
              <w:rPr>
                <w:rFonts w:ascii="Arial" w:hAnsi="Arial" w:cs="Arial"/>
                <w:sz w:val="16"/>
                <w:szCs w:val="16"/>
              </w:rPr>
              <w:t>Week 48</w:t>
            </w:r>
          </w:p>
        </w:tc>
        <w:tc>
          <w:tcPr>
            <w:tcW w:w="1373" w:type="dxa"/>
            <w:vAlign w:val="center"/>
          </w:tcPr>
          <w:p w:rsidR="003264AD" w:rsidRPr="00926F43" w:rsidRDefault="003264AD" w:rsidP="00900F2C">
            <w:pPr>
              <w:rPr>
                <w:rFonts w:ascii="Arial" w:hAnsi="Arial" w:cs="Arial"/>
                <w:sz w:val="16"/>
                <w:szCs w:val="16"/>
              </w:rPr>
            </w:pPr>
            <w:r>
              <w:rPr>
                <w:rFonts w:ascii="Arial" w:hAnsi="Arial" w:cs="Arial"/>
                <w:sz w:val="16"/>
                <w:szCs w:val="16"/>
              </w:rPr>
              <w:t>Week 96</w:t>
            </w:r>
          </w:p>
        </w:tc>
      </w:tr>
      <w:tr w:rsidR="003264AD" w:rsidRPr="00926F43" w:rsidTr="00EA0127">
        <w:trPr>
          <w:trHeight w:val="323"/>
          <w:jc w:val="center"/>
        </w:trPr>
        <w:tc>
          <w:tcPr>
            <w:tcW w:w="1876" w:type="dxa"/>
            <w:vAlign w:val="center"/>
          </w:tcPr>
          <w:p w:rsidR="003264AD" w:rsidRPr="00926F43" w:rsidRDefault="003264AD" w:rsidP="00900F2C">
            <w:pPr>
              <w:rPr>
                <w:rFonts w:ascii="Arial" w:hAnsi="Arial" w:cs="Arial"/>
                <w:sz w:val="16"/>
                <w:szCs w:val="16"/>
              </w:rPr>
            </w:pPr>
            <w:r>
              <w:rPr>
                <w:rFonts w:ascii="Arial" w:hAnsi="Arial" w:cs="Arial"/>
                <w:sz w:val="16"/>
                <w:szCs w:val="16"/>
              </w:rPr>
              <w:t>Ibandronate</w:t>
            </w:r>
            <w:r w:rsidR="00EA0127">
              <w:rPr>
                <w:rFonts w:ascii="Arial" w:hAnsi="Arial" w:cs="Arial"/>
                <w:sz w:val="16"/>
                <w:szCs w:val="16"/>
              </w:rPr>
              <w:t xml:space="preserve"> (150mg/month, N = 28)</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0.51 (0.13)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0.50 (0.11)</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0.52 (0.12)</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0.53 (0.13)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0.51 (0.14)</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0.51 (0.13)</w:t>
            </w:r>
          </w:p>
        </w:tc>
      </w:tr>
      <w:tr w:rsidR="003264AD" w:rsidRPr="00926F43" w:rsidTr="00EA0127">
        <w:trPr>
          <w:trHeight w:val="317"/>
          <w:jc w:val="center"/>
        </w:trPr>
        <w:tc>
          <w:tcPr>
            <w:tcW w:w="1876" w:type="dxa"/>
            <w:vAlign w:val="center"/>
          </w:tcPr>
          <w:p w:rsidR="003264AD" w:rsidRPr="00926F43" w:rsidRDefault="003264AD" w:rsidP="00900F2C">
            <w:pPr>
              <w:rPr>
                <w:rFonts w:ascii="Arial" w:hAnsi="Arial" w:cs="Arial"/>
                <w:sz w:val="16"/>
                <w:szCs w:val="16"/>
              </w:rPr>
            </w:pPr>
            <w:r>
              <w:rPr>
                <w:rFonts w:ascii="Arial" w:hAnsi="Arial" w:cs="Arial"/>
                <w:sz w:val="16"/>
                <w:szCs w:val="16"/>
              </w:rPr>
              <w:t>Alendronate</w:t>
            </w:r>
            <w:r w:rsidR="00EA0127">
              <w:rPr>
                <w:rFonts w:ascii="Arial" w:hAnsi="Arial" w:cs="Arial"/>
                <w:sz w:val="16"/>
                <w:szCs w:val="16"/>
              </w:rPr>
              <w:t xml:space="preserve"> (70mg/week, N = 33)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0.48 (0.13)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0.48 (0.13)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0.47 (0.12)</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0.48 (0.13)</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0.47 (0.12)</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0.50 (0.13)</w:t>
            </w:r>
          </w:p>
        </w:tc>
      </w:tr>
      <w:tr w:rsidR="003264AD" w:rsidRPr="00926F43" w:rsidTr="00EA0127">
        <w:trPr>
          <w:trHeight w:val="317"/>
          <w:jc w:val="center"/>
        </w:trPr>
        <w:tc>
          <w:tcPr>
            <w:tcW w:w="1876" w:type="dxa"/>
            <w:vAlign w:val="center"/>
          </w:tcPr>
          <w:p w:rsidR="003264AD" w:rsidRDefault="003264AD" w:rsidP="00900F2C">
            <w:pPr>
              <w:rPr>
                <w:rFonts w:ascii="Arial" w:hAnsi="Arial" w:cs="Arial"/>
                <w:sz w:val="16"/>
                <w:szCs w:val="16"/>
              </w:rPr>
            </w:pPr>
            <w:r>
              <w:rPr>
                <w:rFonts w:ascii="Arial" w:hAnsi="Arial" w:cs="Arial"/>
                <w:sz w:val="16"/>
                <w:szCs w:val="16"/>
              </w:rPr>
              <w:t>Risedronate</w:t>
            </w:r>
            <w:r w:rsidR="00EA0127">
              <w:rPr>
                <w:rFonts w:ascii="Arial" w:hAnsi="Arial" w:cs="Arial"/>
                <w:sz w:val="16"/>
                <w:szCs w:val="16"/>
              </w:rPr>
              <w:t xml:space="preserve"> (35mg/week, N = 31)</w:t>
            </w:r>
          </w:p>
        </w:tc>
        <w:tc>
          <w:tcPr>
            <w:tcW w:w="1373" w:type="dxa"/>
            <w:vAlign w:val="center"/>
          </w:tcPr>
          <w:p w:rsidR="003264AD" w:rsidRDefault="003264AD" w:rsidP="00900F2C">
            <w:pPr>
              <w:rPr>
                <w:rFonts w:ascii="Arial" w:hAnsi="Arial" w:cs="Arial"/>
                <w:sz w:val="16"/>
                <w:szCs w:val="16"/>
              </w:rPr>
            </w:pPr>
            <w:r>
              <w:rPr>
                <w:rFonts w:ascii="Arial" w:hAnsi="Arial" w:cs="Arial"/>
                <w:sz w:val="16"/>
                <w:szCs w:val="16"/>
              </w:rPr>
              <w:t>0.51 (0.10)</w:t>
            </w:r>
          </w:p>
        </w:tc>
        <w:tc>
          <w:tcPr>
            <w:tcW w:w="1373" w:type="dxa"/>
            <w:vAlign w:val="center"/>
          </w:tcPr>
          <w:p w:rsidR="003264AD" w:rsidRDefault="003264AD" w:rsidP="00900F2C">
            <w:pPr>
              <w:rPr>
                <w:rFonts w:ascii="Arial" w:hAnsi="Arial" w:cs="Arial"/>
                <w:sz w:val="16"/>
                <w:szCs w:val="16"/>
              </w:rPr>
            </w:pPr>
            <w:r>
              <w:rPr>
                <w:rFonts w:ascii="Arial" w:hAnsi="Arial" w:cs="Arial"/>
                <w:sz w:val="16"/>
                <w:szCs w:val="16"/>
              </w:rPr>
              <w:t>0.51 (0.11)</w:t>
            </w:r>
          </w:p>
        </w:tc>
        <w:tc>
          <w:tcPr>
            <w:tcW w:w="1373" w:type="dxa"/>
            <w:vAlign w:val="center"/>
          </w:tcPr>
          <w:p w:rsidR="003264AD" w:rsidRDefault="003264AD" w:rsidP="00900F2C">
            <w:pPr>
              <w:rPr>
                <w:rFonts w:ascii="Arial" w:hAnsi="Arial" w:cs="Arial"/>
                <w:sz w:val="16"/>
                <w:szCs w:val="16"/>
              </w:rPr>
            </w:pPr>
            <w:r>
              <w:rPr>
                <w:rFonts w:ascii="Arial" w:hAnsi="Arial" w:cs="Arial"/>
                <w:sz w:val="16"/>
                <w:szCs w:val="16"/>
              </w:rPr>
              <w:t>0.52 (0.10)</w:t>
            </w:r>
          </w:p>
        </w:tc>
        <w:tc>
          <w:tcPr>
            <w:tcW w:w="1373" w:type="dxa"/>
            <w:vAlign w:val="center"/>
          </w:tcPr>
          <w:p w:rsidR="003264AD" w:rsidRDefault="003264AD" w:rsidP="00900F2C">
            <w:pPr>
              <w:rPr>
                <w:rFonts w:ascii="Arial" w:hAnsi="Arial" w:cs="Arial"/>
                <w:sz w:val="16"/>
                <w:szCs w:val="16"/>
              </w:rPr>
            </w:pPr>
            <w:r>
              <w:rPr>
                <w:rFonts w:ascii="Arial" w:hAnsi="Arial" w:cs="Arial"/>
                <w:sz w:val="16"/>
                <w:szCs w:val="16"/>
              </w:rPr>
              <w:t>0.51 (0.11)</w:t>
            </w:r>
          </w:p>
        </w:tc>
        <w:tc>
          <w:tcPr>
            <w:tcW w:w="1373" w:type="dxa"/>
            <w:vAlign w:val="center"/>
          </w:tcPr>
          <w:p w:rsidR="003264AD" w:rsidRDefault="003264AD" w:rsidP="00900F2C">
            <w:pPr>
              <w:rPr>
                <w:rFonts w:ascii="Arial" w:hAnsi="Arial" w:cs="Arial"/>
                <w:sz w:val="16"/>
                <w:szCs w:val="16"/>
              </w:rPr>
            </w:pPr>
            <w:r>
              <w:rPr>
                <w:rFonts w:ascii="Arial" w:hAnsi="Arial" w:cs="Arial"/>
                <w:sz w:val="16"/>
                <w:szCs w:val="16"/>
              </w:rPr>
              <w:t>0.51 (0.11)</w:t>
            </w:r>
          </w:p>
        </w:tc>
        <w:tc>
          <w:tcPr>
            <w:tcW w:w="1373" w:type="dxa"/>
            <w:vAlign w:val="center"/>
          </w:tcPr>
          <w:p w:rsidR="003264AD" w:rsidRPr="001108BE" w:rsidRDefault="003264AD" w:rsidP="00900F2C">
            <w:pPr>
              <w:rPr>
                <w:rFonts w:ascii="Arial" w:hAnsi="Arial" w:cs="Arial"/>
                <w:sz w:val="16"/>
                <w:szCs w:val="16"/>
              </w:rPr>
            </w:pPr>
            <w:r>
              <w:rPr>
                <w:rFonts w:ascii="Arial" w:hAnsi="Arial" w:cs="Arial"/>
                <w:sz w:val="16"/>
                <w:szCs w:val="16"/>
              </w:rPr>
              <w:t>0.52 (0.14)</w:t>
            </w:r>
          </w:p>
        </w:tc>
      </w:tr>
    </w:tbl>
    <w:p w:rsidR="00DE4C51" w:rsidRPr="001658EE" w:rsidRDefault="00EF2030" w:rsidP="00900F2C">
      <w:pPr>
        <w:rPr>
          <w:rFonts w:ascii="Arial" w:hAnsi="Arial" w:cs="Arial"/>
          <w:sz w:val="16"/>
          <w:szCs w:val="16"/>
        </w:rPr>
      </w:pPr>
      <w:r w:rsidRPr="00EF2030">
        <w:rPr>
          <w:rFonts w:ascii="Arial" w:hAnsi="Arial" w:cs="Arial"/>
          <w:sz w:val="16"/>
          <w:szCs w:val="16"/>
        </w:rPr>
        <w:t>Overall significance assessed using the Friedman test: ibandronate = 0.08, alendronate = 0.11 and risedronate = 0.88</w:t>
      </w:r>
    </w:p>
    <w:p w:rsidR="003264AD" w:rsidRDefault="00AB2930" w:rsidP="008D3F43">
      <w:pPr>
        <w:keepNext/>
        <w:jc w:val="center"/>
      </w:pPr>
      <w:r>
        <w:rPr>
          <w:noProof/>
          <w:lang w:eastAsia="zh-CN"/>
        </w:rPr>
        <w:lastRenderedPageBreak/>
        <w:drawing>
          <wp:inline distT="0" distB="0" distL="0" distR="0" wp14:anchorId="3BB62145" wp14:editId="552715C7">
            <wp:extent cx="5728970" cy="2019632"/>
            <wp:effectExtent l="0" t="0" r="5080" b="0"/>
            <wp:docPr id="18561" name="Picture 1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lerostin.png"/>
                    <pic:cNvPicPr/>
                  </pic:nvPicPr>
                  <pic:blipFill rotWithShape="1">
                    <a:blip r:embed="rId176" cstate="print">
                      <a:extLst>
                        <a:ext uri="{28A0092B-C50C-407E-A947-70E740481C1C}">
                          <a14:useLocalDpi xmlns:a14="http://schemas.microsoft.com/office/drawing/2010/main" val="0"/>
                        </a:ext>
                      </a:extLst>
                    </a:blip>
                    <a:srcRect t="49058"/>
                    <a:stretch/>
                  </pic:blipFill>
                  <pic:spPr bwMode="auto">
                    <a:xfrm>
                      <a:off x="0" y="0"/>
                      <a:ext cx="5749579" cy="2026897"/>
                    </a:xfrm>
                    <a:prstGeom prst="rect">
                      <a:avLst/>
                    </a:prstGeom>
                    <a:noFill/>
                    <a:ln>
                      <a:noFill/>
                    </a:ln>
                    <a:extLst>
                      <a:ext uri="{53640926-AAD7-44D8-BBD7-CCE9431645EC}">
                        <a14:shadowObscured xmlns:a14="http://schemas.microsoft.com/office/drawing/2010/main"/>
                      </a:ext>
                    </a:extLst>
                  </pic:spPr>
                </pic:pic>
              </a:graphicData>
            </a:graphic>
          </wp:inline>
        </w:drawing>
      </w:r>
    </w:p>
    <w:p w:rsidR="001658EE" w:rsidRPr="00EA0127" w:rsidRDefault="003264AD" w:rsidP="003E5C23">
      <w:pPr>
        <w:pStyle w:val="Caption"/>
        <w:keepNext/>
        <w:jc w:val="both"/>
        <w:rPr>
          <w:rFonts w:ascii="Arial" w:hAnsi="Arial" w:cs="Arial"/>
          <w:b w:val="0"/>
          <w:color w:val="auto"/>
        </w:rPr>
      </w:pPr>
      <w:bookmarkStart w:id="224" w:name="_Toc425419549"/>
      <w:r w:rsidRPr="001658EE">
        <w:rPr>
          <w:rFonts w:ascii="Arial" w:hAnsi="Arial" w:cs="Arial"/>
          <w:b w:val="0"/>
          <w:color w:val="auto"/>
        </w:rPr>
        <w:t xml:space="preserve">Figure </w:t>
      </w:r>
      <w:r w:rsidRPr="001658EE">
        <w:rPr>
          <w:rFonts w:ascii="Arial" w:hAnsi="Arial" w:cs="Arial"/>
          <w:b w:val="0"/>
          <w:color w:val="auto"/>
        </w:rPr>
        <w:fldChar w:fldCharType="begin"/>
      </w:r>
      <w:r w:rsidRPr="001658EE">
        <w:rPr>
          <w:rFonts w:ascii="Arial" w:hAnsi="Arial" w:cs="Arial"/>
          <w:b w:val="0"/>
          <w:color w:val="auto"/>
        </w:rPr>
        <w:instrText xml:space="preserve"> SEQ Figure \* ARABIC </w:instrText>
      </w:r>
      <w:r w:rsidRPr="001658EE">
        <w:rPr>
          <w:rFonts w:ascii="Arial" w:hAnsi="Arial" w:cs="Arial"/>
          <w:b w:val="0"/>
          <w:color w:val="auto"/>
        </w:rPr>
        <w:fldChar w:fldCharType="separate"/>
      </w:r>
      <w:r w:rsidR="0040369A">
        <w:rPr>
          <w:rFonts w:ascii="Arial" w:hAnsi="Arial" w:cs="Arial"/>
          <w:b w:val="0"/>
          <w:noProof/>
          <w:color w:val="auto"/>
        </w:rPr>
        <w:t>60</w:t>
      </w:r>
      <w:r w:rsidRPr="001658EE">
        <w:rPr>
          <w:rFonts w:ascii="Arial" w:hAnsi="Arial" w:cs="Arial"/>
          <w:b w:val="0"/>
          <w:color w:val="auto"/>
        </w:rPr>
        <w:fldChar w:fldCharType="end"/>
      </w:r>
      <w:r w:rsidR="001658EE" w:rsidRPr="001658EE">
        <w:rPr>
          <w:rFonts w:ascii="Arial" w:hAnsi="Arial" w:cs="Arial"/>
          <w:b w:val="0"/>
          <w:color w:val="auto"/>
        </w:rPr>
        <w:t>: Percentage change from baseline in circulating serum sclerostin level in postmenopausal women receiving either ibandronate</w:t>
      </w:r>
      <w:r w:rsidR="001658EE">
        <w:rPr>
          <w:rFonts w:ascii="Arial" w:hAnsi="Arial" w:cs="Arial"/>
          <w:b w:val="0"/>
          <w:color w:val="auto"/>
        </w:rPr>
        <w:t xml:space="preserve"> (black)</w:t>
      </w:r>
      <w:r w:rsidR="001658EE" w:rsidRPr="001658EE">
        <w:rPr>
          <w:rFonts w:ascii="Arial" w:hAnsi="Arial" w:cs="Arial"/>
          <w:b w:val="0"/>
          <w:color w:val="auto"/>
        </w:rPr>
        <w:t xml:space="preserve">, alendronate </w:t>
      </w:r>
      <w:r w:rsidR="001658EE">
        <w:rPr>
          <w:rFonts w:ascii="Arial" w:hAnsi="Arial" w:cs="Arial"/>
          <w:b w:val="0"/>
          <w:color w:val="auto"/>
        </w:rPr>
        <w:t xml:space="preserve">(blue) </w:t>
      </w:r>
      <w:r w:rsidR="001658EE" w:rsidRPr="001658EE">
        <w:rPr>
          <w:rFonts w:ascii="Arial" w:hAnsi="Arial" w:cs="Arial"/>
          <w:b w:val="0"/>
          <w:color w:val="auto"/>
        </w:rPr>
        <w:t>or risedronate</w:t>
      </w:r>
      <w:r w:rsidR="001658EE">
        <w:rPr>
          <w:rFonts w:ascii="Arial" w:hAnsi="Arial" w:cs="Arial"/>
          <w:b w:val="0"/>
          <w:color w:val="auto"/>
        </w:rPr>
        <w:t xml:space="preserve"> (orange)</w:t>
      </w:r>
      <w:r w:rsidR="001658EE" w:rsidRPr="001658EE">
        <w:rPr>
          <w:rFonts w:ascii="Arial" w:hAnsi="Arial" w:cs="Arial"/>
          <w:b w:val="0"/>
          <w:color w:val="auto"/>
        </w:rPr>
        <w:t xml:space="preserve"> over 96 weeks of treatment</w:t>
      </w:r>
      <w:r w:rsidR="001658EE" w:rsidRPr="00EA0127">
        <w:rPr>
          <w:rFonts w:ascii="Arial" w:hAnsi="Arial" w:cs="Arial"/>
          <w:b w:val="0"/>
          <w:color w:val="auto"/>
        </w:rPr>
        <w:t>.</w:t>
      </w:r>
      <w:bookmarkEnd w:id="224"/>
    </w:p>
    <w:p w:rsidR="00AB2930" w:rsidRDefault="00AB2930" w:rsidP="003E5C23">
      <w:pPr>
        <w:pStyle w:val="Caption"/>
        <w:jc w:val="both"/>
      </w:pPr>
    </w:p>
    <w:p w:rsidR="007C1FB8" w:rsidRPr="00010A6C" w:rsidRDefault="007C1FB8" w:rsidP="003E5C23">
      <w:pPr>
        <w:spacing w:line="360" w:lineRule="auto"/>
        <w:jc w:val="both"/>
        <w:rPr>
          <w:rFonts w:ascii="Arial" w:hAnsi="Arial" w:cs="Arial"/>
        </w:rPr>
      </w:pPr>
      <w:r w:rsidRPr="00010A6C">
        <w:rPr>
          <w:rFonts w:ascii="Arial" w:hAnsi="Arial" w:cs="Arial"/>
        </w:rPr>
        <w:t>Circulating levels of sclerostin was negatively correlated with PINP in postmenopausal women with osteoporosis at baseline, (r = -0.2, p&lt;0.05). There was no significant correlation with CT</w:t>
      </w:r>
      <w:r w:rsidR="001B0A53">
        <w:rPr>
          <w:rFonts w:ascii="Arial" w:hAnsi="Arial" w:cs="Arial"/>
        </w:rPr>
        <w:t>X (r = -0.1, p&gt;0.05), (Figure 67</w:t>
      </w:r>
      <w:r w:rsidRPr="00010A6C">
        <w:rPr>
          <w:rFonts w:ascii="Arial" w:hAnsi="Arial" w:cs="Arial"/>
        </w:rPr>
        <w:t>).</w:t>
      </w:r>
    </w:p>
    <w:p w:rsidR="00B07B24" w:rsidRDefault="006A1462" w:rsidP="00900F2C">
      <w:pPr>
        <w:keepNext/>
      </w:pPr>
      <w:r>
        <w:rPr>
          <w:noProof/>
          <w:lang w:eastAsia="zh-CN"/>
        </w:rPr>
        <w:drawing>
          <wp:inline distT="0" distB="0" distL="0" distR="0" wp14:anchorId="577B5898" wp14:editId="3202AF3D">
            <wp:extent cx="5674069" cy="2085807"/>
            <wp:effectExtent l="0" t="0" r="3175" b="0"/>
            <wp:docPr id="18517" name="Picture 1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21108" cy="2103099"/>
                    </a:xfrm>
                    <a:prstGeom prst="rect">
                      <a:avLst/>
                    </a:prstGeom>
                    <a:noFill/>
                  </pic:spPr>
                </pic:pic>
              </a:graphicData>
            </a:graphic>
          </wp:inline>
        </w:drawing>
      </w:r>
    </w:p>
    <w:p w:rsidR="006A1462" w:rsidRPr="00010A6C" w:rsidRDefault="00B07B24" w:rsidP="003E5C23">
      <w:pPr>
        <w:pStyle w:val="Caption"/>
        <w:jc w:val="both"/>
        <w:rPr>
          <w:rFonts w:ascii="Arial" w:hAnsi="Arial" w:cs="Arial"/>
          <w:b w:val="0"/>
          <w:color w:val="auto"/>
        </w:rPr>
      </w:pPr>
      <w:bookmarkStart w:id="225" w:name="_Toc425419550"/>
      <w:r w:rsidRPr="00010A6C">
        <w:rPr>
          <w:rFonts w:ascii="Arial" w:hAnsi="Arial" w:cs="Arial"/>
          <w:b w:val="0"/>
          <w:color w:val="auto"/>
        </w:rPr>
        <w:t xml:space="preserve">Figure </w:t>
      </w:r>
      <w:r w:rsidRPr="00010A6C">
        <w:rPr>
          <w:rFonts w:ascii="Arial" w:hAnsi="Arial" w:cs="Arial"/>
          <w:b w:val="0"/>
          <w:color w:val="auto"/>
        </w:rPr>
        <w:fldChar w:fldCharType="begin"/>
      </w:r>
      <w:r w:rsidRPr="00010A6C">
        <w:rPr>
          <w:rFonts w:ascii="Arial" w:hAnsi="Arial" w:cs="Arial"/>
          <w:b w:val="0"/>
          <w:color w:val="auto"/>
        </w:rPr>
        <w:instrText xml:space="preserve"> SEQ Figure \* ARABIC </w:instrText>
      </w:r>
      <w:r w:rsidRPr="00010A6C">
        <w:rPr>
          <w:rFonts w:ascii="Arial" w:hAnsi="Arial" w:cs="Arial"/>
          <w:b w:val="0"/>
          <w:color w:val="auto"/>
        </w:rPr>
        <w:fldChar w:fldCharType="separate"/>
      </w:r>
      <w:r w:rsidR="0040369A">
        <w:rPr>
          <w:rFonts w:ascii="Arial" w:hAnsi="Arial" w:cs="Arial"/>
          <w:b w:val="0"/>
          <w:noProof/>
          <w:color w:val="auto"/>
        </w:rPr>
        <w:t>61</w:t>
      </w:r>
      <w:r w:rsidRPr="00010A6C">
        <w:rPr>
          <w:rFonts w:ascii="Arial" w:hAnsi="Arial" w:cs="Arial"/>
          <w:b w:val="0"/>
          <w:color w:val="auto"/>
        </w:rPr>
        <w:fldChar w:fldCharType="end"/>
      </w:r>
      <w:r w:rsidRPr="00010A6C">
        <w:rPr>
          <w:rFonts w:ascii="Arial" w:hAnsi="Arial" w:cs="Arial"/>
          <w:b w:val="0"/>
          <w:color w:val="auto"/>
        </w:rPr>
        <w:t>: Scatter plot showing the correlation between serum sclerostin and PINP (left) and CTX (right) in postmenopausal women with osteoporosis at baseline prior to bisphosphonate treatment (N = 92).</w:t>
      </w:r>
      <w:bookmarkEnd w:id="225"/>
    </w:p>
    <w:p w:rsidR="005B3F10" w:rsidRDefault="00C921D7" w:rsidP="003E5C23">
      <w:pPr>
        <w:pStyle w:val="Heading2"/>
        <w:jc w:val="both"/>
      </w:pPr>
      <w:bookmarkStart w:id="226" w:name="_Toc425418964"/>
      <w:r>
        <w:t>Discussions</w:t>
      </w:r>
      <w:bookmarkEnd w:id="226"/>
    </w:p>
    <w:p w:rsidR="00BD080B" w:rsidRDefault="004B16D8" w:rsidP="003B725E">
      <w:pPr>
        <w:spacing w:line="360" w:lineRule="auto"/>
        <w:jc w:val="both"/>
        <w:rPr>
          <w:rFonts w:ascii="Arial" w:hAnsi="Arial" w:cs="Arial"/>
        </w:rPr>
      </w:pPr>
      <w:r w:rsidRPr="00000CAD">
        <w:rPr>
          <w:rFonts w:ascii="Arial" w:hAnsi="Arial" w:cs="Arial"/>
        </w:rPr>
        <w:t>Bisphosphonates are widely used to treat postmenopausal osteoporosis and some studies suggest that their effects are exerted only o</w:t>
      </w:r>
      <w:r w:rsidR="001B0A53">
        <w:rPr>
          <w:rFonts w:ascii="Arial" w:hAnsi="Arial" w:cs="Arial"/>
        </w:rPr>
        <w:t xml:space="preserve">n mature and active osteoclasts, </w:t>
      </w:r>
      <w:r w:rsidR="001B0A53">
        <w:rPr>
          <w:rFonts w:ascii="Arial" w:hAnsi="Arial" w:cs="Arial"/>
        </w:rPr>
        <w:fldChar w:fldCharType="begin">
          <w:fldData xml:space="preserve">PEVuZE5vdGU+PENpdGU+PEF1dGhvcj5Cb29uZWthbXA8L0F1dGhvcj48WWVhcj4xOTg2PC9ZZWFy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PEVuZE5vdGU+PENpdGU+PEF1dGhvcj5Cb29uZWthbXA8L0F1dGhvcj48WWVhcj4xOTg2PC9ZZWFy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B0A53">
        <w:rPr>
          <w:rFonts w:ascii="Arial" w:hAnsi="Arial" w:cs="Arial"/>
        </w:rPr>
      </w:r>
      <w:r w:rsidR="001B0A53">
        <w:rPr>
          <w:rFonts w:ascii="Arial" w:hAnsi="Arial" w:cs="Arial"/>
        </w:rPr>
        <w:fldChar w:fldCharType="separate"/>
      </w:r>
      <w:r w:rsidR="000D155C">
        <w:rPr>
          <w:rFonts w:ascii="Arial" w:hAnsi="Arial" w:cs="Arial"/>
          <w:noProof/>
        </w:rPr>
        <w:t>(</w:t>
      </w:r>
      <w:hyperlink w:anchor="_ENREF_436" w:tooltip="Boonekamp, 1986 #490" w:history="1">
        <w:r w:rsidR="003B725E">
          <w:rPr>
            <w:rFonts w:ascii="Arial" w:hAnsi="Arial" w:cs="Arial"/>
            <w:noProof/>
          </w:rPr>
          <w:t>436</w:t>
        </w:r>
      </w:hyperlink>
      <w:r w:rsidR="000D155C">
        <w:rPr>
          <w:rFonts w:ascii="Arial" w:hAnsi="Arial" w:cs="Arial"/>
          <w:noProof/>
        </w:rPr>
        <w:t xml:space="preserve">, </w:t>
      </w:r>
      <w:hyperlink w:anchor="_ENREF_437" w:tooltip="Rodan, 2002 #491" w:history="1">
        <w:r w:rsidR="003B725E">
          <w:rPr>
            <w:rFonts w:ascii="Arial" w:hAnsi="Arial" w:cs="Arial"/>
            <w:noProof/>
          </w:rPr>
          <w:t>437</w:t>
        </w:r>
      </w:hyperlink>
      <w:r w:rsidR="000D155C">
        <w:rPr>
          <w:rFonts w:ascii="Arial" w:hAnsi="Arial" w:cs="Arial"/>
          <w:noProof/>
        </w:rPr>
        <w:t>)</w:t>
      </w:r>
      <w:r w:rsidR="001B0A53">
        <w:rPr>
          <w:rFonts w:ascii="Arial" w:hAnsi="Arial" w:cs="Arial"/>
        </w:rPr>
        <w:fldChar w:fldCharType="end"/>
      </w:r>
      <w:r w:rsidR="000C1CF3" w:rsidRPr="00000CAD">
        <w:rPr>
          <w:rFonts w:ascii="Arial" w:hAnsi="Arial" w:cs="Arial"/>
        </w:rPr>
        <w:t>. However, my data</w:t>
      </w:r>
      <w:r w:rsidRPr="00000CAD">
        <w:rPr>
          <w:rFonts w:ascii="Arial" w:hAnsi="Arial" w:cs="Arial"/>
        </w:rPr>
        <w:t xml:space="preserve"> have confirmed that nitrogen containing bisphosphonates</w:t>
      </w:r>
      <w:r w:rsidR="00000CAD">
        <w:rPr>
          <w:rFonts w:ascii="Arial" w:hAnsi="Arial" w:cs="Arial"/>
        </w:rPr>
        <w:t>,</w:t>
      </w:r>
      <w:r w:rsidRPr="00000CAD">
        <w:rPr>
          <w:rFonts w:ascii="Arial" w:hAnsi="Arial" w:cs="Arial"/>
        </w:rPr>
        <w:t xml:space="preserve"> in particular ibandronate and risedronate</w:t>
      </w:r>
      <w:r w:rsidR="00A24419">
        <w:rPr>
          <w:rFonts w:ascii="Arial" w:hAnsi="Arial" w:cs="Arial"/>
        </w:rPr>
        <w:t xml:space="preserve"> significantly</w:t>
      </w:r>
      <w:r w:rsidRPr="00000CAD">
        <w:rPr>
          <w:rFonts w:ascii="Arial" w:hAnsi="Arial" w:cs="Arial"/>
        </w:rPr>
        <w:t xml:space="preserve"> reduced the population of osteoclast precursor cells</w:t>
      </w:r>
      <w:r w:rsidR="000C1CF3" w:rsidRPr="00000CAD">
        <w:rPr>
          <w:rFonts w:ascii="Arial" w:hAnsi="Arial" w:cs="Arial"/>
        </w:rPr>
        <w:t xml:space="preserve"> as assessed by their expression of cell surface markers</w:t>
      </w:r>
      <w:r w:rsidRPr="00000CAD">
        <w:rPr>
          <w:rFonts w:ascii="Arial" w:hAnsi="Arial" w:cs="Arial"/>
        </w:rPr>
        <w:t>.</w:t>
      </w:r>
      <w:r w:rsidR="000C1CF3" w:rsidRPr="00000CAD">
        <w:rPr>
          <w:rFonts w:ascii="Arial" w:hAnsi="Arial" w:cs="Arial"/>
        </w:rPr>
        <w:t xml:space="preserve"> The hypothesis is therefore supported. </w:t>
      </w:r>
      <w:r w:rsidR="00194A57">
        <w:rPr>
          <w:rFonts w:ascii="Arial" w:hAnsi="Arial" w:cs="Arial"/>
        </w:rPr>
        <w:t xml:space="preserve">The difference in effect between bisphosphonates may be due to their variable distribution </w:t>
      </w:r>
      <w:r w:rsidR="00BD080B">
        <w:rPr>
          <w:rFonts w:ascii="Arial" w:hAnsi="Arial" w:cs="Arial"/>
        </w:rPr>
        <w:t>within and affinity to</w:t>
      </w:r>
      <w:r w:rsidR="00194A57">
        <w:rPr>
          <w:rFonts w:ascii="Arial" w:hAnsi="Arial" w:cs="Arial"/>
        </w:rPr>
        <w:t xml:space="preserve"> </w:t>
      </w:r>
      <w:r w:rsidR="00054C0C">
        <w:rPr>
          <w:rFonts w:ascii="Arial" w:hAnsi="Arial" w:cs="Arial"/>
        </w:rPr>
        <w:t xml:space="preserve">the </w:t>
      </w:r>
      <w:r w:rsidR="00194A57">
        <w:rPr>
          <w:rFonts w:ascii="Arial" w:hAnsi="Arial" w:cs="Arial"/>
        </w:rPr>
        <w:t>bone</w:t>
      </w:r>
      <w:r w:rsidR="001B0A53">
        <w:rPr>
          <w:rFonts w:ascii="Arial" w:hAnsi="Arial" w:cs="Arial"/>
        </w:rPr>
        <w:t xml:space="preserve">, </w:t>
      </w:r>
      <w:r w:rsidR="001B0A53">
        <w:rPr>
          <w:rFonts w:ascii="Arial" w:hAnsi="Arial" w:cs="Arial"/>
        </w:rPr>
        <w:fldChar w:fldCharType="begin">
          <w:fldData xml:space="preserve">PEVuZE5vdGU+PENpdGU+PEF1dGhvcj5Sb2Vsb2ZzPC9BdXRob3I+PFllYXI+MjAxMjwvWWVhcj48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c2VhcmNoPC9hYmJyLTE+PC9wZXJpb2RpY2FsPjxwYWdlcz44MzUtNDc8L3BhZ2VzPjx2b2x1bWU+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PEVuZE5vdGU+PENpdGU+PEF1dGhvcj5Sb2Vsb2ZzPC9BdXRob3I+PFllYXI+MjAxMjwvWWVhcj48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c2VhcmNoPC9hYmJyLTE+PC9wZXJpb2RpY2FsPjxwYWdlcz44MzUtNDc8L3BhZ2VzPjx2b2x1bWU+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1B0A53">
        <w:rPr>
          <w:rFonts w:ascii="Arial" w:hAnsi="Arial" w:cs="Arial"/>
        </w:rPr>
      </w:r>
      <w:r w:rsidR="001B0A53">
        <w:rPr>
          <w:rFonts w:ascii="Arial" w:hAnsi="Arial" w:cs="Arial"/>
        </w:rPr>
        <w:fldChar w:fldCharType="separate"/>
      </w:r>
      <w:r w:rsidR="00066E61">
        <w:rPr>
          <w:rFonts w:ascii="Arial" w:hAnsi="Arial" w:cs="Arial"/>
          <w:noProof/>
        </w:rPr>
        <w:t>(</w:t>
      </w:r>
      <w:hyperlink w:anchor="_ENREF_241" w:tooltip="Russell, 2008 #491" w:history="1">
        <w:r w:rsidR="003B725E">
          <w:rPr>
            <w:rFonts w:ascii="Arial" w:hAnsi="Arial" w:cs="Arial"/>
            <w:noProof/>
          </w:rPr>
          <w:t>241</w:t>
        </w:r>
      </w:hyperlink>
      <w:r w:rsidR="00066E61">
        <w:rPr>
          <w:rFonts w:ascii="Arial" w:hAnsi="Arial" w:cs="Arial"/>
          <w:noProof/>
        </w:rPr>
        <w:t xml:space="preserve">, </w:t>
      </w:r>
      <w:hyperlink w:anchor="_ENREF_460" w:tooltip="Roelofs, 2012 #506" w:history="1">
        <w:r w:rsidR="003B725E">
          <w:rPr>
            <w:rFonts w:ascii="Arial" w:hAnsi="Arial" w:cs="Arial"/>
            <w:noProof/>
          </w:rPr>
          <w:t>460</w:t>
        </w:r>
      </w:hyperlink>
      <w:r w:rsidR="00066E61">
        <w:rPr>
          <w:rFonts w:ascii="Arial" w:hAnsi="Arial" w:cs="Arial"/>
          <w:noProof/>
        </w:rPr>
        <w:t>)</w:t>
      </w:r>
      <w:r w:rsidR="001B0A53">
        <w:rPr>
          <w:rFonts w:ascii="Arial" w:hAnsi="Arial" w:cs="Arial"/>
        </w:rPr>
        <w:fldChar w:fldCharType="end"/>
      </w:r>
      <w:r w:rsidR="00054C0C">
        <w:rPr>
          <w:rFonts w:ascii="Arial" w:hAnsi="Arial" w:cs="Arial"/>
        </w:rPr>
        <w:t xml:space="preserve">, with risedronate and ibandronate preferentially targeting </w:t>
      </w:r>
      <w:r w:rsidR="00BD080B">
        <w:rPr>
          <w:rFonts w:ascii="Arial" w:hAnsi="Arial" w:cs="Arial"/>
        </w:rPr>
        <w:t>osteoclast precursor cells.</w:t>
      </w:r>
      <w:r w:rsidR="00194A57">
        <w:rPr>
          <w:rFonts w:ascii="Arial" w:hAnsi="Arial" w:cs="Arial"/>
        </w:rPr>
        <w:t xml:space="preserve"> </w:t>
      </w:r>
      <w:r w:rsidR="00BD080B">
        <w:rPr>
          <w:rFonts w:ascii="Arial" w:hAnsi="Arial" w:cs="Arial"/>
        </w:rPr>
        <w:t>The higher affinity of alendronate for hydroxyapaptite may mean that it has lower availability</w:t>
      </w:r>
      <w:r w:rsidR="00BE15B8">
        <w:rPr>
          <w:rFonts w:ascii="Arial" w:hAnsi="Arial" w:cs="Arial"/>
        </w:rPr>
        <w:t xml:space="preserve"> for</w:t>
      </w:r>
      <w:r w:rsidR="00BF3188">
        <w:rPr>
          <w:rFonts w:ascii="Arial" w:hAnsi="Arial" w:cs="Arial"/>
        </w:rPr>
        <w:t xml:space="preserve"> the osteoclast precursors. The</w:t>
      </w:r>
      <w:r w:rsidR="00BE15B8">
        <w:rPr>
          <w:rFonts w:ascii="Arial" w:hAnsi="Arial" w:cs="Arial"/>
        </w:rPr>
        <w:t xml:space="preserve"> mechanism of action is targeting mature osteoclasts and this is supported by a greater suppression in BTMS compared to risedronate.</w:t>
      </w:r>
    </w:p>
    <w:p w:rsidR="004B16D8" w:rsidRPr="004F2A3E" w:rsidRDefault="000C1CF3" w:rsidP="003B725E">
      <w:pPr>
        <w:spacing w:line="360" w:lineRule="auto"/>
        <w:jc w:val="both"/>
        <w:rPr>
          <w:rFonts w:ascii="Arial" w:hAnsi="Arial" w:cs="Arial"/>
        </w:rPr>
      </w:pPr>
      <w:r w:rsidRPr="00000CAD">
        <w:rPr>
          <w:rFonts w:ascii="Arial" w:hAnsi="Arial" w:cs="Arial"/>
        </w:rPr>
        <w:lastRenderedPageBreak/>
        <w:t>In addition this research has demonstrated that t</w:t>
      </w:r>
      <w:r w:rsidR="00BD080B">
        <w:rPr>
          <w:rFonts w:ascii="Arial" w:hAnsi="Arial" w:cs="Arial"/>
        </w:rPr>
        <w:t>his effect is long term</w:t>
      </w:r>
      <w:r w:rsidRPr="00000CAD">
        <w:rPr>
          <w:rFonts w:ascii="Arial" w:hAnsi="Arial" w:cs="Arial"/>
        </w:rPr>
        <w:t xml:space="preserve"> seen at week 48 of treatment. This is in contrast to the effect we see on bone resorption as demonstrated by the reduction in CTX after 1 week of treatment. There is no short term effect of bisphosphonates on osteoclast precursor cells. This finding suggests that the </w:t>
      </w:r>
      <w:r w:rsidR="00000CAD">
        <w:rPr>
          <w:rFonts w:ascii="Arial" w:hAnsi="Arial" w:cs="Arial"/>
        </w:rPr>
        <w:t xml:space="preserve">initial </w:t>
      </w:r>
      <w:r w:rsidR="00000CAD" w:rsidRPr="00000CAD">
        <w:rPr>
          <w:rFonts w:ascii="Arial" w:hAnsi="Arial" w:cs="Arial"/>
        </w:rPr>
        <w:t>short term reduction in bone resorption</w:t>
      </w:r>
      <w:r w:rsidRPr="00000CAD">
        <w:rPr>
          <w:rFonts w:ascii="Arial" w:hAnsi="Arial" w:cs="Arial"/>
        </w:rPr>
        <w:t xml:space="preserve"> is a result of the bisphosphonates exerting their effect on mature, resorbing osteoclasts rather than the osteoclast precursor cells. </w:t>
      </w:r>
      <w:r w:rsidR="00000CAD">
        <w:rPr>
          <w:rFonts w:ascii="Arial" w:hAnsi="Arial" w:cs="Arial"/>
        </w:rPr>
        <w:t>The long term sustained reduction in bone resorption may be due to the bisphosphonates exerting their effect on both the osteoclast precursor cells and the mature osteoclasts. However in this subset of participants the only long term time point I have is at week 48</w:t>
      </w:r>
      <w:r w:rsidR="00963B90">
        <w:rPr>
          <w:rFonts w:ascii="Arial" w:hAnsi="Arial" w:cs="Arial"/>
        </w:rPr>
        <w:t>. T</w:t>
      </w:r>
      <w:r w:rsidR="00000CAD">
        <w:rPr>
          <w:rFonts w:ascii="Arial" w:hAnsi="Arial" w:cs="Arial"/>
        </w:rPr>
        <w:t xml:space="preserve">herefore one particular limitation </w:t>
      </w:r>
      <w:r w:rsidR="00963B90">
        <w:rPr>
          <w:rFonts w:ascii="Arial" w:hAnsi="Arial" w:cs="Arial"/>
        </w:rPr>
        <w:t xml:space="preserve">is </w:t>
      </w:r>
      <w:r w:rsidR="00000CAD">
        <w:rPr>
          <w:rFonts w:ascii="Arial" w:hAnsi="Arial" w:cs="Arial"/>
        </w:rPr>
        <w:t>not knowing exactly when the bisphosphonates begin exerting their effect on the osteoclast precursor cell population. None the less this data is supported by others</w:t>
      </w:r>
      <w:r w:rsidR="001B0A53">
        <w:rPr>
          <w:rFonts w:ascii="Arial" w:hAnsi="Arial" w:cs="Arial"/>
        </w:rPr>
        <w:t xml:space="preserve"> </w:t>
      </w:r>
      <w:r w:rsidR="001B0A53">
        <w:rPr>
          <w:rFonts w:ascii="Arial" w:hAnsi="Arial" w:cs="Arial"/>
        </w:rPr>
        <w:fldChar w:fldCharType="begin">
          <w:fldData xml:space="preserve">PEVuZE5vdGU+PENpdGU+PEF1dGhvcj5EJmFwb3M7QW1lbGlvPC9BdXRob3I+PFllYXI+MjAxMDwv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IFVTQTwvYWJici0xPjwvYWx0LXBlcmlvZGljYWw+PHBhZ2VzPjE3NDEtNTA8L3BhZ2VzPjx2b2x1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PEVuZE5vdGU+PENpdGU+PEF1dGhvcj5EJmFwb3M7QW1lbGlvPC9BdXRob3I+PFllYXI+MjAxMDwv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1B0A53">
        <w:rPr>
          <w:rFonts w:ascii="Arial" w:hAnsi="Arial" w:cs="Arial"/>
        </w:rPr>
      </w:r>
      <w:r w:rsidR="001B0A53">
        <w:rPr>
          <w:rFonts w:ascii="Arial" w:hAnsi="Arial" w:cs="Arial"/>
        </w:rPr>
        <w:fldChar w:fldCharType="separate"/>
      </w:r>
      <w:r w:rsidR="000D155C">
        <w:rPr>
          <w:rFonts w:ascii="Arial" w:hAnsi="Arial" w:cs="Arial"/>
          <w:noProof/>
        </w:rPr>
        <w:t>(</w:t>
      </w:r>
      <w:hyperlink w:anchor="_ENREF_440" w:tooltip="D'Amelio, 2010 #410" w:history="1">
        <w:r w:rsidR="003B725E">
          <w:rPr>
            <w:rFonts w:ascii="Arial" w:hAnsi="Arial" w:cs="Arial"/>
            <w:noProof/>
          </w:rPr>
          <w:t>440</w:t>
        </w:r>
      </w:hyperlink>
      <w:r w:rsidR="000D155C">
        <w:rPr>
          <w:rFonts w:ascii="Arial" w:hAnsi="Arial" w:cs="Arial"/>
          <w:noProof/>
        </w:rPr>
        <w:t>)</w:t>
      </w:r>
      <w:r w:rsidR="001B0A53">
        <w:rPr>
          <w:rFonts w:ascii="Arial" w:hAnsi="Arial" w:cs="Arial"/>
        </w:rPr>
        <w:fldChar w:fldCharType="end"/>
      </w:r>
      <w:r w:rsidR="001B0A53">
        <w:rPr>
          <w:rFonts w:ascii="Arial" w:hAnsi="Arial" w:cs="Arial"/>
        </w:rPr>
        <w:t>,</w:t>
      </w:r>
      <w:r w:rsidR="00000CAD">
        <w:rPr>
          <w:rFonts w:ascii="Arial" w:hAnsi="Arial" w:cs="Arial"/>
        </w:rPr>
        <w:t xml:space="preserve"> who also demonstrated </w:t>
      </w:r>
      <w:r w:rsidR="00771377">
        <w:rPr>
          <w:rFonts w:ascii="Arial" w:hAnsi="Arial" w:cs="Arial"/>
        </w:rPr>
        <w:t xml:space="preserve">that alendronate </w:t>
      </w:r>
      <w:r w:rsidR="00963B90">
        <w:rPr>
          <w:rFonts w:ascii="Arial" w:hAnsi="Arial" w:cs="Arial"/>
        </w:rPr>
        <w:t xml:space="preserve">significantly reduced </w:t>
      </w:r>
      <w:r w:rsidR="00771377">
        <w:rPr>
          <w:rFonts w:ascii="Arial" w:hAnsi="Arial" w:cs="Arial"/>
        </w:rPr>
        <w:t>CTX after 3 months of treatment but the reduction in osteoclast precursor cells occurred after 12 months. It may be therefore that the effect on osteoclast precursor cells occurs somewhere between 3 and 12 of treatment</w:t>
      </w:r>
      <w:r w:rsidR="004F2A3E">
        <w:rPr>
          <w:rFonts w:ascii="Arial" w:hAnsi="Arial" w:cs="Arial"/>
        </w:rPr>
        <w:t xml:space="preserve"> and this needs to be investigated.</w:t>
      </w:r>
      <w:r w:rsidR="00194A57">
        <w:rPr>
          <w:rFonts w:ascii="Arial" w:hAnsi="Arial" w:cs="Arial"/>
        </w:rPr>
        <w:t xml:space="preserve"> </w:t>
      </w:r>
    </w:p>
    <w:p w:rsidR="004B16D8" w:rsidRPr="00B13A60" w:rsidRDefault="00B13A60" w:rsidP="003E5C23">
      <w:pPr>
        <w:spacing w:line="360" w:lineRule="auto"/>
        <w:jc w:val="both"/>
        <w:rPr>
          <w:rFonts w:ascii="Arial" w:hAnsi="Arial" w:cs="Arial"/>
        </w:rPr>
      </w:pPr>
      <w:r>
        <w:rPr>
          <w:rFonts w:ascii="Arial" w:hAnsi="Arial" w:cs="Arial"/>
        </w:rPr>
        <w:t>There is no significant difference in t</w:t>
      </w:r>
      <w:r w:rsidR="004B16D8" w:rsidRPr="00B13A60">
        <w:rPr>
          <w:rFonts w:ascii="Arial" w:hAnsi="Arial" w:cs="Arial"/>
        </w:rPr>
        <w:t>he population of osteoclast precursor cells in postmenopausal osteoporosis before</w:t>
      </w:r>
      <w:r>
        <w:rPr>
          <w:rFonts w:ascii="Arial" w:hAnsi="Arial" w:cs="Arial"/>
        </w:rPr>
        <w:t xml:space="preserve"> treatment and premenopausal women. This is in contrast to what we see with levels of </w:t>
      </w:r>
      <w:r w:rsidR="004B16D8" w:rsidRPr="00B13A60">
        <w:rPr>
          <w:rFonts w:ascii="Arial" w:hAnsi="Arial" w:cs="Arial"/>
        </w:rPr>
        <w:t xml:space="preserve">bone turnover markers which are </w:t>
      </w:r>
      <w:r>
        <w:rPr>
          <w:rFonts w:ascii="Arial" w:hAnsi="Arial" w:cs="Arial"/>
        </w:rPr>
        <w:t xml:space="preserve">significantly </w:t>
      </w:r>
      <w:r w:rsidR="004B16D8" w:rsidRPr="00B13A60">
        <w:rPr>
          <w:rFonts w:ascii="Arial" w:hAnsi="Arial" w:cs="Arial"/>
        </w:rPr>
        <w:t>higher.  This supports that postmenopausal osteoporosis is a disease characterised by increased mature osteoclast activity, and suggests that there is no increased pre-osteoclast activity.</w:t>
      </w:r>
    </w:p>
    <w:p w:rsidR="00341C8C" w:rsidRDefault="00F923F7" w:rsidP="003B725E">
      <w:pPr>
        <w:spacing w:line="360" w:lineRule="auto"/>
        <w:jc w:val="both"/>
        <w:rPr>
          <w:rFonts w:ascii="Arial" w:hAnsi="Arial" w:cs="Arial"/>
        </w:rPr>
      </w:pPr>
      <w:r w:rsidRPr="00D975D5">
        <w:rPr>
          <w:rFonts w:ascii="Arial" w:hAnsi="Arial" w:cs="Arial"/>
        </w:rPr>
        <w:t>In vitro models RANKL an</w:t>
      </w:r>
      <w:r w:rsidR="00553823" w:rsidRPr="00D975D5">
        <w:rPr>
          <w:rFonts w:ascii="Arial" w:hAnsi="Arial" w:cs="Arial"/>
        </w:rPr>
        <w:t>d OPG have been shown to regulate</w:t>
      </w:r>
      <w:r w:rsidRPr="00D975D5">
        <w:rPr>
          <w:rFonts w:ascii="Arial" w:hAnsi="Arial" w:cs="Arial"/>
        </w:rPr>
        <w:t xml:space="preserve"> osteoclastogenesis. The reduction in the population of osteoclast precursor cells with bisphosphonate treatment</w:t>
      </w:r>
      <w:r w:rsidR="00B44F76" w:rsidRPr="00D975D5">
        <w:rPr>
          <w:rFonts w:ascii="Arial" w:hAnsi="Arial" w:cs="Arial"/>
        </w:rPr>
        <w:t xml:space="preserve"> may be mediated by circulating levels of RANKL. Previously, treatment with alendronate has demonstrated a decrease in RANKL and an increase in OPG expressions in marrow stromal cells. However,</w:t>
      </w:r>
      <w:r w:rsidR="00B8726D" w:rsidRPr="00D975D5">
        <w:rPr>
          <w:rFonts w:ascii="Arial" w:hAnsi="Arial" w:cs="Arial"/>
        </w:rPr>
        <w:t xml:space="preserve"> my data demonstrated that bisphosphonate treatments had no direct effect on circulating levels of RANKL and OPG. These findings are comparable to </w:t>
      </w:r>
      <w:r w:rsidR="003A322B" w:rsidRPr="00D975D5">
        <w:rPr>
          <w:rFonts w:ascii="Arial" w:hAnsi="Arial" w:cs="Arial"/>
        </w:rPr>
        <w:t>other clinical studies</w:t>
      </w:r>
      <w:r w:rsidR="0070100C" w:rsidRPr="00D975D5">
        <w:rPr>
          <w:rFonts w:ascii="Arial" w:hAnsi="Arial" w:cs="Arial"/>
        </w:rPr>
        <w:t xml:space="preserve"> </w:t>
      </w:r>
      <w:r w:rsidR="00EA2B5D">
        <w:rPr>
          <w:rFonts w:ascii="Arial" w:hAnsi="Arial" w:cs="Arial"/>
        </w:rPr>
        <w:fldChar w:fldCharType="begin">
          <w:fldData xml:space="preserve">PEVuZE5vdGU+PENpdGU+PEF1dGhvcj5BbmFzdGFzaWxha2lzPC9BdXRob3I+PFllYXI+MjAwODwv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PEVuZE5vdGU+PENpdGU+PEF1dGhvcj5BbmFzdGFzaWxha2lzPC9BdXRob3I+PFllYXI+MjAwODwv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EA2B5D">
        <w:rPr>
          <w:rFonts w:ascii="Arial" w:hAnsi="Arial" w:cs="Arial"/>
        </w:rPr>
      </w:r>
      <w:r w:rsidR="00EA2B5D">
        <w:rPr>
          <w:rFonts w:ascii="Arial" w:hAnsi="Arial" w:cs="Arial"/>
        </w:rPr>
        <w:fldChar w:fldCharType="separate"/>
      </w:r>
      <w:r w:rsidR="00066E61">
        <w:rPr>
          <w:rFonts w:ascii="Arial" w:hAnsi="Arial" w:cs="Arial"/>
          <w:noProof/>
        </w:rPr>
        <w:t>(</w:t>
      </w:r>
      <w:hyperlink w:anchor="_ENREF_450" w:tooltip="Anastasilakis, 2008 #236" w:history="1">
        <w:r w:rsidR="003B725E">
          <w:rPr>
            <w:rFonts w:ascii="Arial" w:hAnsi="Arial" w:cs="Arial"/>
            <w:noProof/>
          </w:rPr>
          <w:t>450</w:t>
        </w:r>
      </w:hyperlink>
      <w:r w:rsidR="00066E61">
        <w:rPr>
          <w:rFonts w:ascii="Arial" w:hAnsi="Arial" w:cs="Arial"/>
          <w:noProof/>
        </w:rPr>
        <w:t xml:space="preserve">, </w:t>
      </w:r>
      <w:hyperlink w:anchor="_ENREF_461" w:tooltip="Valleala, 2003 #237" w:history="1">
        <w:r w:rsidR="003B725E">
          <w:rPr>
            <w:rFonts w:ascii="Arial" w:hAnsi="Arial" w:cs="Arial"/>
            <w:noProof/>
          </w:rPr>
          <w:t>461-463</w:t>
        </w:r>
      </w:hyperlink>
      <w:r w:rsidR="00066E61">
        <w:rPr>
          <w:rFonts w:ascii="Arial" w:hAnsi="Arial" w:cs="Arial"/>
          <w:noProof/>
        </w:rPr>
        <w:t>)</w:t>
      </w:r>
      <w:r w:rsidR="00EA2B5D">
        <w:rPr>
          <w:rFonts w:ascii="Arial" w:hAnsi="Arial" w:cs="Arial"/>
        </w:rPr>
        <w:fldChar w:fldCharType="end"/>
      </w:r>
      <w:r w:rsidR="00534742" w:rsidRPr="00D975D5">
        <w:rPr>
          <w:rFonts w:ascii="Arial" w:hAnsi="Arial" w:cs="Arial"/>
        </w:rPr>
        <w:t xml:space="preserve"> </w:t>
      </w:r>
      <w:r w:rsidR="0070100C" w:rsidRPr="00D975D5">
        <w:rPr>
          <w:rFonts w:ascii="Arial" w:hAnsi="Arial" w:cs="Arial"/>
        </w:rPr>
        <w:t>and inconsistent with others</w:t>
      </w:r>
      <w:r w:rsidR="00EA2B5D">
        <w:rPr>
          <w:rFonts w:ascii="Arial" w:hAnsi="Arial" w:cs="Arial"/>
        </w:rPr>
        <w:t xml:space="preserve"> </w:t>
      </w:r>
      <w:r w:rsidR="00EA2B5D">
        <w:rPr>
          <w:rFonts w:ascii="Arial" w:hAnsi="Arial" w:cs="Arial"/>
        </w:rPr>
        <w:fldChar w:fldCharType="begin">
          <w:fldData xml:space="preserve">PEVuZE5vdGU+PENpdGU+PEF1dGhvcj5EdW5kYXI8L0F1dGhvcj48WWVhcj4yMDA5PC9ZZWFyPjxS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PC9hbHQtcGVyaW9kaWNhbD48cGFnZXM+MTQ3LTU0PC9wYWdlcz48dm9sdW1lPjE5PC92b2x1bWU+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PEVuZE5vdGU+PENpdGU+PEF1dGhvcj5EdW5kYXI8L0F1dGhvcj48WWVhcj4yMDA5PC9ZZWFyPjxS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L2Z1bGwtdGl0bGU+PGFiYnItMT5Kb3VybmFsIG9mIGJvbmUgYW5kIG1pbmVyYWwgcmVzZWFyY2gg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EA2B5D">
        <w:rPr>
          <w:rFonts w:ascii="Arial" w:hAnsi="Arial" w:cs="Arial"/>
        </w:rPr>
      </w:r>
      <w:r w:rsidR="00EA2B5D">
        <w:rPr>
          <w:rFonts w:ascii="Arial" w:hAnsi="Arial" w:cs="Arial"/>
        </w:rPr>
        <w:fldChar w:fldCharType="separate"/>
      </w:r>
      <w:r w:rsidR="00066E61">
        <w:rPr>
          <w:rFonts w:ascii="Arial" w:hAnsi="Arial" w:cs="Arial"/>
          <w:noProof/>
        </w:rPr>
        <w:t>(</w:t>
      </w:r>
      <w:hyperlink w:anchor="_ENREF_448" w:tooltip="Dundar, 2009 #239" w:history="1">
        <w:r w:rsidR="003B725E">
          <w:rPr>
            <w:rFonts w:ascii="Arial" w:hAnsi="Arial" w:cs="Arial"/>
            <w:noProof/>
          </w:rPr>
          <w:t>448</w:t>
        </w:r>
      </w:hyperlink>
      <w:r w:rsidR="00066E61">
        <w:rPr>
          <w:rFonts w:ascii="Arial" w:hAnsi="Arial" w:cs="Arial"/>
          <w:noProof/>
        </w:rPr>
        <w:t xml:space="preserve">, </w:t>
      </w:r>
      <w:hyperlink w:anchor="_ENREF_464" w:tooltip="Pan, 2004 #240" w:history="1">
        <w:r w:rsidR="003B725E">
          <w:rPr>
            <w:rFonts w:ascii="Arial" w:hAnsi="Arial" w:cs="Arial"/>
            <w:noProof/>
          </w:rPr>
          <w:t>464</w:t>
        </w:r>
      </w:hyperlink>
      <w:r w:rsidR="00066E61">
        <w:rPr>
          <w:rFonts w:ascii="Arial" w:hAnsi="Arial" w:cs="Arial"/>
          <w:noProof/>
        </w:rPr>
        <w:t>)</w:t>
      </w:r>
      <w:r w:rsidR="00EA2B5D">
        <w:rPr>
          <w:rFonts w:ascii="Arial" w:hAnsi="Arial" w:cs="Arial"/>
        </w:rPr>
        <w:fldChar w:fldCharType="end"/>
      </w:r>
      <w:r w:rsidR="00EA2B5D">
        <w:rPr>
          <w:rFonts w:ascii="Arial" w:hAnsi="Arial" w:cs="Arial"/>
        </w:rPr>
        <w:t xml:space="preserve">. </w:t>
      </w:r>
      <w:r w:rsidR="0070100C" w:rsidRPr="00D975D5">
        <w:rPr>
          <w:rFonts w:ascii="Arial" w:hAnsi="Arial" w:cs="Arial"/>
        </w:rPr>
        <w:t xml:space="preserve">Furthermore </w:t>
      </w:r>
      <w:r w:rsidR="00534742" w:rsidRPr="00D975D5">
        <w:rPr>
          <w:rFonts w:ascii="Arial" w:hAnsi="Arial" w:cs="Arial"/>
        </w:rPr>
        <w:t xml:space="preserve">and compared to this study at </w:t>
      </w:r>
      <w:r w:rsidRPr="00D975D5">
        <w:rPr>
          <w:rFonts w:ascii="Arial" w:hAnsi="Arial" w:cs="Arial"/>
        </w:rPr>
        <w:t>baseline</w:t>
      </w:r>
      <w:r w:rsidR="00534742" w:rsidRPr="00D975D5">
        <w:rPr>
          <w:rFonts w:ascii="Arial" w:hAnsi="Arial" w:cs="Arial"/>
        </w:rPr>
        <w:t xml:space="preserve">, </w:t>
      </w:r>
      <w:r w:rsidR="0070100C" w:rsidRPr="00D975D5">
        <w:rPr>
          <w:rFonts w:ascii="Arial" w:hAnsi="Arial" w:cs="Arial"/>
        </w:rPr>
        <w:t>the latter reported high</w:t>
      </w:r>
      <w:r w:rsidR="00534742" w:rsidRPr="00D975D5">
        <w:rPr>
          <w:rFonts w:ascii="Arial" w:hAnsi="Arial" w:cs="Arial"/>
        </w:rPr>
        <w:t xml:space="preserve">er levels of RANKL </w:t>
      </w:r>
      <w:r w:rsidR="0070100C" w:rsidRPr="00D975D5">
        <w:rPr>
          <w:rFonts w:ascii="Arial" w:hAnsi="Arial" w:cs="Arial"/>
        </w:rPr>
        <w:t xml:space="preserve">(1.7 pmol/l </w:t>
      </w:r>
      <w:r w:rsidR="00534742" w:rsidRPr="00D975D5">
        <w:rPr>
          <w:rFonts w:ascii="Arial" w:hAnsi="Arial" w:cs="Arial"/>
        </w:rPr>
        <w:t>versus</w:t>
      </w:r>
      <w:r w:rsidRPr="00D975D5">
        <w:rPr>
          <w:rFonts w:ascii="Arial" w:hAnsi="Arial" w:cs="Arial"/>
        </w:rPr>
        <w:t xml:space="preserve"> </w:t>
      </w:r>
      <w:r w:rsidR="00534742" w:rsidRPr="00D975D5">
        <w:rPr>
          <w:rFonts w:ascii="Arial" w:hAnsi="Arial" w:cs="Arial"/>
        </w:rPr>
        <w:t>0.07 pmol/l), this was using different ELISA’s and of OPG (8.1 pmol/l versus 5.2 pmol/l), this was using the same ELISA.</w:t>
      </w:r>
      <w:r w:rsidR="003A322B" w:rsidRPr="00D975D5">
        <w:rPr>
          <w:rFonts w:ascii="Arial" w:hAnsi="Arial" w:cs="Arial"/>
        </w:rPr>
        <w:t xml:space="preserve"> The discrepancies may be due to the different populations </w:t>
      </w:r>
      <w:r w:rsidR="006A2CEA">
        <w:rPr>
          <w:rFonts w:ascii="Arial" w:hAnsi="Arial" w:cs="Arial"/>
        </w:rPr>
        <w:t xml:space="preserve">and diseases </w:t>
      </w:r>
      <w:r w:rsidR="003A322B" w:rsidRPr="00D975D5">
        <w:rPr>
          <w:rFonts w:ascii="Arial" w:hAnsi="Arial" w:cs="Arial"/>
        </w:rPr>
        <w:t>studied and to the limitations of the ELISA’s themselves.</w:t>
      </w:r>
      <w:r w:rsidR="00D975D5" w:rsidRPr="00D975D5">
        <w:rPr>
          <w:rFonts w:ascii="Arial" w:hAnsi="Arial" w:cs="Arial"/>
        </w:rPr>
        <w:t xml:space="preserve"> </w:t>
      </w:r>
      <w:r w:rsidR="002F0929">
        <w:rPr>
          <w:rFonts w:ascii="Arial" w:hAnsi="Arial" w:cs="Arial"/>
        </w:rPr>
        <w:t>Also, i</w:t>
      </w:r>
      <w:r w:rsidR="00D975D5" w:rsidRPr="00D975D5">
        <w:rPr>
          <w:rFonts w:ascii="Arial" w:hAnsi="Arial" w:cs="Arial"/>
        </w:rPr>
        <w:t>t may be that the</w:t>
      </w:r>
      <w:r w:rsidR="003A322B" w:rsidRPr="00D975D5">
        <w:rPr>
          <w:rFonts w:ascii="Arial" w:hAnsi="Arial" w:cs="Arial"/>
        </w:rPr>
        <w:t xml:space="preserve"> RANKL ELISA </w:t>
      </w:r>
      <w:r w:rsidR="00D975D5" w:rsidRPr="00D975D5">
        <w:rPr>
          <w:rFonts w:ascii="Arial" w:hAnsi="Arial" w:cs="Arial"/>
        </w:rPr>
        <w:t>needs to be more</w:t>
      </w:r>
      <w:r w:rsidR="003A322B" w:rsidRPr="00D975D5">
        <w:rPr>
          <w:rFonts w:ascii="Arial" w:hAnsi="Arial" w:cs="Arial"/>
        </w:rPr>
        <w:t xml:space="preserve"> sensitive </w:t>
      </w:r>
      <w:r w:rsidR="00D975D5" w:rsidRPr="00D975D5">
        <w:rPr>
          <w:rFonts w:ascii="Arial" w:hAnsi="Arial" w:cs="Arial"/>
        </w:rPr>
        <w:t>in order</w:t>
      </w:r>
      <w:r w:rsidR="003A322B" w:rsidRPr="00D975D5">
        <w:rPr>
          <w:rFonts w:ascii="Arial" w:hAnsi="Arial" w:cs="Arial"/>
        </w:rPr>
        <w:t xml:space="preserve"> to detect levels of circulating RANKL in</w:t>
      </w:r>
      <w:r w:rsidRPr="00D975D5">
        <w:rPr>
          <w:rFonts w:ascii="Arial" w:hAnsi="Arial" w:cs="Arial"/>
        </w:rPr>
        <w:t xml:space="preserve"> postmenopausal women accurately</w:t>
      </w:r>
      <w:r w:rsidR="003A322B" w:rsidRPr="00D975D5">
        <w:rPr>
          <w:rFonts w:ascii="Arial" w:hAnsi="Arial" w:cs="Arial"/>
        </w:rPr>
        <w:t xml:space="preserve">. </w:t>
      </w:r>
    </w:p>
    <w:p w:rsidR="00AA5FF8" w:rsidRDefault="002F215A" w:rsidP="003E5C23">
      <w:pPr>
        <w:spacing w:line="360" w:lineRule="auto"/>
        <w:jc w:val="both"/>
        <w:rPr>
          <w:rFonts w:ascii="Arial" w:hAnsi="Arial" w:cs="Arial"/>
        </w:rPr>
      </w:pPr>
      <w:r>
        <w:rPr>
          <w:rFonts w:ascii="Arial" w:hAnsi="Arial" w:cs="Arial"/>
        </w:rPr>
        <w:t>In chapter 5 I have demonstrated that postmenopausal osteoporosis is characterised by increased bone turnover and a negative bone balance compare</w:t>
      </w:r>
      <w:r w:rsidR="008100CE">
        <w:rPr>
          <w:rFonts w:ascii="Arial" w:hAnsi="Arial" w:cs="Arial"/>
        </w:rPr>
        <w:t>d</w:t>
      </w:r>
      <w:r>
        <w:rPr>
          <w:rFonts w:ascii="Arial" w:hAnsi="Arial" w:cs="Arial"/>
        </w:rPr>
        <w:t xml:space="preserve"> to healthy premenopausal women. Importantly, I have suggested that this negative balance is </w:t>
      </w:r>
      <w:r>
        <w:rPr>
          <w:rFonts w:ascii="Arial" w:hAnsi="Arial" w:cs="Arial"/>
        </w:rPr>
        <w:lastRenderedPageBreak/>
        <w:t xml:space="preserve">related to </w:t>
      </w:r>
      <w:r w:rsidR="005F5AA9">
        <w:rPr>
          <w:rFonts w:ascii="Arial" w:hAnsi="Arial" w:cs="Arial"/>
        </w:rPr>
        <w:t>increased bone los</w:t>
      </w:r>
      <w:r w:rsidR="00FB6326">
        <w:rPr>
          <w:rFonts w:ascii="Arial" w:hAnsi="Arial" w:cs="Arial"/>
        </w:rPr>
        <w:t>s and fracture risk. Using the T</w:t>
      </w:r>
      <w:r w:rsidR="005F5AA9">
        <w:rPr>
          <w:rFonts w:ascii="Arial" w:hAnsi="Arial" w:cs="Arial"/>
        </w:rPr>
        <w:t>-score bone marker method</w:t>
      </w:r>
      <w:r w:rsidR="006876C7">
        <w:rPr>
          <w:rFonts w:ascii="Arial" w:hAnsi="Arial" w:cs="Arial"/>
        </w:rPr>
        <w:t>/plot</w:t>
      </w:r>
      <w:r w:rsidR="005F5AA9">
        <w:rPr>
          <w:rFonts w:ascii="Arial" w:hAnsi="Arial" w:cs="Arial"/>
        </w:rPr>
        <w:t xml:space="preserve"> </w:t>
      </w:r>
      <w:r w:rsidR="0038012E">
        <w:rPr>
          <w:rFonts w:ascii="Arial" w:hAnsi="Arial" w:cs="Arial"/>
        </w:rPr>
        <w:t>I have shown that t</w:t>
      </w:r>
      <w:r w:rsidR="005F5AA9">
        <w:rPr>
          <w:rFonts w:ascii="Arial" w:hAnsi="Arial" w:cs="Arial"/>
        </w:rPr>
        <w:t xml:space="preserve">reatment with bisphosphonates </w:t>
      </w:r>
      <w:r w:rsidR="0038012E">
        <w:rPr>
          <w:rFonts w:ascii="Arial" w:hAnsi="Arial" w:cs="Arial"/>
        </w:rPr>
        <w:t>reduces bone turnover after 1 week. In contrast, bone balance is increa</w:t>
      </w:r>
      <w:r w:rsidR="00832911">
        <w:rPr>
          <w:rFonts w:ascii="Arial" w:hAnsi="Arial" w:cs="Arial"/>
        </w:rPr>
        <w:t>sed, this is expected and</w:t>
      </w:r>
      <w:r w:rsidR="0038012E">
        <w:rPr>
          <w:rFonts w:ascii="Arial" w:hAnsi="Arial" w:cs="Arial"/>
        </w:rPr>
        <w:t xml:space="preserve"> is caused by bone formation remaining </w:t>
      </w:r>
      <w:r w:rsidR="005635EC">
        <w:rPr>
          <w:rFonts w:ascii="Arial" w:hAnsi="Arial" w:cs="Arial"/>
        </w:rPr>
        <w:t>consistently higher compared to bone resorption</w:t>
      </w:r>
      <w:r w:rsidR="0038012E">
        <w:rPr>
          <w:rFonts w:ascii="Arial" w:hAnsi="Arial" w:cs="Arial"/>
        </w:rPr>
        <w:t xml:space="preserve"> in the first 4 weeks of treatment. However, between weeks 48 and 96 </w:t>
      </w:r>
      <w:r w:rsidR="00FD61B6">
        <w:rPr>
          <w:rFonts w:ascii="Arial" w:hAnsi="Arial" w:cs="Arial"/>
        </w:rPr>
        <w:t xml:space="preserve">levels of </w:t>
      </w:r>
      <w:r w:rsidR="0038012E">
        <w:rPr>
          <w:rFonts w:ascii="Arial" w:hAnsi="Arial" w:cs="Arial"/>
        </w:rPr>
        <w:t>bone turnover remains constant</w:t>
      </w:r>
      <w:r w:rsidR="00FD61B6">
        <w:rPr>
          <w:rFonts w:ascii="Arial" w:hAnsi="Arial" w:cs="Arial"/>
        </w:rPr>
        <w:t>/steady</w:t>
      </w:r>
      <w:r w:rsidR="007F184B">
        <w:rPr>
          <w:rFonts w:ascii="Arial" w:hAnsi="Arial" w:cs="Arial"/>
        </w:rPr>
        <w:t xml:space="preserve"> (maximum suppression has be achieved)</w:t>
      </w:r>
      <w:r w:rsidR="0038012E">
        <w:rPr>
          <w:rFonts w:ascii="Arial" w:hAnsi="Arial" w:cs="Arial"/>
        </w:rPr>
        <w:t xml:space="preserve"> and bone balance remains </w:t>
      </w:r>
      <w:r w:rsidR="00E77FCB">
        <w:rPr>
          <w:rFonts w:ascii="Arial" w:hAnsi="Arial" w:cs="Arial"/>
        </w:rPr>
        <w:t>more positive compared to baseline. This sugge</w:t>
      </w:r>
      <w:r w:rsidR="002F2E95">
        <w:rPr>
          <w:rFonts w:ascii="Arial" w:hAnsi="Arial" w:cs="Arial"/>
        </w:rPr>
        <w:t>st</w:t>
      </w:r>
      <w:r w:rsidR="003A7B47">
        <w:rPr>
          <w:rFonts w:ascii="Arial" w:hAnsi="Arial" w:cs="Arial"/>
        </w:rPr>
        <w:t>s</w:t>
      </w:r>
      <w:r w:rsidR="002F2E95">
        <w:rPr>
          <w:rFonts w:ascii="Arial" w:hAnsi="Arial" w:cs="Arial"/>
        </w:rPr>
        <w:t xml:space="preserve"> that bisphosphonates maintains</w:t>
      </w:r>
      <w:r w:rsidR="00E77FCB">
        <w:rPr>
          <w:rFonts w:ascii="Arial" w:hAnsi="Arial" w:cs="Arial"/>
        </w:rPr>
        <w:t xml:space="preserve"> bone balance </w:t>
      </w:r>
      <w:r w:rsidR="008100CE">
        <w:rPr>
          <w:rFonts w:ascii="Arial" w:hAnsi="Arial" w:cs="Arial"/>
        </w:rPr>
        <w:t>(i.e. making</w:t>
      </w:r>
      <w:r w:rsidR="00E77FCB">
        <w:rPr>
          <w:rFonts w:ascii="Arial" w:hAnsi="Arial" w:cs="Arial"/>
        </w:rPr>
        <w:t xml:space="preserve"> it more positive). Therefore it may be this positive balance that is related to the reduction in fracture risk we observe with bisphosphonate treatments. This is a novel finding</w:t>
      </w:r>
      <w:r w:rsidR="005635EC">
        <w:rPr>
          <w:rFonts w:ascii="Arial" w:hAnsi="Arial" w:cs="Arial"/>
        </w:rPr>
        <w:t xml:space="preserve"> and adds</w:t>
      </w:r>
      <w:r w:rsidR="00E77FCB">
        <w:rPr>
          <w:rFonts w:ascii="Arial" w:hAnsi="Arial" w:cs="Arial"/>
        </w:rPr>
        <w:t xml:space="preserve"> to the current literature which is focused mainly on bone turnover and fracture risk</w:t>
      </w:r>
      <w:r w:rsidR="00E90BBF">
        <w:rPr>
          <w:rFonts w:ascii="Arial" w:hAnsi="Arial" w:cs="Arial"/>
        </w:rPr>
        <w:t xml:space="preserve"> (ref these).</w:t>
      </w:r>
    </w:p>
    <w:p w:rsidR="00B518DE" w:rsidRDefault="008100CE" w:rsidP="003B725E">
      <w:pPr>
        <w:spacing w:line="360" w:lineRule="auto"/>
        <w:jc w:val="both"/>
        <w:rPr>
          <w:rFonts w:ascii="Arial" w:hAnsi="Arial" w:cs="Arial"/>
        </w:rPr>
      </w:pPr>
      <w:r w:rsidRPr="008100CE">
        <w:rPr>
          <w:rFonts w:ascii="Arial" w:hAnsi="Arial" w:cs="Arial"/>
        </w:rPr>
        <w:t>Bisphosphonates have differing effects on turnover and balance.</w:t>
      </w:r>
      <w:r w:rsidR="00FD61B6">
        <w:rPr>
          <w:rFonts w:ascii="Arial" w:hAnsi="Arial" w:cs="Arial"/>
        </w:rPr>
        <w:t xml:space="preserve"> At the ‘steady state’</w:t>
      </w:r>
      <w:r w:rsidR="004048DE">
        <w:rPr>
          <w:rFonts w:ascii="Arial" w:hAnsi="Arial" w:cs="Arial"/>
        </w:rPr>
        <w:t xml:space="preserve"> of bone turnover</w:t>
      </w:r>
      <w:r w:rsidR="00DE662C">
        <w:rPr>
          <w:rFonts w:ascii="Arial" w:hAnsi="Arial" w:cs="Arial"/>
        </w:rPr>
        <w:t xml:space="preserve">, </w:t>
      </w:r>
      <w:r w:rsidR="00FD61B6">
        <w:rPr>
          <w:rFonts w:ascii="Arial" w:hAnsi="Arial" w:cs="Arial"/>
        </w:rPr>
        <w:t xml:space="preserve">treatment with alendronate </w:t>
      </w:r>
      <w:r w:rsidR="00DE662C">
        <w:rPr>
          <w:rFonts w:ascii="Arial" w:hAnsi="Arial" w:cs="Arial"/>
        </w:rPr>
        <w:t>makes bone balance</w:t>
      </w:r>
      <w:r w:rsidR="00FD61B6">
        <w:rPr>
          <w:rFonts w:ascii="Arial" w:hAnsi="Arial" w:cs="Arial"/>
        </w:rPr>
        <w:t xml:space="preserve"> </w:t>
      </w:r>
      <w:r w:rsidR="002F2E95">
        <w:rPr>
          <w:rFonts w:ascii="Arial" w:hAnsi="Arial" w:cs="Arial"/>
        </w:rPr>
        <w:t xml:space="preserve">more </w:t>
      </w:r>
      <w:r w:rsidR="00FD61B6">
        <w:rPr>
          <w:rFonts w:ascii="Arial" w:hAnsi="Arial" w:cs="Arial"/>
        </w:rPr>
        <w:t>positive compared to prior to treatment and to premenopausal women, whereas it remains unchanged with ibandronate and risedrona</w:t>
      </w:r>
      <w:r w:rsidR="003A7B47">
        <w:rPr>
          <w:rFonts w:ascii="Arial" w:hAnsi="Arial" w:cs="Arial"/>
        </w:rPr>
        <w:t>te. This in itself an interesting</w:t>
      </w:r>
      <w:r w:rsidR="00FD61B6">
        <w:rPr>
          <w:rFonts w:ascii="Arial" w:hAnsi="Arial" w:cs="Arial"/>
        </w:rPr>
        <w:t xml:space="preserve"> finding but in support of this is another finding  from TRIO study which demonstrated that with alendronate treatment BMD at the total hip is increased by the highest magnitude from baseline compared to ibandronate and risedronate</w:t>
      </w:r>
      <w:r w:rsidR="0006093A">
        <w:rPr>
          <w:rFonts w:ascii="Arial" w:hAnsi="Arial" w:cs="Arial"/>
        </w:rPr>
        <w:t xml:space="preserve"> (2.6%, 2.1% and 1.2% respectively)</w:t>
      </w:r>
      <w:r w:rsidR="00FD61B6">
        <w:rPr>
          <w:rFonts w:ascii="Arial" w:hAnsi="Arial" w:cs="Arial"/>
        </w:rPr>
        <w:t xml:space="preserve">, </w:t>
      </w:r>
      <w:r w:rsidR="00406169">
        <w:rPr>
          <w:rFonts w:ascii="Arial" w:hAnsi="Arial" w:cs="Arial"/>
        </w:rPr>
        <w:fldChar w:fldCharType="begin"/>
      </w:r>
      <w:r w:rsidR="00B64C0F">
        <w:rPr>
          <w:rFonts w:ascii="Arial" w:hAnsi="Arial" w:cs="Arial"/>
        </w:rPr>
        <w:instrText xml:space="preserve"> ADDIN EN.CITE &lt;EndNote&gt;&lt;Cite&gt;&lt;Author&gt;Paggiosi&lt;/Author&gt;&lt;Year&gt;2014&lt;/Year&gt;&lt;RecNum&gt;364&lt;/RecNum&gt;&lt;DisplayText&gt;(342)&lt;/DisplayText&gt;&lt;record&gt;&lt;rec-number&gt;364&lt;/rec-number&gt;&lt;foreign-keys&gt;&lt;key app="EN" db-id="p9a5ttsvyvde9me5aw2x05fp5p55axf0wr90" timestamp="1435333080"&gt;364&lt;/key&gt;&lt;/foreign-keys&gt;&lt;ref-type name="Journal Article"&gt;17&lt;/ref-type&gt;&lt;contributors&gt;&lt;authors&gt;&lt;author&gt;Paggiosi, M. A.&lt;/author&gt;&lt;author&gt;Peel, N.&lt;/author&gt;&lt;author&gt;McCloskey, E.&lt;/author&gt;&lt;author&gt;Walsh, J. S.&lt;/author&gt;&lt;author&gt;Eastell, R.&lt;/author&gt;&lt;/authors&gt;&lt;/contributors&gt;&lt;auth-address&gt;Academic Unit of Bone Metabolism, The Mellanby Centre for Bone Research, The University of Sheffield, South Yorkshire, UK, m.a.paggiosi@sheffield.ac.uk.&lt;/auth-address&gt;&lt;titles&gt;&lt;title&gt;Comparison of the effects of three oral bisphosphonate therapies on the peripheral skeleton in postmenopausal osteoporosis: the TRIO study&lt;/title&gt;&lt;secondary-title&gt;Osteoporos Int&lt;/secondary-title&gt;&lt;/titles&gt;&lt;periodical&gt;&lt;full-title&gt;Osteoporos Int&lt;/full-title&gt;&lt;abbr-1&gt;Osteoporosis international : a journal established as result of cooperation between the European Foundation for Osteoporosis and the National Osteoporosis Foundation of the USA&lt;/abbr-1&gt;&lt;/periodical&gt;&lt;pages&gt;2729-41&lt;/pages&gt;&lt;volume&gt;25&lt;/volume&gt;&lt;number&gt;12&lt;/number&gt;&lt;edition&gt;2014/07/31&lt;/edition&gt;&lt;dates&gt;&lt;year&gt;2014&lt;/year&gt;&lt;pub-dates&gt;&lt;date&gt;Dec&lt;/date&gt;&lt;/pub-dates&gt;&lt;/dates&gt;&lt;isbn&gt;1433-2965 (Electronic)&amp;#xD;0937-941X (Linking)&lt;/isbn&gt;&lt;accession-num&gt;25074351&lt;/accession-num&gt;&lt;urls&gt;&lt;/urls&gt;&lt;electronic-resource-num&gt;10.1007/s00198-014-2817-z&lt;/electronic-resource-num&gt;&lt;remote-database-provider&gt;NLM&lt;/remote-database-provider&gt;&lt;language&gt;eng&lt;/language&gt;&lt;/record&gt;&lt;/Cite&gt;&lt;/EndNote&gt;</w:instrText>
      </w:r>
      <w:r w:rsidR="00406169">
        <w:rPr>
          <w:rFonts w:ascii="Arial" w:hAnsi="Arial" w:cs="Arial"/>
        </w:rPr>
        <w:fldChar w:fldCharType="separate"/>
      </w:r>
      <w:r w:rsidR="00B64C0F">
        <w:rPr>
          <w:rFonts w:ascii="Arial" w:hAnsi="Arial" w:cs="Arial"/>
          <w:noProof/>
        </w:rPr>
        <w:t>(</w:t>
      </w:r>
      <w:hyperlink w:anchor="_ENREF_342" w:tooltip="Paggiosi, 2014 #364" w:history="1">
        <w:r w:rsidR="003B725E">
          <w:rPr>
            <w:rFonts w:ascii="Arial" w:hAnsi="Arial" w:cs="Arial"/>
            <w:noProof/>
          </w:rPr>
          <w:t>342</w:t>
        </w:r>
      </w:hyperlink>
      <w:r w:rsidR="00B64C0F">
        <w:rPr>
          <w:rFonts w:ascii="Arial" w:hAnsi="Arial" w:cs="Arial"/>
          <w:noProof/>
        </w:rPr>
        <w:t>)</w:t>
      </w:r>
      <w:r w:rsidR="00406169">
        <w:rPr>
          <w:rFonts w:ascii="Arial" w:hAnsi="Arial" w:cs="Arial"/>
        </w:rPr>
        <w:fldChar w:fldCharType="end"/>
      </w:r>
      <w:r w:rsidR="00DE662C">
        <w:rPr>
          <w:rFonts w:ascii="Arial" w:hAnsi="Arial" w:cs="Arial"/>
        </w:rPr>
        <w:t xml:space="preserve"> </w:t>
      </w:r>
      <w:r w:rsidR="00FD61B6">
        <w:rPr>
          <w:rFonts w:ascii="Arial" w:hAnsi="Arial" w:cs="Arial"/>
        </w:rPr>
        <w:t>(Fi</w:t>
      </w:r>
      <w:r w:rsidR="003F0A8B">
        <w:rPr>
          <w:rFonts w:ascii="Arial" w:hAnsi="Arial" w:cs="Arial"/>
        </w:rPr>
        <w:t>gure 68</w:t>
      </w:r>
      <w:r w:rsidR="00FD61B6">
        <w:rPr>
          <w:rFonts w:ascii="Arial" w:hAnsi="Arial" w:cs="Arial"/>
        </w:rPr>
        <w:t xml:space="preserve">). </w:t>
      </w:r>
      <w:r w:rsidR="00DE662C">
        <w:rPr>
          <w:rFonts w:ascii="Arial" w:hAnsi="Arial" w:cs="Arial"/>
        </w:rPr>
        <w:t>This finding is consisten</w:t>
      </w:r>
      <w:r w:rsidR="003A7B47">
        <w:rPr>
          <w:rFonts w:ascii="Arial" w:hAnsi="Arial" w:cs="Arial"/>
        </w:rPr>
        <w:t>t with another finding</w:t>
      </w:r>
      <w:r w:rsidR="0006093A">
        <w:rPr>
          <w:rFonts w:ascii="Arial" w:hAnsi="Arial" w:cs="Arial"/>
        </w:rPr>
        <w:t>.</w:t>
      </w:r>
      <w:r w:rsidR="00DE662C">
        <w:rPr>
          <w:rFonts w:ascii="Arial" w:hAnsi="Arial" w:cs="Arial"/>
        </w:rPr>
        <w:t xml:space="preserve"> </w:t>
      </w:r>
      <w:r w:rsidR="0006093A">
        <w:rPr>
          <w:rFonts w:ascii="Arial" w:hAnsi="Arial" w:cs="Arial"/>
        </w:rPr>
        <w:t>In</w:t>
      </w:r>
      <w:r w:rsidR="00DE662C">
        <w:rPr>
          <w:rFonts w:ascii="Arial" w:hAnsi="Arial" w:cs="Arial"/>
        </w:rPr>
        <w:t xml:space="preserve"> the FACT study</w:t>
      </w:r>
      <w:r w:rsidR="003A7B47">
        <w:rPr>
          <w:rFonts w:ascii="Arial" w:hAnsi="Arial" w:cs="Arial"/>
        </w:rPr>
        <w:t>,</w:t>
      </w:r>
      <w:r w:rsidR="00DE662C">
        <w:rPr>
          <w:rFonts w:ascii="Arial" w:hAnsi="Arial" w:cs="Arial"/>
        </w:rPr>
        <w:t xml:space="preserve"> </w:t>
      </w:r>
      <w:r w:rsidR="0006093A">
        <w:rPr>
          <w:rFonts w:ascii="Arial" w:hAnsi="Arial" w:cs="Arial"/>
        </w:rPr>
        <w:t xml:space="preserve">which compared the effects of alendronate and risedronate on BMD </w:t>
      </w:r>
      <w:r w:rsidR="005140BF">
        <w:rPr>
          <w:rFonts w:ascii="Arial" w:hAnsi="Arial" w:cs="Arial"/>
        </w:rPr>
        <w:t xml:space="preserve">at the total hip, </w:t>
      </w:r>
      <w:r w:rsidR="0006093A">
        <w:rPr>
          <w:rFonts w:ascii="Arial" w:hAnsi="Arial" w:cs="Arial"/>
        </w:rPr>
        <w:t xml:space="preserve">the response was greater at 1 year with alendronate (2.2% versus 1.2%). </w:t>
      </w:r>
      <w:r w:rsidR="006A6CAB">
        <w:rPr>
          <w:rFonts w:ascii="Arial" w:hAnsi="Arial" w:cs="Arial"/>
        </w:rPr>
        <w:t>Using this information and along with my findings from chapter 5</w:t>
      </w:r>
      <w:r w:rsidR="00DE662C">
        <w:rPr>
          <w:rFonts w:ascii="Arial" w:hAnsi="Arial" w:cs="Arial"/>
        </w:rPr>
        <w:t xml:space="preserve"> and 6</w:t>
      </w:r>
      <w:r w:rsidR="006A6CAB">
        <w:rPr>
          <w:rFonts w:ascii="Arial" w:hAnsi="Arial" w:cs="Arial"/>
        </w:rPr>
        <w:t xml:space="preserve"> it is conceivable to conclude that treatment with alendronate reduces bone </w:t>
      </w:r>
      <w:r w:rsidR="00DE662C">
        <w:rPr>
          <w:rFonts w:ascii="Arial" w:hAnsi="Arial" w:cs="Arial"/>
        </w:rPr>
        <w:t>turnover and also</w:t>
      </w:r>
      <w:r w:rsidR="006A6CAB">
        <w:rPr>
          <w:rFonts w:ascii="Arial" w:hAnsi="Arial" w:cs="Arial"/>
        </w:rPr>
        <w:t xml:space="preserve"> improves</w:t>
      </w:r>
      <w:r w:rsidR="00DE662C">
        <w:rPr>
          <w:rFonts w:ascii="Arial" w:hAnsi="Arial" w:cs="Arial"/>
        </w:rPr>
        <w:t xml:space="preserve"> bone balance. The latter may be</w:t>
      </w:r>
      <w:r w:rsidR="006A6CAB">
        <w:rPr>
          <w:rFonts w:ascii="Arial" w:hAnsi="Arial" w:cs="Arial"/>
        </w:rPr>
        <w:t xml:space="preserve"> related to the reduced bone loss at the total hip and the reduction in fracture risk. </w:t>
      </w:r>
    </w:p>
    <w:p w:rsidR="00DD3A91" w:rsidRDefault="00D54BCF" w:rsidP="00406169">
      <w:pPr>
        <w:keepNext/>
        <w:spacing w:line="360" w:lineRule="auto"/>
        <w:jc w:val="center"/>
      </w:pPr>
      <w:r w:rsidRPr="00D54BCF">
        <w:rPr>
          <w:noProof/>
          <w:lang w:eastAsia="zh-CN"/>
        </w:rPr>
        <w:drawing>
          <wp:inline distT="0" distB="0" distL="0" distR="0" wp14:anchorId="2C097FD8" wp14:editId="037A3C4B">
            <wp:extent cx="3457575" cy="2416091"/>
            <wp:effectExtent l="0" t="0" r="0" b="3810"/>
            <wp:docPr id="18782" name="Picture 1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466573" cy="2422378"/>
                    </a:xfrm>
                    <a:prstGeom prst="rect">
                      <a:avLst/>
                    </a:prstGeom>
                    <a:noFill/>
                    <a:ln>
                      <a:noFill/>
                    </a:ln>
                  </pic:spPr>
                </pic:pic>
              </a:graphicData>
            </a:graphic>
          </wp:inline>
        </w:drawing>
      </w:r>
    </w:p>
    <w:p w:rsidR="00E90BBF" w:rsidRPr="008100CE" w:rsidRDefault="00DD3A91" w:rsidP="003E5C23">
      <w:pPr>
        <w:pStyle w:val="Caption"/>
        <w:jc w:val="both"/>
        <w:rPr>
          <w:rFonts w:ascii="Arial" w:hAnsi="Arial" w:cs="Arial"/>
          <w:b w:val="0"/>
        </w:rPr>
      </w:pPr>
      <w:bookmarkStart w:id="227" w:name="_Toc425419551"/>
      <w:r w:rsidRPr="00DD3A91">
        <w:rPr>
          <w:rFonts w:ascii="Arial" w:hAnsi="Arial" w:cs="Arial"/>
          <w:b w:val="0"/>
          <w:color w:val="auto"/>
        </w:rPr>
        <w:t xml:space="preserve">Figure </w:t>
      </w:r>
      <w:r w:rsidRPr="00DD3A91">
        <w:rPr>
          <w:rFonts w:ascii="Arial" w:hAnsi="Arial" w:cs="Arial"/>
          <w:b w:val="0"/>
          <w:color w:val="auto"/>
        </w:rPr>
        <w:fldChar w:fldCharType="begin"/>
      </w:r>
      <w:r w:rsidRPr="00DD3A91">
        <w:rPr>
          <w:rFonts w:ascii="Arial" w:hAnsi="Arial" w:cs="Arial"/>
          <w:b w:val="0"/>
          <w:color w:val="auto"/>
        </w:rPr>
        <w:instrText xml:space="preserve"> SEQ Figure \* ARABIC </w:instrText>
      </w:r>
      <w:r w:rsidRPr="00DD3A91">
        <w:rPr>
          <w:rFonts w:ascii="Arial" w:hAnsi="Arial" w:cs="Arial"/>
          <w:b w:val="0"/>
          <w:color w:val="auto"/>
        </w:rPr>
        <w:fldChar w:fldCharType="separate"/>
      </w:r>
      <w:r w:rsidR="0040369A">
        <w:rPr>
          <w:rFonts w:ascii="Arial" w:hAnsi="Arial" w:cs="Arial"/>
          <w:b w:val="0"/>
          <w:noProof/>
          <w:color w:val="auto"/>
        </w:rPr>
        <w:t>62</w:t>
      </w:r>
      <w:r w:rsidRPr="00DD3A91">
        <w:rPr>
          <w:rFonts w:ascii="Arial" w:hAnsi="Arial" w:cs="Arial"/>
          <w:b w:val="0"/>
          <w:color w:val="auto"/>
        </w:rPr>
        <w:fldChar w:fldCharType="end"/>
      </w:r>
      <w:r w:rsidRPr="00DD3A91">
        <w:rPr>
          <w:rFonts w:ascii="Arial" w:hAnsi="Arial" w:cs="Arial"/>
          <w:b w:val="0"/>
          <w:color w:val="auto"/>
        </w:rPr>
        <w:t xml:space="preserve"> DXA </w:t>
      </w:r>
      <w:r w:rsidR="00C273D9">
        <w:rPr>
          <w:rFonts w:ascii="Arial" w:hAnsi="Arial" w:cs="Arial"/>
          <w:b w:val="0"/>
          <w:color w:val="auto"/>
        </w:rPr>
        <w:t xml:space="preserve">of </w:t>
      </w:r>
      <w:r w:rsidR="00DE662C">
        <w:rPr>
          <w:rFonts w:ascii="Arial" w:hAnsi="Arial" w:cs="Arial"/>
          <w:b w:val="0"/>
          <w:color w:val="auto"/>
        </w:rPr>
        <w:t xml:space="preserve">total </w:t>
      </w:r>
      <w:r w:rsidRPr="00DD3A91">
        <w:rPr>
          <w:rFonts w:ascii="Arial" w:hAnsi="Arial" w:cs="Arial"/>
          <w:b w:val="0"/>
          <w:color w:val="auto"/>
        </w:rPr>
        <w:t>BMD</w:t>
      </w:r>
      <w:r w:rsidR="00DE662C">
        <w:rPr>
          <w:rFonts w:ascii="Arial" w:hAnsi="Arial" w:cs="Arial"/>
          <w:b w:val="0"/>
          <w:color w:val="auto"/>
        </w:rPr>
        <w:t xml:space="preserve"> measured using a Discovery </w:t>
      </w:r>
      <w:proofErr w:type="gramStart"/>
      <w:r w:rsidR="00DE662C">
        <w:rPr>
          <w:rFonts w:ascii="Arial" w:hAnsi="Arial" w:cs="Arial"/>
          <w:b w:val="0"/>
          <w:color w:val="auto"/>
        </w:rPr>
        <w:t>A</w:t>
      </w:r>
      <w:proofErr w:type="gramEnd"/>
      <w:r w:rsidR="00DE662C">
        <w:rPr>
          <w:rFonts w:ascii="Arial" w:hAnsi="Arial" w:cs="Arial"/>
          <w:b w:val="0"/>
          <w:color w:val="auto"/>
        </w:rPr>
        <w:t xml:space="preserve"> densitometer (Hologic Inc, Waltham, MA)</w:t>
      </w:r>
      <w:r w:rsidR="003A7B47">
        <w:rPr>
          <w:rFonts w:ascii="Arial" w:hAnsi="Arial" w:cs="Arial"/>
          <w:b w:val="0"/>
          <w:color w:val="auto"/>
        </w:rPr>
        <w:t>: Mean percentage c</w:t>
      </w:r>
      <w:r w:rsidRPr="00DD3A91">
        <w:rPr>
          <w:rFonts w:ascii="Arial" w:hAnsi="Arial" w:cs="Arial"/>
          <w:b w:val="0"/>
          <w:color w:val="auto"/>
        </w:rPr>
        <w:t xml:space="preserve">hange </w:t>
      </w:r>
      <w:r w:rsidR="003A7B47">
        <w:rPr>
          <w:rFonts w:ascii="Arial" w:hAnsi="Arial" w:cs="Arial"/>
          <w:b w:val="0"/>
          <w:color w:val="auto"/>
        </w:rPr>
        <w:t>and standard error of the mean from b</w:t>
      </w:r>
      <w:r w:rsidRPr="00DD3A91">
        <w:rPr>
          <w:rFonts w:ascii="Arial" w:hAnsi="Arial" w:cs="Arial"/>
          <w:b w:val="0"/>
          <w:color w:val="auto"/>
        </w:rPr>
        <w:t>aseline</w:t>
      </w:r>
      <w:r w:rsidR="00B518DE">
        <w:rPr>
          <w:rFonts w:ascii="Arial" w:hAnsi="Arial" w:cs="Arial"/>
          <w:b w:val="0"/>
          <w:color w:val="auto"/>
        </w:rPr>
        <w:t xml:space="preserve"> in postmenopausal women receiving </w:t>
      </w:r>
      <w:r w:rsidR="008100CE">
        <w:rPr>
          <w:rFonts w:ascii="Arial" w:hAnsi="Arial" w:cs="Arial"/>
          <w:b w:val="0"/>
          <w:color w:val="auto"/>
        </w:rPr>
        <w:t>Ibandronate</w:t>
      </w:r>
      <w:r w:rsidR="002E2A6A">
        <w:rPr>
          <w:rFonts w:ascii="Arial" w:hAnsi="Arial" w:cs="Arial"/>
          <w:b w:val="0"/>
          <w:color w:val="auto"/>
        </w:rPr>
        <w:t>, alendronate and risedronate and premenopausal women</w:t>
      </w:r>
      <w:r w:rsidR="00B518DE">
        <w:rPr>
          <w:rFonts w:ascii="Arial" w:hAnsi="Arial" w:cs="Arial"/>
          <w:b w:val="0"/>
          <w:color w:val="auto"/>
        </w:rPr>
        <w:t>.</w:t>
      </w:r>
      <w:r w:rsidR="003A7B47" w:rsidRPr="003A7B47">
        <w:rPr>
          <w:rFonts w:ascii="Arial" w:hAnsi="Arial" w:cs="Arial"/>
          <w:b w:val="0"/>
          <w:color w:val="FF0000"/>
        </w:rPr>
        <w:t xml:space="preserve"> </w:t>
      </w:r>
      <w:r w:rsidR="00EB6204" w:rsidRPr="00EB6204">
        <w:rPr>
          <w:rFonts w:ascii="Arial" w:hAnsi="Arial" w:cs="Arial"/>
          <w:b w:val="0"/>
          <w:color w:val="000000" w:themeColor="text1"/>
        </w:rPr>
        <w:t>Copy right (2015), with permission from Springer.</w:t>
      </w:r>
      <w:bookmarkEnd w:id="227"/>
    </w:p>
    <w:p w:rsidR="009A637F" w:rsidRDefault="009A637F" w:rsidP="003B725E">
      <w:pPr>
        <w:spacing w:line="360" w:lineRule="auto"/>
        <w:jc w:val="both"/>
        <w:rPr>
          <w:rFonts w:ascii="Arial" w:hAnsi="Arial" w:cs="Arial"/>
        </w:rPr>
      </w:pPr>
      <w:r>
        <w:rPr>
          <w:rFonts w:ascii="Arial" w:hAnsi="Arial" w:cs="Arial"/>
        </w:rPr>
        <w:lastRenderedPageBreak/>
        <w:t>Also, the data in this chapter shows that circulating levels of sclerostin are lower in women with postmenopausal osteoporosis compare</w:t>
      </w:r>
      <w:r w:rsidR="00CC5283">
        <w:rPr>
          <w:rFonts w:ascii="Arial" w:hAnsi="Arial" w:cs="Arial"/>
        </w:rPr>
        <w:t>d</w:t>
      </w:r>
      <w:r>
        <w:rPr>
          <w:rFonts w:ascii="Arial" w:hAnsi="Arial" w:cs="Arial"/>
        </w:rPr>
        <w:t xml:space="preserve"> to premenopausal women. This finding is comparable with others</w:t>
      </w:r>
      <w:r w:rsidR="00FB6326">
        <w:rPr>
          <w:rFonts w:ascii="Arial" w:hAnsi="Arial" w:cs="Arial"/>
        </w:rPr>
        <w:t xml:space="preserve"> </w:t>
      </w:r>
      <w:r w:rsidR="00FB6326">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FB6326">
        <w:rPr>
          <w:rFonts w:ascii="Arial" w:hAnsi="Arial" w:cs="Arial"/>
        </w:rPr>
      </w:r>
      <w:r w:rsidR="00FB6326">
        <w:rPr>
          <w:rFonts w:ascii="Arial" w:hAnsi="Arial" w:cs="Arial"/>
        </w:rPr>
        <w:fldChar w:fldCharType="separate"/>
      </w:r>
      <w:r w:rsidR="000D155C">
        <w:rPr>
          <w:rFonts w:ascii="Arial" w:hAnsi="Arial" w:cs="Arial"/>
          <w:noProof/>
        </w:rPr>
        <w:t>(</w:t>
      </w:r>
      <w:hyperlink w:anchor="_ENREF_457" w:tooltip="Polyzos, 2012 #252" w:history="1">
        <w:r w:rsidR="003B725E">
          <w:rPr>
            <w:rFonts w:ascii="Arial" w:hAnsi="Arial" w:cs="Arial"/>
            <w:noProof/>
          </w:rPr>
          <w:t>457</w:t>
        </w:r>
      </w:hyperlink>
      <w:r w:rsidR="000D155C">
        <w:rPr>
          <w:rFonts w:ascii="Arial" w:hAnsi="Arial" w:cs="Arial"/>
          <w:noProof/>
        </w:rPr>
        <w:t>)</w:t>
      </w:r>
      <w:r w:rsidR="00FB6326">
        <w:rPr>
          <w:rFonts w:ascii="Arial" w:hAnsi="Arial" w:cs="Arial"/>
        </w:rPr>
        <w:fldChar w:fldCharType="end"/>
      </w:r>
      <w:r w:rsidR="00B714B0">
        <w:rPr>
          <w:rFonts w:ascii="Arial" w:hAnsi="Arial" w:cs="Arial"/>
        </w:rPr>
        <w:t xml:space="preserve"> and</w:t>
      </w:r>
      <w:r w:rsidR="00446AAC">
        <w:rPr>
          <w:rFonts w:ascii="Arial" w:hAnsi="Arial" w:cs="Arial"/>
        </w:rPr>
        <w:t xml:space="preserve"> it</w:t>
      </w:r>
      <w:r w:rsidR="00B714B0">
        <w:rPr>
          <w:rFonts w:ascii="Arial" w:hAnsi="Arial" w:cs="Arial"/>
        </w:rPr>
        <w:t xml:space="preserve"> is associated with the reduction in estrogen</w:t>
      </w:r>
      <w:r w:rsidR="00FB6326">
        <w:rPr>
          <w:rFonts w:ascii="Arial" w:hAnsi="Arial" w:cs="Arial"/>
        </w:rPr>
        <w:t xml:space="preserve"> </w:t>
      </w:r>
      <w:r w:rsidR="00FB6326">
        <w:rPr>
          <w:rFonts w:ascii="Arial" w:hAnsi="Arial" w:cs="Arial"/>
        </w:rPr>
        <w:fldChar w:fldCharType="begin">
          <w:fldData xml:space="preserve">PEVuZE5vdGU+PENpdGU+PEF1dGhvcj5Nb2RkZXI8L0F1dGhvcj48WWVhcj4yMDExPC9ZZWFyPjxS
ZWNOdW0+MjU1PC9SZWNOdW0+PERpc3BsYXlUZXh0PigzMjIpPC9EaXNwbGF5VGV4dD48cmVjb3Jk
PjxyZWMtbnVtYmVyPjI1NTwvcmVjLW51bWJlcj48Zm9yZWlnbi1rZXlzPjxrZXkgYXBwPSJFTiIg
ZGItaWQ9InA5YTV0dHN2eXZkZTltZTVhdzJ4MDVmcDVwNTVheGYwd3I5MCIgdGltZXN0YW1wPSIx
NDI3NDYxMTIzIj4yNTU8L2tleT48L2ZvcmVpZ24ta2V5cz48cmVmLXR5cGUgbmFtZT0iSm91cm5h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ZXNlYXJjaDwvYWJici0xPjwvYWx0LXBlcmlvZGljYWw+PHBhZ2VzPjI3LTM0PC9wYWdlcz48dm9s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PEVuZE5vdGU+PENpdGU+PEF1dGhvcj5Nb2RkZXI8L0F1dGhvcj48WWVhcj4yMDExPC9ZZWFyPjxS
ZWNOdW0+MjU1PC9SZWNOdW0+PERpc3BsYXlUZXh0PigzMjIpPC9EaXNwbGF5VGV4dD48cmVjb3Jk
PjxyZWMtbnVtYmVyPjI1NTwvcmVjLW51bWJlcj48Zm9yZWlnbi1rZXlzPjxrZXkgYXBwPSJFTiIg
ZGItaWQ9InA5YTV0dHN2eXZkZTltZTVhdzJ4MDVmcDVwNTVheGYwd3I5MCIgdGltZXN0YW1wPSIx
NDI3NDYxMTIzIj4yNTU8L2tleT48L2ZvcmVpZ24ta2V5cz48cmVmLXR5cGUgbmFtZT0iSm91cm5h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ZXNlYXJjaDwvYWJici0xPjwvYWx0LXBlcmlvZGljYWw+PHBhZ2VzPjI3LTM0PC9wYWdlcz48dm9s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FB6326">
        <w:rPr>
          <w:rFonts w:ascii="Arial" w:hAnsi="Arial" w:cs="Arial"/>
        </w:rPr>
      </w:r>
      <w:r w:rsidR="00FB6326">
        <w:rPr>
          <w:rFonts w:ascii="Arial" w:hAnsi="Arial" w:cs="Arial"/>
        </w:rPr>
        <w:fldChar w:fldCharType="separate"/>
      </w:r>
      <w:r w:rsidR="00B64C0F">
        <w:rPr>
          <w:rFonts w:ascii="Arial" w:hAnsi="Arial" w:cs="Arial"/>
          <w:noProof/>
        </w:rPr>
        <w:t>(</w:t>
      </w:r>
      <w:hyperlink w:anchor="_ENREF_322" w:tooltip="Modder, 2011 #450" w:history="1">
        <w:r w:rsidR="003B725E">
          <w:rPr>
            <w:rFonts w:ascii="Arial" w:hAnsi="Arial" w:cs="Arial"/>
            <w:noProof/>
          </w:rPr>
          <w:t>322</w:t>
        </w:r>
      </w:hyperlink>
      <w:r w:rsidR="00B64C0F">
        <w:rPr>
          <w:rFonts w:ascii="Arial" w:hAnsi="Arial" w:cs="Arial"/>
          <w:noProof/>
        </w:rPr>
        <w:t>)</w:t>
      </w:r>
      <w:r w:rsidR="00FB6326">
        <w:rPr>
          <w:rFonts w:ascii="Arial" w:hAnsi="Arial" w:cs="Arial"/>
        </w:rPr>
        <w:fldChar w:fldCharType="end"/>
      </w:r>
    </w:p>
    <w:p w:rsidR="00106829" w:rsidRDefault="007B3B0B" w:rsidP="003B725E">
      <w:pPr>
        <w:spacing w:line="360" w:lineRule="auto"/>
        <w:jc w:val="both"/>
        <w:rPr>
          <w:rFonts w:ascii="Arial" w:hAnsi="Arial" w:cs="Arial"/>
        </w:rPr>
      </w:pPr>
      <w:r>
        <w:rPr>
          <w:rFonts w:ascii="Arial" w:hAnsi="Arial" w:cs="Arial"/>
        </w:rPr>
        <w:t xml:space="preserve">Treatment of postmenopausal osteoporosis with antiresorptives reduces bone resorption and </w:t>
      </w:r>
      <w:r w:rsidR="00604E1A">
        <w:rPr>
          <w:rFonts w:ascii="Arial" w:hAnsi="Arial" w:cs="Arial"/>
        </w:rPr>
        <w:t xml:space="preserve">a </w:t>
      </w:r>
      <w:r>
        <w:rPr>
          <w:rFonts w:ascii="Arial" w:hAnsi="Arial" w:cs="Arial"/>
        </w:rPr>
        <w:t>later</w:t>
      </w:r>
      <w:r w:rsidR="00604E1A">
        <w:rPr>
          <w:rFonts w:ascii="Arial" w:hAnsi="Arial" w:cs="Arial"/>
        </w:rPr>
        <w:t xml:space="preserve"> suppression of</w:t>
      </w:r>
      <w:r>
        <w:rPr>
          <w:rFonts w:ascii="Arial" w:hAnsi="Arial" w:cs="Arial"/>
        </w:rPr>
        <w:t xml:space="preserve"> bone formation as a result of the coupling process. </w:t>
      </w:r>
      <w:r w:rsidR="003538B5">
        <w:rPr>
          <w:rFonts w:ascii="Arial" w:hAnsi="Arial" w:cs="Arial"/>
        </w:rPr>
        <w:t>Bone formation is regulated by the Wnt signalling pathway. This suggests that the</w:t>
      </w:r>
      <w:r w:rsidR="00604E1A">
        <w:rPr>
          <w:rFonts w:ascii="Arial" w:hAnsi="Arial" w:cs="Arial"/>
        </w:rPr>
        <w:t xml:space="preserve"> </w:t>
      </w:r>
      <w:r w:rsidR="003538B5">
        <w:rPr>
          <w:rFonts w:ascii="Arial" w:hAnsi="Arial" w:cs="Arial"/>
        </w:rPr>
        <w:t xml:space="preserve">reduction in bone formation markers </w:t>
      </w:r>
      <w:r w:rsidR="00106829">
        <w:rPr>
          <w:rFonts w:ascii="Arial" w:hAnsi="Arial" w:cs="Arial"/>
        </w:rPr>
        <w:t>after 12 weeks of</w:t>
      </w:r>
      <w:r w:rsidR="003538B5">
        <w:rPr>
          <w:rFonts w:ascii="Arial" w:hAnsi="Arial" w:cs="Arial"/>
        </w:rPr>
        <w:t xml:space="preserve"> antiresorptive treatments may therefore be associated with</w:t>
      </w:r>
      <w:r w:rsidR="00106829">
        <w:rPr>
          <w:rFonts w:ascii="Arial" w:hAnsi="Arial" w:cs="Arial"/>
        </w:rPr>
        <w:t xml:space="preserve"> (in part at least) with</w:t>
      </w:r>
      <w:r w:rsidR="003538B5">
        <w:rPr>
          <w:rFonts w:ascii="Arial" w:hAnsi="Arial" w:cs="Arial"/>
        </w:rPr>
        <w:t xml:space="preserve"> changes in the Wnt signalling pathway and in particular</w:t>
      </w:r>
      <w:r w:rsidR="009A637F">
        <w:rPr>
          <w:rFonts w:ascii="Arial" w:hAnsi="Arial" w:cs="Arial"/>
        </w:rPr>
        <w:t xml:space="preserve"> mediated by</w:t>
      </w:r>
      <w:r w:rsidR="003538B5">
        <w:rPr>
          <w:rFonts w:ascii="Arial" w:hAnsi="Arial" w:cs="Arial"/>
        </w:rPr>
        <w:t xml:space="preserve"> circulating levels of sclerostin.</w:t>
      </w:r>
      <w:r>
        <w:rPr>
          <w:rFonts w:ascii="Arial" w:hAnsi="Arial" w:cs="Arial"/>
        </w:rPr>
        <w:t xml:space="preserve"> </w:t>
      </w:r>
      <w:r w:rsidR="00E6138F">
        <w:rPr>
          <w:rFonts w:ascii="Arial" w:hAnsi="Arial" w:cs="Arial"/>
        </w:rPr>
        <w:t xml:space="preserve">However my findings suggest that the hypothesis stating that </w:t>
      </w:r>
      <w:r w:rsidR="00695FD7">
        <w:rPr>
          <w:rFonts w:ascii="Arial" w:hAnsi="Arial" w:cs="Arial"/>
        </w:rPr>
        <w:t xml:space="preserve">circulating </w:t>
      </w:r>
      <w:r w:rsidR="00E6138F">
        <w:rPr>
          <w:rFonts w:ascii="Arial" w:hAnsi="Arial" w:cs="Arial"/>
        </w:rPr>
        <w:t xml:space="preserve">sclerostin mediates the reduction in bone formation with bisphosphonate treatment is not supported. </w:t>
      </w:r>
      <w:r w:rsidR="00695FD7">
        <w:rPr>
          <w:rFonts w:ascii="Arial" w:hAnsi="Arial" w:cs="Arial"/>
        </w:rPr>
        <w:t xml:space="preserve">Levels of sclerostin remained unchanged with ibandronate, alendronate and risedronate treatment in women with postmenopausal osteoporosis. </w:t>
      </w:r>
      <w:r w:rsidR="00690B8B">
        <w:rPr>
          <w:rFonts w:ascii="Arial" w:hAnsi="Arial" w:cs="Arial"/>
        </w:rPr>
        <w:t xml:space="preserve">This is inconsistent with the finding by Polyzos AD et al 2012 who demonstrated that sclerostin levels increased after 6 months of treatment with risedronate in postmenopausal women with osteoporosis </w:t>
      </w:r>
      <w:r w:rsidR="00E45E3D">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45E3D">
        <w:rPr>
          <w:rFonts w:ascii="Arial" w:hAnsi="Arial" w:cs="Arial"/>
        </w:rPr>
      </w:r>
      <w:r w:rsidR="00E45E3D">
        <w:rPr>
          <w:rFonts w:ascii="Arial" w:hAnsi="Arial" w:cs="Arial"/>
        </w:rPr>
        <w:fldChar w:fldCharType="separate"/>
      </w:r>
      <w:r w:rsidR="000D155C">
        <w:rPr>
          <w:rFonts w:ascii="Arial" w:hAnsi="Arial" w:cs="Arial"/>
          <w:noProof/>
        </w:rPr>
        <w:t>(</w:t>
      </w:r>
      <w:hyperlink w:anchor="_ENREF_457" w:tooltip="Polyzos, 2012 #252" w:history="1">
        <w:r w:rsidR="003B725E">
          <w:rPr>
            <w:rFonts w:ascii="Arial" w:hAnsi="Arial" w:cs="Arial"/>
            <w:noProof/>
          </w:rPr>
          <w:t>457</w:t>
        </w:r>
      </w:hyperlink>
      <w:r w:rsidR="000D155C">
        <w:rPr>
          <w:rFonts w:ascii="Arial" w:hAnsi="Arial" w:cs="Arial"/>
          <w:noProof/>
        </w:rPr>
        <w:t>)</w:t>
      </w:r>
      <w:r w:rsidR="00E45E3D">
        <w:rPr>
          <w:rFonts w:ascii="Arial" w:hAnsi="Arial" w:cs="Arial"/>
        </w:rPr>
        <w:fldChar w:fldCharType="end"/>
      </w:r>
      <w:r w:rsidR="00CB52F4">
        <w:rPr>
          <w:rFonts w:ascii="Arial" w:hAnsi="Arial" w:cs="Arial"/>
        </w:rPr>
        <w:t xml:space="preserve"> and others</w:t>
      </w:r>
      <w:r w:rsidR="00E45E3D">
        <w:rPr>
          <w:rFonts w:ascii="Arial" w:hAnsi="Arial" w:cs="Arial"/>
        </w:rPr>
        <w:t xml:space="preserve"> </w:t>
      </w:r>
      <w:r w:rsidR="00E45E3D">
        <w:rPr>
          <w:rFonts w:ascii="Arial" w:hAnsi="Arial" w:cs="Arial"/>
        </w:rPr>
        <w:fldChar w:fldCharType="begin">
          <w:fldData xml:space="preserve">PEVuZE5vdGU+PENpdGU+PEF1dGhvcj5HYXR0aTwvQXV0aG9yPjxZZWFyPjIwMTQ8L1llYXI+PFJl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PEVuZE5vdGU+PENpdGU+PEF1dGhvcj5HYXR0aTwvQXV0aG9yPjxZZWFyPjIwMTQ8L1llYXI+PFJl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45E3D">
        <w:rPr>
          <w:rFonts w:ascii="Arial" w:hAnsi="Arial" w:cs="Arial"/>
        </w:rPr>
      </w:r>
      <w:r w:rsidR="00E45E3D">
        <w:rPr>
          <w:rFonts w:ascii="Arial" w:hAnsi="Arial" w:cs="Arial"/>
        </w:rPr>
        <w:fldChar w:fldCharType="separate"/>
      </w:r>
      <w:r w:rsidR="000D155C">
        <w:rPr>
          <w:rFonts w:ascii="Arial" w:hAnsi="Arial" w:cs="Arial"/>
          <w:noProof/>
        </w:rPr>
        <w:t>(</w:t>
      </w:r>
      <w:hyperlink w:anchor="_ENREF_454" w:tooltip="Gatti, 2014 #337" w:history="1">
        <w:r w:rsidR="003B725E">
          <w:rPr>
            <w:rFonts w:ascii="Arial" w:hAnsi="Arial" w:cs="Arial"/>
            <w:noProof/>
          </w:rPr>
          <w:t>454</w:t>
        </w:r>
      </w:hyperlink>
      <w:r w:rsidR="000D155C">
        <w:rPr>
          <w:rFonts w:ascii="Arial" w:hAnsi="Arial" w:cs="Arial"/>
          <w:noProof/>
        </w:rPr>
        <w:t xml:space="preserve">, </w:t>
      </w:r>
      <w:hyperlink w:anchor="_ENREF_455" w:tooltip="Catalano, 2013 #338" w:history="1">
        <w:r w:rsidR="003B725E">
          <w:rPr>
            <w:rFonts w:ascii="Arial" w:hAnsi="Arial" w:cs="Arial"/>
            <w:noProof/>
          </w:rPr>
          <w:t>455</w:t>
        </w:r>
      </w:hyperlink>
      <w:r w:rsidR="000D155C">
        <w:rPr>
          <w:rFonts w:ascii="Arial" w:hAnsi="Arial" w:cs="Arial"/>
          <w:noProof/>
        </w:rPr>
        <w:t>)</w:t>
      </w:r>
      <w:r w:rsidR="00E45E3D">
        <w:rPr>
          <w:rFonts w:ascii="Arial" w:hAnsi="Arial" w:cs="Arial"/>
        </w:rPr>
        <w:fldChar w:fldCharType="end"/>
      </w:r>
      <w:r w:rsidR="00A92C44">
        <w:rPr>
          <w:rFonts w:ascii="Arial" w:hAnsi="Arial" w:cs="Arial"/>
        </w:rPr>
        <w:t>. This would mean that increased sclerostin binding to LRP5 and LRP6, inhibiting osteoblast activity and mediating the reduction in bone formation. However the same group also demonstrated that sclerostin levels were positively correlat</w:t>
      </w:r>
      <w:r w:rsidR="003E3581">
        <w:rPr>
          <w:rFonts w:ascii="Arial" w:hAnsi="Arial" w:cs="Arial"/>
        </w:rPr>
        <w:t>ed with BMD a</w:t>
      </w:r>
      <w:r w:rsidR="00CB52F4">
        <w:rPr>
          <w:rFonts w:ascii="Arial" w:hAnsi="Arial" w:cs="Arial"/>
        </w:rPr>
        <w:t>t the lumbar spine, which is an</w:t>
      </w:r>
      <w:r w:rsidR="003E3581">
        <w:rPr>
          <w:rFonts w:ascii="Arial" w:hAnsi="Arial" w:cs="Arial"/>
        </w:rPr>
        <w:t xml:space="preserve"> unexpected and unclear</w:t>
      </w:r>
      <w:r w:rsidR="00CB52F4">
        <w:rPr>
          <w:rFonts w:ascii="Arial" w:hAnsi="Arial" w:cs="Arial"/>
        </w:rPr>
        <w:t>/unexplained</w:t>
      </w:r>
      <w:r w:rsidR="003E3581">
        <w:rPr>
          <w:rFonts w:ascii="Arial" w:hAnsi="Arial" w:cs="Arial"/>
        </w:rPr>
        <w:t xml:space="preserve"> finding.</w:t>
      </w:r>
      <w:r w:rsidR="00106829">
        <w:rPr>
          <w:rFonts w:ascii="Arial" w:hAnsi="Arial" w:cs="Arial"/>
        </w:rPr>
        <w:t xml:space="preserve"> </w:t>
      </w:r>
      <w:r w:rsidR="00B158A1">
        <w:rPr>
          <w:rFonts w:ascii="Arial" w:hAnsi="Arial" w:cs="Arial"/>
        </w:rPr>
        <w:t>My findings are however comparable with Chun</w:t>
      </w:r>
      <w:r w:rsidR="00E45E3D">
        <w:rPr>
          <w:rFonts w:ascii="Arial" w:hAnsi="Arial" w:cs="Arial"/>
        </w:rPr>
        <w:t xml:space="preserve">g </w:t>
      </w:r>
      <w:r w:rsidR="00B158A1">
        <w:rPr>
          <w:rFonts w:ascii="Arial" w:hAnsi="Arial" w:cs="Arial"/>
        </w:rPr>
        <w:t>YE et al 2012</w:t>
      </w:r>
      <w:r w:rsidR="00E45E3D">
        <w:rPr>
          <w:rFonts w:ascii="Arial" w:hAnsi="Arial" w:cs="Arial"/>
        </w:rPr>
        <w:t xml:space="preserve"> </w:t>
      </w:r>
      <w:r w:rsidR="00E45E3D">
        <w:rPr>
          <w:rFonts w:ascii="Arial" w:hAnsi="Arial" w:cs="Arial"/>
        </w:rPr>
        <w:fldChar w:fldCharType="begin">
          <w:fldData xml:space="preserve">PEVuZE5vdGU+PENpdGU+PEF1dGhvcj5DaHVuZzwvQXV0aG9yPjxZZWFyPjIwMTI8L1llYXI+PFJl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PEVuZE5vdGU+PENpdGU+PEF1dGhvcj5DaHVuZzwvQXV0aG9yPjxZZWFyPjIwMTI8L1llYXI+PFJl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E45E3D">
        <w:rPr>
          <w:rFonts w:ascii="Arial" w:hAnsi="Arial" w:cs="Arial"/>
        </w:rPr>
      </w:r>
      <w:r w:rsidR="00E45E3D">
        <w:rPr>
          <w:rFonts w:ascii="Arial" w:hAnsi="Arial" w:cs="Arial"/>
        </w:rPr>
        <w:fldChar w:fldCharType="separate"/>
      </w:r>
      <w:r w:rsidR="00066E61">
        <w:rPr>
          <w:rFonts w:ascii="Arial" w:hAnsi="Arial" w:cs="Arial"/>
          <w:noProof/>
        </w:rPr>
        <w:t>(</w:t>
      </w:r>
      <w:hyperlink w:anchor="_ENREF_465" w:tooltip="Chung, 2012 #256" w:history="1">
        <w:r w:rsidR="003B725E">
          <w:rPr>
            <w:rFonts w:ascii="Arial" w:hAnsi="Arial" w:cs="Arial"/>
            <w:noProof/>
          </w:rPr>
          <w:t>465</w:t>
        </w:r>
      </w:hyperlink>
      <w:r w:rsidR="00066E61">
        <w:rPr>
          <w:rFonts w:ascii="Arial" w:hAnsi="Arial" w:cs="Arial"/>
          <w:noProof/>
        </w:rPr>
        <w:t>)</w:t>
      </w:r>
      <w:r w:rsidR="00E45E3D">
        <w:rPr>
          <w:rFonts w:ascii="Arial" w:hAnsi="Arial" w:cs="Arial"/>
        </w:rPr>
        <w:fldChar w:fldCharType="end"/>
      </w:r>
      <w:r w:rsidR="00B158A1">
        <w:rPr>
          <w:rFonts w:ascii="Arial" w:hAnsi="Arial" w:cs="Arial"/>
        </w:rPr>
        <w:t>.</w:t>
      </w:r>
      <w:r w:rsidR="00362D75">
        <w:rPr>
          <w:rFonts w:ascii="Arial" w:hAnsi="Arial" w:cs="Arial"/>
        </w:rPr>
        <w:t xml:space="preserve"> A possible limitation could be that I have not measured DKK1, however previously it was shown that levels of DKK1 remained unchanged in patients receiving clodronate</w:t>
      </w:r>
      <w:r w:rsidR="00866867">
        <w:rPr>
          <w:rFonts w:ascii="Arial" w:hAnsi="Arial" w:cs="Arial"/>
        </w:rPr>
        <w:t xml:space="preserve"> and</w:t>
      </w:r>
      <w:r w:rsidR="00FB1247">
        <w:rPr>
          <w:rFonts w:ascii="Arial" w:hAnsi="Arial" w:cs="Arial"/>
        </w:rPr>
        <w:t xml:space="preserve"> increased significantly after one month of a yearly zoledronate intravenous infusion</w:t>
      </w:r>
      <w:r w:rsidR="00866867">
        <w:rPr>
          <w:rFonts w:ascii="Arial" w:hAnsi="Arial" w:cs="Arial"/>
        </w:rPr>
        <w:t xml:space="preserve"> </w:t>
      </w:r>
      <w:r w:rsidR="00E45E3D">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PEVuZE5vdGU+PENpdGU+PEF1dGhvcj5HYXR0aTwvQXV0aG9yPjxZZWFyPjIwMTQ8L1llYXI+PFJl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E45E3D">
        <w:rPr>
          <w:rFonts w:ascii="Arial" w:hAnsi="Arial" w:cs="Arial"/>
        </w:rPr>
      </w:r>
      <w:r w:rsidR="00E45E3D">
        <w:rPr>
          <w:rFonts w:ascii="Arial" w:hAnsi="Arial" w:cs="Arial"/>
        </w:rPr>
        <w:fldChar w:fldCharType="separate"/>
      </w:r>
      <w:r w:rsidR="000D155C">
        <w:rPr>
          <w:rFonts w:ascii="Arial" w:hAnsi="Arial" w:cs="Arial"/>
          <w:noProof/>
        </w:rPr>
        <w:t>(</w:t>
      </w:r>
      <w:hyperlink w:anchor="_ENREF_454" w:tooltip="Gatti, 2014 #337" w:history="1">
        <w:r w:rsidR="003B725E">
          <w:rPr>
            <w:rFonts w:ascii="Arial" w:hAnsi="Arial" w:cs="Arial"/>
            <w:noProof/>
          </w:rPr>
          <w:t>454</w:t>
        </w:r>
      </w:hyperlink>
      <w:r w:rsidR="000D155C">
        <w:rPr>
          <w:rFonts w:ascii="Arial" w:hAnsi="Arial" w:cs="Arial"/>
          <w:noProof/>
        </w:rPr>
        <w:t>)</w:t>
      </w:r>
      <w:r w:rsidR="00E45E3D">
        <w:rPr>
          <w:rFonts w:ascii="Arial" w:hAnsi="Arial" w:cs="Arial"/>
        </w:rPr>
        <w:fldChar w:fldCharType="end"/>
      </w:r>
      <w:r w:rsidR="00866867">
        <w:rPr>
          <w:rFonts w:ascii="Arial" w:hAnsi="Arial" w:cs="Arial"/>
        </w:rPr>
        <w:t>.</w:t>
      </w:r>
      <w:r w:rsidR="00FB1247">
        <w:rPr>
          <w:rFonts w:ascii="Arial" w:hAnsi="Arial" w:cs="Arial"/>
        </w:rPr>
        <w:t xml:space="preserve"> </w:t>
      </w:r>
      <w:r w:rsidR="00362D75">
        <w:rPr>
          <w:rFonts w:ascii="Arial" w:hAnsi="Arial" w:cs="Arial"/>
        </w:rPr>
        <w:t xml:space="preserve"> </w:t>
      </w:r>
    </w:p>
    <w:p w:rsidR="008F5C6C" w:rsidRDefault="008F5C6C" w:rsidP="003B725E">
      <w:pPr>
        <w:spacing w:line="360" w:lineRule="auto"/>
        <w:jc w:val="both"/>
        <w:rPr>
          <w:rFonts w:ascii="Arial" w:hAnsi="Arial" w:cs="Arial"/>
        </w:rPr>
      </w:pPr>
      <w:r>
        <w:rPr>
          <w:rFonts w:ascii="Arial" w:hAnsi="Arial" w:cs="Arial"/>
        </w:rPr>
        <w:t>Sclerostin is negatively correlated with bone formation and not correlated with bone resorption</w:t>
      </w:r>
      <w:r w:rsidR="00446AAC">
        <w:rPr>
          <w:rFonts w:ascii="Arial" w:hAnsi="Arial" w:cs="Arial"/>
        </w:rPr>
        <w:t xml:space="preserve"> in women with postmenopausal osteoporosis</w:t>
      </w:r>
      <w:r>
        <w:rPr>
          <w:rFonts w:ascii="Arial" w:hAnsi="Arial" w:cs="Arial"/>
        </w:rPr>
        <w:t>. This seems to be rational since increa</w:t>
      </w:r>
      <w:r w:rsidR="003341E2">
        <w:rPr>
          <w:rFonts w:ascii="Arial" w:hAnsi="Arial" w:cs="Arial"/>
        </w:rPr>
        <w:t>sed levels of sclerostin reduces</w:t>
      </w:r>
      <w:r>
        <w:rPr>
          <w:rFonts w:ascii="Arial" w:hAnsi="Arial" w:cs="Arial"/>
        </w:rPr>
        <w:t xml:space="preserve"> osteoblast activity and b</w:t>
      </w:r>
      <w:r w:rsidR="003341E2">
        <w:rPr>
          <w:rFonts w:ascii="Arial" w:hAnsi="Arial" w:cs="Arial"/>
        </w:rPr>
        <w:t>one formation. This is both consistent</w:t>
      </w:r>
      <w:r>
        <w:rPr>
          <w:rFonts w:ascii="Arial" w:hAnsi="Arial" w:cs="Arial"/>
        </w:rPr>
        <w:t xml:space="preserve"> </w:t>
      </w:r>
      <w:r w:rsidR="003341E2">
        <w:rPr>
          <w:rFonts w:ascii="Arial" w:hAnsi="Arial" w:cs="Arial"/>
        </w:rPr>
        <w:t xml:space="preserve">and inconsistent </w:t>
      </w:r>
      <w:r>
        <w:rPr>
          <w:rFonts w:ascii="Arial" w:hAnsi="Arial" w:cs="Arial"/>
        </w:rPr>
        <w:t xml:space="preserve">with </w:t>
      </w:r>
      <w:r w:rsidR="003341E2">
        <w:rPr>
          <w:rFonts w:ascii="Arial" w:hAnsi="Arial" w:cs="Arial"/>
        </w:rPr>
        <w:t>Polyzos SA et al 2012, who demonstrated that sclerostin was negatively correlated with bone ALP but positively correlated with CTX</w:t>
      </w:r>
      <w:r w:rsidR="004377E4">
        <w:rPr>
          <w:rFonts w:ascii="Arial" w:hAnsi="Arial" w:cs="Arial"/>
        </w:rPr>
        <w:t xml:space="preserve">, </w:t>
      </w:r>
      <w:r w:rsidR="004377E4">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4377E4">
        <w:rPr>
          <w:rFonts w:ascii="Arial" w:hAnsi="Arial" w:cs="Arial"/>
        </w:rPr>
      </w:r>
      <w:r w:rsidR="004377E4">
        <w:rPr>
          <w:rFonts w:ascii="Arial" w:hAnsi="Arial" w:cs="Arial"/>
        </w:rPr>
        <w:fldChar w:fldCharType="separate"/>
      </w:r>
      <w:r w:rsidR="000D155C">
        <w:rPr>
          <w:rFonts w:ascii="Arial" w:hAnsi="Arial" w:cs="Arial"/>
          <w:noProof/>
        </w:rPr>
        <w:t>(</w:t>
      </w:r>
      <w:hyperlink w:anchor="_ENREF_457" w:tooltip="Polyzos, 2012 #252" w:history="1">
        <w:r w:rsidR="003B725E">
          <w:rPr>
            <w:rFonts w:ascii="Arial" w:hAnsi="Arial" w:cs="Arial"/>
            <w:noProof/>
          </w:rPr>
          <w:t>457</w:t>
        </w:r>
      </w:hyperlink>
      <w:r w:rsidR="000D155C">
        <w:rPr>
          <w:rFonts w:ascii="Arial" w:hAnsi="Arial" w:cs="Arial"/>
          <w:noProof/>
        </w:rPr>
        <w:t>)</w:t>
      </w:r>
      <w:r w:rsidR="004377E4">
        <w:rPr>
          <w:rFonts w:ascii="Arial" w:hAnsi="Arial" w:cs="Arial"/>
        </w:rPr>
        <w:fldChar w:fldCharType="end"/>
      </w:r>
      <w:r w:rsidR="003341E2">
        <w:rPr>
          <w:rFonts w:ascii="Arial" w:hAnsi="Arial" w:cs="Arial"/>
        </w:rPr>
        <w:t xml:space="preserve">. </w:t>
      </w:r>
    </w:p>
    <w:p w:rsidR="00E168EC" w:rsidRDefault="00106829" w:rsidP="003B725E">
      <w:pPr>
        <w:spacing w:line="360" w:lineRule="auto"/>
        <w:jc w:val="both"/>
        <w:rPr>
          <w:rFonts w:ascii="Arial" w:hAnsi="Arial" w:cs="Arial"/>
        </w:rPr>
      </w:pPr>
      <w:r>
        <w:rPr>
          <w:rFonts w:ascii="Arial" w:hAnsi="Arial" w:cs="Arial"/>
        </w:rPr>
        <w:t xml:space="preserve">In addition, because neither ibandronate, alendronate nor risedronate altered levels of circulating sclerostin then it supports and suggests that these compounds </w:t>
      </w:r>
      <w:r w:rsidR="00B158A1">
        <w:rPr>
          <w:rFonts w:ascii="Arial" w:hAnsi="Arial" w:cs="Arial"/>
        </w:rPr>
        <w:t>have a similar mechanism of action on bone formation</w:t>
      </w:r>
      <w:r w:rsidR="00B01E38">
        <w:rPr>
          <w:rFonts w:ascii="Arial" w:hAnsi="Arial" w:cs="Arial"/>
        </w:rPr>
        <w:t xml:space="preserve"> that may not alter Wnt signalling</w:t>
      </w:r>
      <w:r w:rsidR="00B158A1">
        <w:rPr>
          <w:rFonts w:ascii="Arial" w:hAnsi="Arial" w:cs="Arial"/>
        </w:rPr>
        <w:t>. At least with these treatments sclerostin does not appear to be a coupling protein between resorption and formation.</w:t>
      </w:r>
      <w:r w:rsidR="00752DFC">
        <w:rPr>
          <w:rFonts w:ascii="Arial" w:hAnsi="Arial" w:cs="Arial"/>
        </w:rPr>
        <w:t xml:space="preserve"> This does support the notion the oste</w:t>
      </w:r>
      <w:r w:rsidR="00847FD0">
        <w:rPr>
          <w:rFonts w:ascii="Arial" w:hAnsi="Arial" w:cs="Arial"/>
        </w:rPr>
        <w:t>o</w:t>
      </w:r>
      <w:r w:rsidR="00752DFC">
        <w:rPr>
          <w:rFonts w:ascii="Arial" w:hAnsi="Arial" w:cs="Arial"/>
        </w:rPr>
        <w:t xml:space="preserve">cyte apoptosis is </w:t>
      </w:r>
      <w:r w:rsidR="00A8492A">
        <w:rPr>
          <w:rFonts w:ascii="Arial" w:hAnsi="Arial" w:cs="Arial"/>
        </w:rPr>
        <w:t xml:space="preserve">inhibited </w:t>
      </w:r>
      <w:r w:rsidR="00397D8E">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397D8E">
        <w:rPr>
          <w:rFonts w:ascii="Arial" w:hAnsi="Arial" w:cs="Arial"/>
        </w:rPr>
      </w:r>
      <w:r w:rsidR="00397D8E">
        <w:rPr>
          <w:rFonts w:ascii="Arial" w:hAnsi="Arial" w:cs="Arial"/>
        </w:rPr>
        <w:fldChar w:fldCharType="separate"/>
      </w:r>
      <w:r w:rsidR="008E761B">
        <w:rPr>
          <w:rFonts w:ascii="Arial" w:hAnsi="Arial" w:cs="Arial"/>
          <w:noProof/>
        </w:rPr>
        <w:t>(</w:t>
      </w:r>
      <w:hyperlink w:anchor="_ENREF_270" w:tooltip="Plotkin, 2006 #437" w:history="1">
        <w:r w:rsidR="003B725E">
          <w:rPr>
            <w:rFonts w:ascii="Arial" w:hAnsi="Arial" w:cs="Arial"/>
            <w:noProof/>
          </w:rPr>
          <w:t>270</w:t>
        </w:r>
      </w:hyperlink>
      <w:r w:rsidR="008E761B">
        <w:rPr>
          <w:rFonts w:ascii="Arial" w:hAnsi="Arial" w:cs="Arial"/>
          <w:noProof/>
        </w:rPr>
        <w:t>)</w:t>
      </w:r>
      <w:r w:rsidR="00397D8E">
        <w:rPr>
          <w:rFonts w:ascii="Arial" w:hAnsi="Arial" w:cs="Arial"/>
        </w:rPr>
        <w:fldChar w:fldCharType="end"/>
      </w:r>
      <w:r w:rsidR="00A8492A">
        <w:rPr>
          <w:rFonts w:ascii="Arial" w:hAnsi="Arial" w:cs="Arial"/>
        </w:rPr>
        <w:t xml:space="preserve"> because levels of sclerostin remained unchanged and not reduced</w:t>
      </w:r>
      <w:r w:rsidR="00752DFC">
        <w:rPr>
          <w:rFonts w:ascii="Arial" w:hAnsi="Arial" w:cs="Arial"/>
        </w:rPr>
        <w:t>.</w:t>
      </w:r>
      <w:r w:rsidR="00847FD0">
        <w:rPr>
          <w:rFonts w:ascii="Arial" w:hAnsi="Arial" w:cs="Arial"/>
        </w:rPr>
        <w:t xml:space="preserve"> It has also been suggested that </w:t>
      </w:r>
      <w:r w:rsidR="00A8492A">
        <w:rPr>
          <w:rFonts w:ascii="Arial" w:hAnsi="Arial" w:cs="Arial"/>
        </w:rPr>
        <w:t xml:space="preserve">the </w:t>
      </w:r>
      <w:r w:rsidR="00847FD0">
        <w:rPr>
          <w:rFonts w:ascii="Arial" w:hAnsi="Arial" w:cs="Arial"/>
        </w:rPr>
        <w:t xml:space="preserve">bisphosphonates </w:t>
      </w:r>
      <w:r w:rsidR="00AC35C3">
        <w:rPr>
          <w:rFonts w:ascii="Arial" w:hAnsi="Arial" w:cs="Arial"/>
        </w:rPr>
        <w:t xml:space="preserve">that suppress bone resorption by a lesser magnitude than others may gain better access to the osteocytes via the </w:t>
      </w:r>
      <w:r w:rsidR="00F87D14">
        <w:rPr>
          <w:rFonts w:ascii="Arial" w:hAnsi="Arial" w:cs="Arial"/>
        </w:rPr>
        <w:t>canaliculi</w:t>
      </w:r>
      <w:r w:rsidR="00AC35C3">
        <w:rPr>
          <w:rFonts w:ascii="Arial" w:hAnsi="Arial" w:cs="Arial"/>
        </w:rPr>
        <w:t xml:space="preserve"> </w:t>
      </w:r>
      <w:r w:rsidR="00AC35C3">
        <w:rPr>
          <w:rFonts w:ascii="Arial" w:hAnsi="Arial" w:cs="Arial"/>
        </w:rPr>
        <w:lastRenderedPageBreak/>
        <w:t>network and inhibit</w:t>
      </w:r>
      <w:r w:rsidR="00082739">
        <w:rPr>
          <w:rFonts w:ascii="Arial" w:hAnsi="Arial" w:cs="Arial"/>
        </w:rPr>
        <w:t>s</w:t>
      </w:r>
      <w:r w:rsidR="00AC35C3">
        <w:rPr>
          <w:rFonts w:ascii="Arial" w:hAnsi="Arial" w:cs="Arial"/>
        </w:rPr>
        <w:t xml:space="preserve"> their apoptosis</w:t>
      </w:r>
      <w:r w:rsidR="00F87D14">
        <w:rPr>
          <w:rFonts w:ascii="Arial" w:hAnsi="Arial" w:cs="Arial"/>
        </w:rPr>
        <w:t xml:space="preserve"> </w:t>
      </w:r>
      <w:r w:rsidR="00F87D14">
        <w:rPr>
          <w:rFonts w:ascii="Arial" w:hAnsi="Arial" w:cs="Arial"/>
        </w:rPr>
        <w:fldChar w:fldCharType="begin">
          <w:fldData xml:space="preserve">PEVuZE5vdGU+PENpdGU+PEF1dGhvcj5Lb2dpYW5uaTwvQXV0aG9yPjxZZWFyPjIwMDQ8L1llYXI+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=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PEVuZE5vdGU+PENpdGU+PEF1dGhvcj5Lb2dpYW5uaTwvQXV0aG9yPjxZZWFyPjIwMDQ8L1llYXI+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=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F87D14">
        <w:rPr>
          <w:rFonts w:ascii="Arial" w:hAnsi="Arial" w:cs="Arial"/>
        </w:rPr>
      </w:r>
      <w:r w:rsidR="00F87D14">
        <w:rPr>
          <w:rFonts w:ascii="Arial" w:hAnsi="Arial" w:cs="Arial"/>
        </w:rPr>
        <w:fldChar w:fldCharType="separate"/>
      </w:r>
      <w:r w:rsidR="00066E61">
        <w:rPr>
          <w:rFonts w:ascii="Arial" w:hAnsi="Arial" w:cs="Arial"/>
          <w:noProof/>
        </w:rPr>
        <w:t>(</w:t>
      </w:r>
      <w:hyperlink w:anchor="_ENREF_466" w:tooltip="Kogianni, 2004 #507" w:history="1">
        <w:r w:rsidR="003B725E">
          <w:rPr>
            <w:rFonts w:ascii="Arial" w:hAnsi="Arial" w:cs="Arial"/>
            <w:noProof/>
          </w:rPr>
          <w:t>466</w:t>
        </w:r>
      </w:hyperlink>
      <w:r w:rsidR="00066E61">
        <w:rPr>
          <w:rFonts w:ascii="Arial" w:hAnsi="Arial" w:cs="Arial"/>
          <w:noProof/>
        </w:rPr>
        <w:t>)</w:t>
      </w:r>
      <w:r w:rsidR="00F87D14">
        <w:rPr>
          <w:rFonts w:ascii="Arial" w:hAnsi="Arial" w:cs="Arial"/>
        </w:rPr>
        <w:fldChar w:fldCharType="end"/>
      </w:r>
      <w:r w:rsidR="00AC35C3">
        <w:rPr>
          <w:rFonts w:ascii="Arial" w:hAnsi="Arial" w:cs="Arial"/>
        </w:rPr>
        <w:t xml:space="preserve">. </w:t>
      </w:r>
      <w:r w:rsidR="005B3FF8">
        <w:rPr>
          <w:rFonts w:ascii="Arial" w:hAnsi="Arial" w:cs="Arial"/>
        </w:rPr>
        <w:t xml:space="preserve">This was previously demonstrated in an animal study with a bisphosphonate </w:t>
      </w:r>
      <w:r w:rsidR="00F87D14">
        <w:rPr>
          <w:rFonts w:ascii="Arial" w:hAnsi="Arial" w:cs="Arial"/>
        </w:rPr>
        <w:t>analogue called</w:t>
      </w:r>
      <w:r w:rsidR="005B3FF8">
        <w:rPr>
          <w:rFonts w:ascii="Arial" w:hAnsi="Arial" w:cs="Arial"/>
        </w:rPr>
        <w:t xml:space="preserve"> olpadronate which has litt</w:t>
      </w:r>
      <w:r w:rsidR="00082739">
        <w:rPr>
          <w:rFonts w:ascii="Arial" w:hAnsi="Arial" w:cs="Arial"/>
        </w:rPr>
        <w:t>le effect on the osteoclasts but</w:t>
      </w:r>
      <w:r w:rsidR="005B3FF8">
        <w:rPr>
          <w:rFonts w:ascii="Arial" w:hAnsi="Arial" w:cs="Arial"/>
        </w:rPr>
        <w:t xml:space="preserve"> inhibits osteocyte activity and increased bone formation and bone strength</w:t>
      </w:r>
      <w:r w:rsidR="00F87D14">
        <w:rPr>
          <w:rFonts w:ascii="Arial" w:hAnsi="Arial" w:cs="Arial"/>
        </w:rPr>
        <w:t xml:space="preserve">, </w:t>
      </w:r>
      <w:r w:rsidR="00F87D14">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PEVuZE5vdGU+PENpdGU+PEF1dGhvcj5QbG90a2luPC9BdXRob3I+PFllYXI+MjAwNjwvWWVhcj48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==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F87D14">
        <w:rPr>
          <w:rFonts w:ascii="Arial" w:hAnsi="Arial" w:cs="Arial"/>
        </w:rPr>
      </w:r>
      <w:r w:rsidR="00F87D14">
        <w:rPr>
          <w:rFonts w:ascii="Arial" w:hAnsi="Arial" w:cs="Arial"/>
        </w:rPr>
        <w:fldChar w:fldCharType="separate"/>
      </w:r>
      <w:r w:rsidR="008E761B">
        <w:rPr>
          <w:rFonts w:ascii="Arial" w:hAnsi="Arial" w:cs="Arial"/>
          <w:noProof/>
        </w:rPr>
        <w:t>(</w:t>
      </w:r>
      <w:hyperlink w:anchor="_ENREF_270" w:tooltip="Plotkin, 2006 #437" w:history="1">
        <w:r w:rsidR="003B725E">
          <w:rPr>
            <w:rFonts w:ascii="Arial" w:hAnsi="Arial" w:cs="Arial"/>
            <w:noProof/>
          </w:rPr>
          <w:t>270</w:t>
        </w:r>
      </w:hyperlink>
      <w:r w:rsidR="008E761B">
        <w:rPr>
          <w:rFonts w:ascii="Arial" w:hAnsi="Arial" w:cs="Arial"/>
          <w:noProof/>
        </w:rPr>
        <w:t>)</w:t>
      </w:r>
      <w:r w:rsidR="00F87D14">
        <w:rPr>
          <w:rFonts w:ascii="Arial" w:hAnsi="Arial" w:cs="Arial"/>
        </w:rPr>
        <w:fldChar w:fldCharType="end"/>
      </w:r>
      <w:r w:rsidR="005B3FF8">
        <w:rPr>
          <w:rFonts w:ascii="Arial" w:hAnsi="Arial" w:cs="Arial"/>
        </w:rPr>
        <w:t xml:space="preserve"> and may therefore reduce sclerostin production. Out of the three </w:t>
      </w:r>
      <w:r w:rsidR="00082739">
        <w:rPr>
          <w:rFonts w:ascii="Arial" w:hAnsi="Arial" w:cs="Arial"/>
        </w:rPr>
        <w:t>bisphosphonates in the TRIO</w:t>
      </w:r>
      <w:r w:rsidR="00AC35C3">
        <w:rPr>
          <w:rFonts w:ascii="Arial" w:hAnsi="Arial" w:cs="Arial"/>
        </w:rPr>
        <w:t xml:space="preserve"> study, </w:t>
      </w:r>
      <w:r w:rsidR="00CC5283">
        <w:rPr>
          <w:rFonts w:ascii="Arial" w:hAnsi="Arial" w:cs="Arial"/>
        </w:rPr>
        <w:t xml:space="preserve">I concluded that </w:t>
      </w:r>
      <w:r w:rsidR="00AC35C3">
        <w:rPr>
          <w:rFonts w:ascii="Arial" w:hAnsi="Arial" w:cs="Arial"/>
        </w:rPr>
        <w:t>the suppression of bone turnover was less with risedronate but its distribution wit</w:t>
      </w:r>
      <w:r w:rsidR="005B3FF8">
        <w:rPr>
          <w:rFonts w:ascii="Arial" w:hAnsi="Arial" w:cs="Arial"/>
        </w:rPr>
        <w:t>hin the canali</w:t>
      </w:r>
      <w:r w:rsidR="00AC35C3">
        <w:rPr>
          <w:rFonts w:ascii="Arial" w:hAnsi="Arial" w:cs="Arial"/>
        </w:rPr>
        <w:t>cular</w:t>
      </w:r>
      <w:r w:rsidR="005B3FF8">
        <w:rPr>
          <w:rFonts w:ascii="Arial" w:hAnsi="Arial" w:cs="Arial"/>
        </w:rPr>
        <w:t xml:space="preserve"> network needs to be determined because it had no effect of sclerostin production by the osteocytes. Using these findings and information about the mechanism of action of bisphosphonates on osteocytes it is plausible </w:t>
      </w:r>
      <w:r w:rsidR="00A8492A">
        <w:rPr>
          <w:rFonts w:ascii="Arial" w:hAnsi="Arial" w:cs="Arial"/>
        </w:rPr>
        <w:t xml:space="preserve">to hypothesise </w:t>
      </w:r>
      <w:r w:rsidR="00E168EC">
        <w:rPr>
          <w:rFonts w:ascii="Arial" w:hAnsi="Arial" w:cs="Arial"/>
        </w:rPr>
        <w:t>that a comp</w:t>
      </w:r>
      <w:r w:rsidR="005B3FF8">
        <w:rPr>
          <w:rFonts w:ascii="Arial" w:hAnsi="Arial" w:cs="Arial"/>
        </w:rPr>
        <w:t xml:space="preserve">ound with a </w:t>
      </w:r>
      <w:r w:rsidR="00E168EC">
        <w:rPr>
          <w:rFonts w:ascii="Arial" w:hAnsi="Arial" w:cs="Arial"/>
        </w:rPr>
        <w:t xml:space="preserve">lower antiresorptive effect may have </w:t>
      </w:r>
      <w:r w:rsidR="00CC5283">
        <w:rPr>
          <w:rFonts w:ascii="Arial" w:hAnsi="Arial" w:cs="Arial"/>
        </w:rPr>
        <w:t xml:space="preserve">a more direct </w:t>
      </w:r>
      <w:r w:rsidR="00E168EC">
        <w:rPr>
          <w:rFonts w:ascii="Arial" w:hAnsi="Arial" w:cs="Arial"/>
        </w:rPr>
        <w:t xml:space="preserve">effect on osteocytes and sclerostin production. My findings from the previous chapter (chapter 5) have demonstrated and I concluded that raloxifene suppressed bone resorption by a lesser magnitude compared to bisphosphonates. Therefore I can hypothesise that raloxifene effects levels of circulating sclerostin and along with the coupling process </w:t>
      </w:r>
      <w:r w:rsidR="002A5FE0">
        <w:rPr>
          <w:rFonts w:ascii="Arial" w:hAnsi="Arial" w:cs="Arial"/>
        </w:rPr>
        <w:t xml:space="preserve">this </w:t>
      </w:r>
      <w:r w:rsidR="00E168EC">
        <w:rPr>
          <w:rFonts w:ascii="Arial" w:hAnsi="Arial" w:cs="Arial"/>
        </w:rPr>
        <w:t xml:space="preserve">mediates the </w:t>
      </w:r>
      <w:r w:rsidR="00CC5283">
        <w:rPr>
          <w:rFonts w:ascii="Arial" w:hAnsi="Arial" w:cs="Arial"/>
        </w:rPr>
        <w:t xml:space="preserve">lesser </w:t>
      </w:r>
      <w:r w:rsidR="00E168EC">
        <w:rPr>
          <w:rFonts w:ascii="Arial" w:hAnsi="Arial" w:cs="Arial"/>
        </w:rPr>
        <w:t xml:space="preserve">reduction </w:t>
      </w:r>
      <w:r w:rsidR="00CC5283">
        <w:rPr>
          <w:rFonts w:ascii="Arial" w:hAnsi="Arial" w:cs="Arial"/>
        </w:rPr>
        <w:t xml:space="preserve">I observed in </w:t>
      </w:r>
      <w:r w:rsidR="00E168EC">
        <w:rPr>
          <w:rFonts w:ascii="Arial" w:hAnsi="Arial" w:cs="Arial"/>
        </w:rPr>
        <w:t>bone formation (subsequent chapter).</w:t>
      </w:r>
    </w:p>
    <w:p w:rsidR="002F0929" w:rsidRDefault="003A7994" w:rsidP="003E5C23">
      <w:pPr>
        <w:spacing w:line="360" w:lineRule="auto"/>
        <w:jc w:val="both"/>
        <w:rPr>
          <w:rFonts w:ascii="Arial" w:hAnsi="Arial" w:cs="Arial"/>
        </w:rPr>
      </w:pPr>
      <w:r>
        <w:rPr>
          <w:rFonts w:ascii="Arial" w:hAnsi="Arial" w:cs="Arial"/>
        </w:rPr>
        <w:t>Furthermore, Wnt signalling is</w:t>
      </w:r>
      <w:r w:rsidR="00316D07">
        <w:rPr>
          <w:rFonts w:ascii="Arial" w:hAnsi="Arial" w:cs="Arial"/>
        </w:rPr>
        <w:t xml:space="preserve"> implicated in also regulating bone resorption through down-regulation of RANK</w:t>
      </w:r>
      <w:r>
        <w:rPr>
          <w:rFonts w:ascii="Arial" w:hAnsi="Arial" w:cs="Arial"/>
        </w:rPr>
        <w:t>L expression in the osteoblasts. I</w:t>
      </w:r>
      <w:r w:rsidR="00316D07">
        <w:rPr>
          <w:rFonts w:ascii="Arial" w:hAnsi="Arial" w:cs="Arial"/>
        </w:rPr>
        <w:t>t is</w:t>
      </w:r>
      <w:r>
        <w:rPr>
          <w:rFonts w:ascii="Arial" w:hAnsi="Arial" w:cs="Arial"/>
        </w:rPr>
        <w:t xml:space="preserve"> therefore </w:t>
      </w:r>
      <w:r w:rsidR="00316D07">
        <w:rPr>
          <w:rFonts w:ascii="Arial" w:hAnsi="Arial" w:cs="Arial"/>
        </w:rPr>
        <w:t xml:space="preserve">conceivable that </w:t>
      </w:r>
      <w:r>
        <w:rPr>
          <w:rFonts w:ascii="Arial" w:hAnsi="Arial" w:cs="Arial"/>
        </w:rPr>
        <w:t xml:space="preserve">no changes in sclerostin would imply and explain the no effect on RANKL levels </w:t>
      </w:r>
      <w:r w:rsidR="00406817">
        <w:rPr>
          <w:rFonts w:ascii="Arial" w:hAnsi="Arial" w:cs="Arial"/>
        </w:rPr>
        <w:t>I observed in this research. Therefore, t</w:t>
      </w:r>
      <w:r>
        <w:rPr>
          <w:rFonts w:ascii="Arial" w:hAnsi="Arial" w:cs="Arial"/>
        </w:rPr>
        <w:t xml:space="preserve">hese signalling proteins may not contribute to the mechanisms of action of bisphosphonates on bone resorption.  </w:t>
      </w:r>
      <w:r w:rsidR="00316D07">
        <w:rPr>
          <w:rFonts w:ascii="Arial" w:hAnsi="Arial" w:cs="Arial"/>
        </w:rPr>
        <w:t xml:space="preserve"> </w:t>
      </w:r>
    </w:p>
    <w:p w:rsidR="00685609" w:rsidRPr="00D975D5" w:rsidRDefault="00685609" w:rsidP="003E5C23">
      <w:pPr>
        <w:spacing w:line="360" w:lineRule="auto"/>
        <w:jc w:val="both"/>
        <w:rPr>
          <w:rFonts w:ascii="Arial" w:hAnsi="Arial" w:cs="Arial"/>
        </w:rPr>
      </w:pPr>
    </w:p>
    <w:p w:rsidR="00EA2B5D" w:rsidRDefault="00EA2B5D" w:rsidP="003E5C23">
      <w:pPr>
        <w:pStyle w:val="Heading2"/>
        <w:jc w:val="both"/>
      </w:pPr>
      <w:bookmarkStart w:id="228" w:name="_Toc425418965"/>
      <w:r>
        <w:t>Conclusion</w:t>
      </w:r>
      <w:bookmarkEnd w:id="228"/>
    </w:p>
    <w:p w:rsidR="00C02DB7" w:rsidRDefault="002B5463" w:rsidP="003E5C23">
      <w:pPr>
        <w:spacing w:line="360" w:lineRule="auto"/>
        <w:jc w:val="both"/>
        <w:rPr>
          <w:rFonts w:ascii="Arial" w:hAnsi="Arial" w:cs="Arial"/>
        </w:rPr>
      </w:pPr>
      <w:r w:rsidRPr="002B5463">
        <w:rPr>
          <w:rFonts w:ascii="Arial" w:hAnsi="Arial" w:cs="Arial"/>
        </w:rPr>
        <w:t>Nitrogen-containing bisphosphonate reduce the population of oste</w:t>
      </w:r>
      <w:r w:rsidR="00E4351A">
        <w:rPr>
          <w:rFonts w:ascii="Arial" w:hAnsi="Arial" w:cs="Arial"/>
        </w:rPr>
        <w:t xml:space="preserve">oclast precursor cells in </w:t>
      </w:r>
      <w:r w:rsidRPr="002B5463">
        <w:rPr>
          <w:rFonts w:ascii="Arial" w:hAnsi="Arial" w:cs="Arial"/>
        </w:rPr>
        <w:t xml:space="preserve">the long term and bone turnover in the short term. Both of these mechanisms may reduce the activation frequency of bone remodelling by having </w:t>
      </w:r>
      <w:r>
        <w:rPr>
          <w:rFonts w:ascii="Arial" w:hAnsi="Arial" w:cs="Arial"/>
        </w:rPr>
        <w:t xml:space="preserve">a direct and indirect effect on </w:t>
      </w:r>
      <w:r w:rsidRPr="002B5463">
        <w:rPr>
          <w:rFonts w:ascii="Arial" w:hAnsi="Arial" w:cs="Arial"/>
        </w:rPr>
        <w:t>mature osteoclasts.</w:t>
      </w:r>
      <w:r>
        <w:rPr>
          <w:rFonts w:ascii="Arial" w:hAnsi="Arial" w:cs="Arial"/>
        </w:rPr>
        <w:t xml:space="preserve"> </w:t>
      </w:r>
      <w:r w:rsidR="00D975D5" w:rsidRPr="00D975D5">
        <w:rPr>
          <w:rFonts w:ascii="Arial" w:hAnsi="Arial" w:cs="Arial"/>
        </w:rPr>
        <w:t xml:space="preserve">These findings </w:t>
      </w:r>
      <w:r>
        <w:rPr>
          <w:rFonts w:ascii="Arial" w:hAnsi="Arial" w:cs="Arial"/>
        </w:rPr>
        <w:t xml:space="preserve">further </w:t>
      </w:r>
      <w:r w:rsidR="00D975D5" w:rsidRPr="00D975D5">
        <w:rPr>
          <w:rFonts w:ascii="Arial" w:hAnsi="Arial" w:cs="Arial"/>
        </w:rPr>
        <w:t xml:space="preserve">suggest that ibandronate and risedronate act selectively and directly on the osteoclast precursor cells to reduce their population without </w:t>
      </w:r>
      <w:r w:rsidR="00EA2B5D">
        <w:rPr>
          <w:rFonts w:ascii="Arial" w:hAnsi="Arial" w:cs="Arial"/>
        </w:rPr>
        <w:t>influencing</w:t>
      </w:r>
      <w:r w:rsidR="00D975D5" w:rsidRPr="00D975D5">
        <w:rPr>
          <w:rFonts w:ascii="Arial" w:hAnsi="Arial" w:cs="Arial"/>
        </w:rPr>
        <w:t xml:space="preserve"> levels of circulating cytokines.</w:t>
      </w:r>
      <w:r w:rsidR="00BE15B8">
        <w:rPr>
          <w:rFonts w:ascii="Arial" w:hAnsi="Arial" w:cs="Arial"/>
        </w:rPr>
        <w:t xml:space="preserve"> The differences between bisphosphonates targeting osteoclast precursors may help explain and be related to their magnitude of effect </w:t>
      </w:r>
      <w:r w:rsidR="00E4351A">
        <w:rPr>
          <w:rFonts w:ascii="Arial" w:hAnsi="Arial" w:cs="Arial"/>
        </w:rPr>
        <w:t>on bone turnover demonstrated in chapter 5.</w:t>
      </w:r>
    </w:p>
    <w:p w:rsidR="002F2E95" w:rsidRDefault="005140BF" w:rsidP="003E5C23">
      <w:pPr>
        <w:spacing w:line="360" w:lineRule="auto"/>
        <w:jc w:val="both"/>
        <w:rPr>
          <w:rFonts w:ascii="Arial" w:hAnsi="Arial" w:cs="Arial"/>
        </w:rPr>
      </w:pPr>
      <w:r>
        <w:rPr>
          <w:rFonts w:ascii="Arial" w:hAnsi="Arial" w:cs="Arial"/>
        </w:rPr>
        <w:t>Treatment of postmenopausal osteoporosis with b</w:t>
      </w:r>
      <w:r w:rsidR="002F2E95">
        <w:rPr>
          <w:rFonts w:ascii="Arial" w:hAnsi="Arial" w:cs="Arial"/>
        </w:rPr>
        <w:t>isphosphonates, in particular alendronate</w:t>
      </w:r>
      <w:r>
        <w:rPr>
          <w:rFonts w:ascii="Arial" w:hAnsi="Arial" w:cs="Arial"/>
        </w:rPr>
        <w:t xml:space="preserve"> also</w:t>
      </w:r>
      <w:r w:rsidR="002F2E95">
        <w:rPr>
          <w:rFonts w:ascii="Arial" w:hAnsi="Arial" w:cs="Arial"/>
        </w:rPr>
        <w:t xml:space="preserve"> improves bone balance. This finding may be used to explain the reduction in bone loss and fracture risk we observe at the total hip with alendronate treatment, more so than with ibandronate and risedronate.  </w:t>
      </w:r>
    </w:p>
    <w:p w:rsidR="003D2782" w:rsidRPr="00E4351A" w:rsidRDefault="003D2782" w:rsidP="003E5C23">
      <w:pPr>
        <w:spacing w:line="360" w:lineRule="auto"/>
        <w:jc w:val="both"/>
        <w:rPr>
          <w:rFonts w:ascii="Arial" w:hAnsi="Arial" w:cs="Arial"/>
        </w:rPr>
      </w:pPr>
      <w:r>
        <w:rPr>
          <w:rFonts w:ascii="Arial" w:hAnsi="Arial" w:cs="Arial"/>
        </w:rPr>
        <w:t>The clinical re</w:t>
      </w:r>
      <w:r w:rsidR="003A7994">
        <w:rPr>
          <w:rFonts w:ascii="Arial" w:hAnsi="Arial" w:cs="Arial"/>
        </w:rPr>
        <w:t xml:space="preserve">levance </w:t>
      </w:r>
      <w:r w:rsidR="00866867">
        <w:rPr>
          <w:rFonts w:ascii="Arial" w:hAnsi="Arial" w:cs="Arial"/>
        </w:rPr>
        <w:t xml:space="preserve">and the explanation </w:t>
      </w:r>
      <w:r w:rsidR="003A7994">
        <w:rPr>
          <w:rFonts w:ascii="Arial" w:hAnsi="Arial" w:cs="Arial"/>
        </w:rPr>
        <w:t>of the observation regarding</w:t>
      </w:r>
      <w:r>
        <w:rPr>
          <w:rFonts w:ascii="Arial" w:hAnsi="Arial" w:cs="Arial"/>
        </w:rPr>
        <w:t xml:space="preserve"> sclerostin levels remaining unchanged with </w:t>
      </w:r>
      <w:r w:rsidR="00CC60A7">
        <w:rPr>
          <w:rFonts w:ascii="Arial" w:hAnsi="Arial" w:cs="Arial"/>
        </w:rPr>
        <w:t>bisphosphonate treatment is</w:t>
      </w:r>
      <w:r>
        <w:rPr>
          <w:rFonts w:ascii="Arial" w:hAnsi="Arial" w:cs="Arial"/>
        </w:rPr>
        <w:t xml:space="preserve"> unclear</w:t>
      </w:r>
      <w:r w:rsidR="00CC60A7">
        <w:rPr>
          <w:rFonts w:ascii="Arial" w:hAnsi="Arial" w:cs="Arial"/>
        </w:rPr>
        <w:t xml:space="preserve"> to me</w:t>
      </w:r>
      <w:r>
        <w:rPr>
          <w:rFonts w:ascii="Arial" w:hAnsi="Arial" w:cs="Arial"/>
        </w:rPr>
        <w:t>.</w:t>
      </w:r>
      <w:r w:rsidR="00866867">
        <w:rPr>
          <w:rFonts w:ascii="Arial" w:hAnsi="Arial" w:cs="Arial"/>
        </w:rPr>
        <w:t xml:space="preserve"> </w:t>
      </w:r>
      <w:r w:rsidR="00847FD0">
        <w:rPr>
          <w:rFonts w:ascii="Arial" w:hAnsi="Arial" w:cs="Arial"/>
        </w:rPr>
        <w:t xml:space="preserve">The mechanism </w:t>
      </w:r>
      <w:r w:rsidR="00847FD0">
        <w:rPr>
          <w:rFonts w:ascii="Arial" w:hAnsi="Arial" w:cs="Arial"/>
        </w:rPr>
        <w:lastRenderedPageBreak/>
        <w:t xml:space="preserve">of action of bisphosphonates on the osteocytes is in contrast to the reduction of the antiresorptive activity of the osteoclasts. </w:t>
      </w:r>
      <w:r w:rsidR="00866867">
        <w:rPr>
          <w:rFonts w:ascii="Arial" w:hAnsi="Arial" w:cs="Arial"/>
        </w:rPr>
        <w:t>It may be that this is related to the potency</w:t>
      </w:r>
      <w:r w:rsidR="003A4A5B">
        <w:rPr>
          <w:rFonts w:ascii="Arial" w:hAnsi="Arial" w:cs="Arial"/>
        </w:rPr>
        <w:t xml:space="preserve"> or the distribution</w:t>
      </w:r>
      <w:r w:rsidR="00866867">
        <w:rPr>
          <w:rFonts w:ascii="Arial" w:hAnsi="Arial" w:cs="Arial"/>
        </w:rPr>
        <w:t xml:space="preserve"> of the compound </w:t>
      </w:r>
      <w:r w:rsidR="003A4A5B">
        <w:rPr>
          <w:rFonts w:ascii="Arial" w:hAnsi="Arial" w:cs="Arial"/>
        </w:rPr>
        <w:t xml:space="preserve">in the bone </w:t>
      </w:r>
      <w:r w:rsidR="00866867">
        <w:rPr>
          <w:rFonts w:ascii="Arial" w:hAnsi="Arial" w:cs="Arial"/>
        </w:rPr>
        <w:t>and p</w:t>
      </w:r>
      <w:r>
        <w:rPr>
          <w:rFonts w:ascii="Arial" w:hAnsi="Arial" w:cs="Arial"/>
        </w:rPr>
        <w:t xml:space="preserve">erhaps other antiresorptives such as raloxifene or </w:t>
      </w:r>
      <w:r w:rsidR="003A4A5B">
        <w:rPr>
          <w:rFonts w:ascii="Arial" w:hAnsi="Arial" w:cs="Arial"/>
        </w:rPr>
        <w:t xml:space="preserve">denosumab </w:t>
      </w:r>
      <w:r w:rsidR="00DA367C">
        <w:rPr>
          <w:rFonts w:ascii="Arial" w:hAnsi="Arial" w:cs="Arial"/>
        </w:rPr>
        <w:t xml:space="preserve">have a stronger effect on Wnt signalling and a mechanism of action that is </w:t>
      </w:r>
      <w:r w:rsidR="00CC60A7">
        <w:rPr>
          <w:rFonts w:ascii="Arial" w:hAnsi="Arial" w:cs="Arial"/>
        </w:rPr>
        <w:t>different to bisphosphonates (chapter 7).</w:t>
      </w:r>
    </w:p>
    <w:p w:rsidR="00704CB0" w:rsidRDefault="00704CB0" w:rsidP="003E5C23">
      <w:pPr>
        <w:pStyle w:val="Heading1"/>
        <w:jc w:val="both"/>
      </w:pPr>
    </w:p>
    <w:p w:rsidR="00704CB0" w:rsidRDefault="00704CB0" w:rsidP="003E5C23">
      <w:pPr>
        <w:pStyle w:val="Heading1"/>
        <w:jc w:val="both"/>
      </w:pPr>
    </w:p>
    <w:p w:rsidR="00704CB0" w:rsidRDefault="00704CB0" w:rsidP="003E5C23">
      <w:pPr>
        <w:pStyle w:val="Heading1"/>
        <w:jc w:val="both"/>
      </w:pPr>
    </w:p>
    <w:p w:rsidR="00704CB0" w:rsidRDefault="00704CB0" w:rsidP="003E5C23">
      <w:pPr>
        <w:pStyle w:val="Heading1"/>
        <w:jc w:val="both"/>
      </w:pPr>
    </w:p>
    <w:p w:rsidR="00704CB0" w:rsidRDefault="00704CB0" w:rsidP="003E5C23">
      <w:pPr>
        <w:pStyle w:val="Heading1"/>
        <w:jc w:val="both"/>
      </w:pPr>
    </w:p>
    <w:p w:rsidR="00704CB0" w:rsidRDefault="00704CB0" w:rsidP="003E5C23">
      <w:pPr>
        <w:pStyle w:val="Heading1"/>
        <w:jc w:val="both"/>
      </w:pPr>
    </w:p>
    <w:p w:rsidR="00704CB0" w:rsidRDefault="00704CB0" w:rsidP="00900F2C">
      <w:pPr>
        <w:pStyle w:val="Heading1"/>
      </w:pPr>
    </w:p>
    <w:p w:rsidR="00704CB0" w:rsidRPr="00704CB0" w:rsidRDefault="00704CB0" w:rsidP="00900F2C"/>
    <w:p w:rsidR="006F5036" w:rsidRDefault="006F5036" w:rsidP="003E5C23">
      <w:pPr>
        <w:pStyle w:val="Heading1"/>
        <w:jc w:val="both"/>
      </w:pPr>
      <w:bookmarkStart w:id="229" w:name="_Toc425418966"/>
      <w:r>
        <w:t>Chapter 7: mechanisms of action of raloxifene on bone turnover</w:t>
      </w:r>
      <w:r w:rsidR="0006135C">
        <w:t xml:space="preserve"> and bone balance in postmenopausal women with osteoporosis</w:t>
      </w:r>
      <w:bookmarkEnd w:id="229"/>
    </w:p>
    <w:p w:rsidR="005772A8" w:rsidRDefault="00626E83" w:rsidP="003E5C23">
      <w:pPr>
        <w:pStyle w:val="Heading2"/>
        <w:jc w:val="both"/>
      </w:pPr>
      <w:bookmarkStart w:id="230" w:name="_Toc425418967"/>
      <w:r>
        <w:t>Introduction</w:t>
      </w:r>
      <w:bookmarkEnd w:id="230"/>
    </w:p>
    <w:p w:rsidR="00007122" w:rsidRPr="002666FD" w:rsidRDefault="003A2FA7" w:rsidP="003B725E">
      <w:pPr>
        <w:spacing w:line="360" w:lineRule="auto"/>
        <w:jc w:val="both"/>
        <w:rPr>
          <w:rFonts w:ascii="Arial" w:hAnsi="Arial" w:cs="Arial"/>
        </w:rPr>
      </w:pPr>
      <w:r w:rsidRPr="002666FD">
        <w:rPr>
          <w:rFonts w:ascii="Arial" w:hAnsi="Arial" w:cs="Arial"/>
        </w:rPr>
        <w:t xml:space="preserve">Estrogen is a key hormone that has </w:t>
      </w:r>
      <w:r w:rsidR="00D76C03" w:rsidRPr="002666FD">
        <w:rPr>
          <w:rFonts w:ascii="Arial" w:hAnsi="Arial" w:cs="Arial"/>
        </w:rPr>
        <w:t xml:space="preserve">an important role in maintaining bone homeostasis and structural integrity. In normal bone pathophysiology this </w:t>
      </w:r>
      <w:r w:rsidRPr="002666FD">
        <w:rPr>
          <w:rFonts w:ascii="Arial" w:hAnsi="Arial" w:cs="Arial"/>
        </w:rPr>
        <w:t xml:space="preserve">involves the balanced </w:t>
      </w:r>
      <w:r w:rsidR="00D76C03" w:rsidRPr="002666FD">
        <w:rPr>
          <w:rFonts w:ascii="Arial" w:hAnsi="Arial" w:cs="Arial"/>
        </w:rPr>
        <w:t>activities of the osteoclasts and osteoblast</w:t>
      </w:r>
      <w:r w:rsidRPr="002666FD">
        <w:rPr>
          <w:rFonts w:ascii="Arial" w:hAnsi="Arial" w:cs="Arial"/>
        </w:rPr>
        <w:t xml:space="preserve"> and the sensory abilities of osteocyte</w:t>
      </w:r>
      <w:r w:rsidR="00EB6204">
        <w:rPr>
          <w:rFonts w:ascii="Arial" w:hAnsi="Arial" w:cs="Arial"/>
        </w:rPr>
        <w:t xml:space="preserve"> </w:t>
      </w:r>
      <w:r w:rsidR="00364A84">
        <w:rPr>
          <w:rFonts w:ascii="Arial" w:hAnsi="Arial" w:cs="Arial"/>
        </w:rPr>
        <w:fldChar w:fldCharType="begin"/>
      </w:r>
      <w:r w:rsidR="00066E61">
        <w:rPr>
          <w:rFonts w:ascii="Arial" w:hAnsi="Arial" w:cs="Arial"/>
        </w:rPr>
        <w:instrText xml:space="preserve"> ADDIN EN.CITE &lt;EndNote&gt;&lt;Cite&gt;&lt;Author&gt;Burger&lt;/Author&gt;&lt;Year&gt;1999&lt;/Year&gt;&lt;RecNum&gt;341&lt;/RecNum&gt;&lt;DisplayText&gt;(467)&lt;/DisplayText&gt;&lt;record&gt;&lt;rec-number&gt;341&lt;/rec-number&gt;&lt;foreign-keys&gt;&lt;key app="EN" db-id="p9a5ttsvyvde9me5aw2x05fp5p55axf0wr90" timestamp="1435237625"&gt;341&lt;/key&gt;&lt;/foreign-keys&gt;&lt;ref-type name="Journal Article"&gt;17&lt;/ref-type&gt;&lt;contributors&gt;&lt;authors&gt;&lt;author&gt;Burger, E. H.&lt;/author&gt;&lt;author&gt;Klein-Nulen, J.&lt;/author&gt;&lt;/authors&gt;&lt;/contributors&gt;&lt;auth-address&gt;ACTA-Vrije Universiteit, Department of Oral Cell Biology, Van der Boechorststraat 7, 1081 BT Amsterdam, The Netherlands.&lt;/auth-address&gt;&lt;titles&gt;&lt;title&gt;Responses of bone cells to biomechanical forces in vitro&lt;/title&gt;&lt;secondary-title&gt;Adv Dent Res&lt;/secondary-title&gt;&lt;/titles&gt;&lt;periodical&gt;&lt;full-title&gt;Adv Dent Res&lt;/full-title&gt;&lt;/periodical&gt;&lt;pages&gt;93-8&lt;/pages&gt;&lt;volume&gt;13&lt;/volume&gt;&lt;edition&gt;2001/03/30&lt;/edition&gt;&lt;keywords&gt;&lt;keyword&gt;Animals&lt;/keyword&gt;&lt;keyword&gt;Biomechanical Phenomena&lt;/keyword&gt;&lt;keyword&gt;Bone Remodeling/physiology&lt;/keyword&gt;&lt;keyword&gt;Bone and Bones/ physiology&lt;/keyword&gt;&lt;keyword&gt;Cell Communication/physiology&lt;/keyword&gt;&lt;keyword&gt;Extracellular Space/physiology&lt;/keyword&gt;&lt;keyword&gt;Humans&lt;/keyword&gt;&lt;keyword&gt;Nitric Oxide/physiology&lt;/keyword&gt;&lt;keyword&gt;Osseointegration&lt;/keyword&gt;&lt;keyword&gt;Osteoblasts/ physiology&lt;/keyword&gt;&lt;keyword&gt;Osteoclasts/ physiology&lt;/keyword&gt;&lt;keyword&gt;Osteocytes/ physiology&lt;/keyword&gt;&lt;keyword&gt;Prostaglandins/physiology&lt;/keyword&gt;&lt;keyword&gt;Rheology&lt;/keyword&gt;&lt;keyword&gt;Signal Transduction/physiology&lt;/keyword&gt;&lt;keyword&gt;Stress, Mechanical&lt;/keyword&gt;&lt;/keywords&gt;&lt;dates&gt;&lt;year&gt;1999&lt;/year&gt;&lt;pub-dates&gt;&lt;date&gt;Jun&lt;/date&gt;&lt;/pub-dates&gt;&lt;/dates&gt;&lt;isbn&gt;0895-9374 (Print)&amp;#xD;0895-9374 (Linking)&lt;/isbn&gt;&lt;accession-num&gt;11276754&lt;/accession-num&gt;&lt;urls&gt;&lt;/urls&gt;&lt;remote-database-provider&gt;NLM&lt;/remote-database-provider&gt;&lt;language&gt;eng&lt;/language&gt;&lt;/record&gt;&lt;/Cite&gt;&lt;/EndNote&gt;</w:instrText>
      </w:r>
      <w:r w:rsidR="00364A84">
        <w:rPr>
          <w:rFonts w:ascii="Arial" w:hAnsi="Arial" w:cs="Arial"/>
        </w:rPr>
        <w:fldChar w:fldCharType="separate"/>
      </w:r>
      <w:r w:rsidR="00066E61">
        <w:rPr>
          <w:rFonts w:ascii="Arial" w:hAnsi="Arial" w:cs="Arial"/>
          <w:noProof/>
        </w:rPr>
        <w:t>(</w:t>
      </w:r>
      <w:hyperlink w:anchor="_ENREF_467" w:tooltip="Burger, 1999 #341" w:history="1">
        <w:r w:rsidR="003B725E">
          <w:rPr>
            <w:rFonts w:ascii="Arial" w:hAnsi="Arial" w:cs="Arial"/>
            <w:noProof/>
          </w:rPr>
          <w:t>467</w:t>
        </w:r>
      </w:hyperlink>
      <w:r w:rsidR="00066E61">
        <w:rPr>
          <w:rFonts w:ascii="Arial" w:hAnsi="Arial" w:cs="Arial"/>
          <w:noProof/>
        </w:rPr>
        <w:t>)</w:t>
      </w:r>
      <w:r w:rsidR="00364A84">
        <w:rPr>
          <w:rFonts w:ascii="Arial" w:hAnsi="Arial" w:cs="Arial"/>
        </w:rPr>
        <w:fldChar w:fldCharType="end"/>
      </w:r>
      <w:r w:rsidR="00364A84">
        <w:rPr>
          <w:rFonts w:ascii="Arial" w:hAnsi="Arial" w:cs="Arial"/>
        </w:rPr>
        <w:t xml:space="preserve">. </w:t>
      </w:r>
      <w:r w:rsidRPr="002666FD">
        <w:rPr>
          <w:rFonts w:ascii="Arial" w:hAnsi="Arial" w:cs="Arial"/>
        </w:rPr>
        <w:t>In p</w:t>
      </w:r>
      <w:r w:rsidR="00D93D1D">
        <w:rPr>
          <w:rFonts w:ascii="Arial" w:hAnsi="Arial" w:cs="Arial"/>
        </w:rPr>
        <w:t>ostmenopausal women</w:t>
      </w:r>
      <w:r w:rsidR="00007122" w:rsidRPr="002666FD">
        <w:rPr>
          <w:rFonts w:ascii="Arial" w:hAnsi="Arial" w:cs="Arial"/>
        </w:rPr>
        <w:t xml:space="preserve"> </w:t>
      </w:r>
      <w:r w:rsidR="00114156" w:rsidRPr="002666FD">
        <w:rPr>
          <w:rFonts w:ascii="Arial" w:hAnsi="Arial" w:cs="Arial"/>
        </w:rPr>
        <w:t>estrogen deficiency</w:t>
      </w:r>
      <w:r w:rsidR="00D93D1D">
        <w:rPr>
          <w:rFonts w:ascii="Arial" w:hAnsi="Arial" w:cs="Arial"/>
        </w:rPr>
        <w:t xml:space="preserve"> results in osteoporosis due to changes in cellular activity because it </w:t>
      </w:r>
      <w:r w:rsidR="00114156" w:rsidRPr="002666FD">
        <w:rPr>
          <w:rFonts w:ascii="Arial" w:hAnsi="Arial" w:cs="Arial"/>
        </w:rPr>
        <w:t xml:space="preserve"> i) increases the activities of the </w:t>
      </w:r>
      <w:r w:rsidR="009C51F8">
        <w:rPr>
          <w:rFonts w:ascii="Arial" w:hAnsi="Arial" w:cs="Arial"/>
        </w:rPr>
        <w:t xml:space="preserve">osteoclasts and their survival and </w:t>
      </w:r>
      <w:r w:rsidR="00114156" w:rsidRPr="002666FD">
        <w:rPr>
          <w:rFonts w:ascii="Arial" w:hAnsi="Arial" w:cs="Arial"/>
        </w:rPr>
        <w:t>ii) increases osteocyte apoptosis</w:t>
      </w:r>
      <w:r w:rsidR="00EB6204">
        <w:rPr>
          <w:rFonts w:ascii="Arial" w:hAnsi="Arial" w:cs="Arial"/>
        </w:rPr>
        <w:t xml:space="preserve"> </w:t>
      </w:r>
      <w:r w:rsidR="00EB6204">
        <w:rPr>
          <w:rFonts w:ascii="Arial" w:hAnsi="Arial" w:cs="Arial"/>
        </w:rPr>
        <w:fldChar w:fldCharType="begin">
          <w:fldData xml:space="preserve">PEVuZE5vdGU+PENpdGU+PEF1dGhvcj5Ub21raW5zb248L0F1dGhvcj48WWVhcj4xOTk3PC9ZZWFy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IFJlc2VhcmNoPC9hYmJyLTE+PC9hbHQtcGVyaW9kaWNhbD48cGFnZXM+MTI0My01MDwvcGFnZXM+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PEVuZE5vdGU+PENpdGU+PEF1dGhvcj5Ub21raW5zb248L0F1dGhvcj48WWVhcj4xOTk3PC9ZZWFy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EB6204">
        <w:rPr>
          <w:rFonts w:ascii="Arial" w:hAnsi="Arial" w:cs="Arial"/>
        </w:rPr>
      </w:r>
      <w:r w:rsidR="00EB6204">
        <w:rPr>
          <w:rFonts w:ascii="Arial" w:hAnsi="Arial" w:cs="Arial"/>
        </w:rPr>
        <w:fldChar w:fldCharType="separate"/>
      </w:r>
      <w:r w:rsidR="00066E61">
        <w:rPr>
          <w:rFonts w:ascii="Arial" w:hAnsi="Arial" w:cs="Arial"/>
          <w:noProof/>
        </w:rPr>
        <w:t>(</w:t>
      </w:r>
      <w:hyperlink w:anchor="_ENREF_468" w:tooltip="Tomkinson, 1997 #257" w:history="1">
        <w:r w:rsidR="003B725E">
          <w:rPr>
            <w:rFonts w:ascii="Arial" w:hAnsi="Arial" w:cs="Arial"/>
            <w:noProof/>
          </w:rPr>
          <w:t>468</w:t>
        </w:r>
      </w:hyperlink>
      <w:r w:rsidR="00066E61">
        <w:rPr>
          <w:rFonts w:ascii="Arial" w:hAnsi="Arial" w:cs="Arial"/>
          <w:noProof/>
        </w:rPr>
        <w:t xml:space="preserve">, </w:t>
      </w:r>
      <w:hyperlink w:anchor="_ENREF_469" w:tooltip="Tomkinson, 1998 #258" w:history="1">
        <w:r w:rsidR="003B725E">
          <w:rPr>
            <w:rFonts w:ascii="Arial" w:hAnsi="Arial" w:cs="Arial"/>
            <w:noProof/>
          </w:rPr>
          <w:t>469</w:t>
        </w:r>
      </w:hyperlink>
      <w:r w:rsidR="00066E61">
        <w:rPr>
          <w:rFonts w:ascii="Arial" w:hAnsi="Arial" w:cs="Arial"/>
          <w:noProof/>
        </w:rPr>
        <w:t>)</w:t>
      </w:r>
      <w:r w:rsidR="00EB6204">
        <w:rPr>
          <w:rFonts w:ascii="Arial" w:hAnsi="Arial" w:cs="Arial"/>
        </w:rPr>
        <w:fldChar w:fldCharType="end"/>
      </w:r>
      <w:r w:rsidR="00EB6204">
        <w:rPr>
          <w:rFonts w:ascii="Arial" w:hAnsi="Arial" w:cs="Arial"/>
        </w:rPr>
        <w:t xml:space="preserve">. </w:t>
      </w:r>
      <w:r w:rsidR="00D93D1D">
        <w:rPr>
          <w:rFonts w:ascii="Arial" w:hAnsi="Arial" w:cs="Arial"/>
        </w:rPr>
        <w:t xml:space="preserve">This </w:t>
      </w:r>
      <w:r w:rsidR="00980904" w:rsidRPr="002666FD">
        <w:rPr>
          <w:rFonts w:ascii="Arial" w:hAnsi="Arial" w:cs="Arial"/>
        </w:rPr>
        <w:t>cause</w:t>
      </w:r>
      <w:r w:rsidR="00D93D1D">
        <w:rPr>
          <w:rFonts w:ascii="Arial" w:hAnsi="Arial" w:cs="Arial"/>
        </w:rPr>
        <w:t>s</w:t>
      </w:r>
      <w:r w:rsidR="00980904" w:rsidRPr="002666FD">
        <w:rPr>
          <w:rFonts w:ascii="Arial" w:hAnsi="Arial" w:cs="Arial"/>
        </w:rPr>
        <w:t xml:space="preserve"> </w:t>
      </w:r>
      <w:r w:rsidR="00B55A30" w:rsidRPr="002666FD">
        <w:rPr>
          <w:rFonts w:ascii="Arial" w:hAnsi="Arial" w:cs="Arial"/>
        </w:rPr>
        <w:t>increased bone turnover, an imbalance where bone resorption exceeds bone formation resulting in</w:t>
      </w:r>
      <w:r w:rsidR="00980904" w:rsidRPr="002666FD">
        <w:rPr>
          <w:rFonts w:ascii="Arial" w:hAnsi="Arial" w:cs="Arial"/>
        </w:rPr>
        <w:t xml:space="preserve"> reduced BMD,</w:t>
      </w:r>
      <w:r w:rsidR="00B55A30" w:rsidRPr="002666FD">
        <w:rPr>
          <w:rFonts w:ascii="Arial" w:hAnsi="Arial" w:cs="Arial"/>
        </w:rPr>
        <w:t xml:space="preserve"> accelerated bone loss and an increased fracture risk.</w:t>
      </w:r>
    </w:p>
    <w:p w:rsidR="00980904" w:rsidRDefault="00801F91" w:rsidP="003B725E">
      <w:pPr>
        <w:spacing w:line="360" w:lineRule="auto"/>
        <w:jc w:val="both"/>
        <w:rPr>
          <w:rFonts w:ascii="Arial" w:hAnsi="Arial" w:cs="Arial"/>
        </w:rPr>
      </w:pPr>
      <w:r w:rsidRPr="002666FD">
        <w:rPr>
          <w:rFonts w:ascii="Arial" w:hAnsi="Arial" w:cs="Arial"/>
        </w:rPr>
        <w:t xml:space="preserve">Raloxifene (a SERM) is an estrogen like </w:t>
      </w:r>
      <w:r w:rsidR="002D129F" w:rsidRPr="002666FD">
        <w:rPr>
          <w:rFonts w:ascii="Arial" w:hAnsi="Arial" w:cs="Arial"/>
        </w:rPr>
        <w:t xml:space="preserve">non-steroidal synthetic </w:t>
      </w:r>
      <w:r w:rsidRPr="002666FD">
        <w:rPr>
          <w:rFonts w:ascii="Arial" w:hAnsi="Arial" w:cs="Arial"/>
        </w:rPr>
        <w:t>treatment</w:t>
      </w:r>
      <w:r w:rsidR="00A91054" w:rsidRPr="002666FD">
        <w:rPr>
          <w:rFonts w:ascii="Arial" w:hAnsi="Arial" w:cs="Arial"/>
        </w:rPr>
        <w:t xml:space="preserve"> that bi</w:t>
      </w:r>
      <w:r w:rsidRPr="002666FD">
        <w:rPr>
          <w:rFonts w:ascii="Arial" w:hAnsi="Arial" w:cs="Arial"/>
        </w:rPr>
        <w:t>nds to the receptors ER</w:t>
      </w:r>
      <w:r w:rsidR="00A91054" w:rsidRPr="002666FD">
        <w:rPr>
          <w:rFonts w:ascii="Arial" w:hAnsi="Arial" w:cs="Arial"/>
        </w:rPr>
        <w:t>α and ERβ</w:t>
      </w:r>
      <w:r w:rsidRPr="002666FD">
        <w:rPr>
          <w:rFonts w:ascii="Arial" w:hAnsi="Arial" w:cs="Arial"/>
        </w:rPr>
        <w:t xml:space="preserve"> </w:t>
      </w:r>
      <w:r w:rsidR="00284D5F" w:rsidRPr="002666FD">
        <w:rPr>
          <w:rFonts w:ascii="Arial" w:hAnsi="Arial" w:cs="Arial"/>
        </w:rPr>
        <w:t>and regulates gene transcription</w:t>
      </w:r>
      <w:r w:rsidR="002D129F" w:rsidRPr="002666FD">
        <w:rPr>
          <w:rFonts w:ascii="Arial" w:hAnsi="Arial" w:cs="Arial"/>
        </w:rPr>
        <w:t xml:space="preserve"> in bone</w:t>
      </w:r>
      <w:r w:rsidR="00284D5F" w:rsidRPr="002666FD">
        <w:rPr>
          <w:rFonts w:ascii="Arial" w:hAnsi="Arial" w:cs="Arial"/>
        </w:rPr>
        <w:t xml:space="preserve">. </w:t>
      </w:r>
      <w:r w:rsidR="002666FD">
        <w:rPr>
          <w:rFonts w:ascii="Arial" w:hAnsi="Arial" w:cs="Arial"/>
        </w:rPr>
        <w:t>It is an estrogen agonist on bone and an estrogen antagonist on the endometrium and breast</w:t>
      </w:r>
      <w:r w:rsidR="00F87D14">
        <w:rPr>
          <w:rFonts w:ascii="Arial" w:hAnsi="Arial" w:cs="Arial"/>
        </w:rPr>
        <w:t xml:space="preserve">, </w:t>
      </w:r>
      <w:r w:rsidR="00F87D14">
        <w:rPr>
          <w:rFonts w:ascii="Arial" w:hAnsi="Arial" w:cs="Arial"/>
        </w:rPr>
        <w:fldChar w:fldCharType="begin">
          <w:fldData xml:space="preserve">PEVuZE5vdGU+PENpdGU+PEF1dGhvcj5EZWxtYXM8L0F1dGhvcj48WWVhcj4xOTk3PC9ZZWFyPjxS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PEVuZE5vdGU+PENpdGU+PEF1dGhvcj5EZWxtYXM8L0F1dGhvcj48WWVhcj4xOTk3PC9ZZWFyPjxS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F87D14">
        <w:rPr>
          <w:rFonts w:ascii="Arial" w:hAnsi="Arial" w:cs="Arial"/>
        </w:rPr>
      </w:r>
      <w:r w:rsidR="00F87D14">
        <w:rPr>
          <w:rFonts w:ascii="Arial" w:hAnsi="Arial" w:cs="Arial"/>
        </w:rPr>
        <w:fldChar w:fldCharType="separate"/>
      </w:r>
      <w:r w:rsidR="00066E61">
        <w:rPr>
          <w:rFonts w:ascii="Arial" w:hAnsi="Arial" w:cs="Arial"/>
          <w:noProof/>
        </w:rPr>
        <w:t>(</w:t>
      </w:r>
      <w:hyperlink w:anchor="_ENREF_422" w:tooltip="Weinstein, 2003 #482" w:history="1">
        <w:r w:rsidR="003B725E">
          <w:rPr>
            <w:rFonts w:ascii="Arial" w:hAnsi="Arial" w:cs="Arial"/>
            <w:noProof/>
          </w:rPr>
          <w:t>422</w:t>
        </w:r>
      </w:hyperlink>
      <w:r w:rsidR="00066E61">
        <w:rPr>
          <w:rFonts w:ascii="Arial" w:hAnsi="Arial" w:cs="Arial"/>
          <w:noProof/>
        </w:rPr>
        <w:t xml:space="preserve">, </w:t>
      </w:r>
      <w:hyperlink w:anchor="_ENREF_470" w:tooltip="Delmas, 1997 #509" w:history="1">
        <w:r w:rsidR="003B725E">
          <w:rPr>
            <w:rFonts w:ascii="Arial" w:hAnsi="Arial" w:cs="Arial"/>
            <w:noProof/>
          </w:rPr>
          <w:t>470</w:t>
        </w:r>
      </w:hyperlink>
      <w:r w:rsidR="00066E61">
        <w:rPr>
          <w:rFonts w:ascii="Arial" w:hAnsi="Arial" w:cs="Arial"/>
          <w:noProof/>
        </w:rPr>
        <w:t>)</w:t>
      </w:r>
      <w:r w:rsidR="00F87D14">
        <w:rPr>
          <w:rFonts w:ascii="Arial" w:hAnsi="Arial" w:cs="Arial"/>
        </w:rPr>
        <w:fldChar w:fldCharType="end"/>
      </w:r>
      <w:r w:rsidR="002666FD">
        <w:rPr>
          <w:rFonts w:ascii="Arial" w:hAnsi="Arial" w:cs="Arial"/>
        </w:rPr>
        <w:t xml:space="preserve">. </w:t>
      </w:r>
      <w:r w:rsidR="00D93D1D">
        <w:rPr>
          <w:rFonts w:ascii="Arial" w:hAnsi="Arial" w:cs="Arial"/>
        </w:rPr>
        <w:t>This treatment</w:t>
      </w:r>
      <w:r w:rsidR="00A91054" w:rsidRPr="002666FD">
        <w:rPr>
          <w:rFonts w:ascii="Arial" w:hAnsi="Arial" w:cs="Arial"/>
        </w:rPr>
        <w:t xml:space="preserve"> decreases bone turnover and through several </w:t>
      </w:r>
      <w:r w:rsidR="001E374A" w:rsidRPr="002666FD">
        <w:rPr>
          <w:rFonts w:ascii="Arial" w:hAnsi="Arial" w:cs="Arial"/>
        </w:rPr>
        <w:t xml:space="preserve">cellular </w:t>
      </w:r>
      <w:r w:rsidR="00A91054" w:rsidRPr="002666FD">
        <w:rPr>
          <w:rFonts w:ascii="Arial" w:hAnsi="Arial" w:cs="Arial"/>
        </w:rPr>
        <w:t xml:space="preserve">mechanisms </w:t>
      </w:r>
      <w:r w:rsidR="00284D5F" w:rsidRPr="002666FD">
        <w:rPr>
          <w:rFonts w:ascii="Arial" w:hAnsi="Arial" w:cs="Arial"/>
        </w:rPr>
        <w:t>increases BMD</w:t>
      </w:r>
      <w:r w:rsidR="00F87D14">
        <w:rPr>
          <w:rFonts w:ascii="Arial" w:hAnsi="Arial" w:cs="Arial"/>
        </w:rPr>
        <w:t xml:space="preserve"> </w:t>
      </w:r>
      <w:r w:rsidR="00F87D14">
        <w:rPr>
          <w:rFonts w:ascii="Arial" w:hAnsi="Arial" w:cs="Arial"/>
        </w:rPr>
        <w:fldChar w:fldCharType="begin"/>
      </w:r>
      <w:r w:rsidR="000D155C">
        <w:rPr>
          <w:rFonts w:ascii="Arial" w:hAnsi="Arial" w:cs="Arial"/>
        </w:rPr>
        <w:instrText xml:space="preserve"> ADDIN EN.CITE &lt;EndNote&gt;&lt;Cite&gt;&lt;Author&gt;Naylor&lt;/Author&gt;&lt;Year&gt;2010&lt;/Year&gt;&lt;RecNum&gt;202&lt;/RecNum&gt;&lt;DisplayText&gt;(411)&lt;/DisplayText&gt;&lt;record&gt;&lt;rec-number&gt;202&lt;/rec-number&gt;&lt;foreign-keys&gt;&lt;key app="EN" db-id="p9a5ttsvyvde9me5aw2x05fp5p55axf0wr90" timestamp="1417715020"&gt;202&lt;/key&gt;&lt;/foreign-keys&gt;&lt;ref-type name="Journal Article"&gt;17&lt;/ref-type&gt;&lt;contributors&gt;&lt;authors&gt;&lt;author&gt;Naylor, K. E.&lt;/author&gt;&lt;author&gt;Clowes, J. A.&lt;/author&gt;&lt;author&gt;Finigan, J.&lt;/author&gt;&lt;author&gt;Paggiosi, M. A.&lt;/author&gt;&lt;author&gt;Peel, N. F.&lt;/author&gt;&lt;author&gt;Eastell, R.&lt;/author&gt;&lt;/authors&gt;&lt;/contributors&gt;&lt;auth-address&gt;University of Sheffield, UK.&lt;/auth-address&gt;&lt;titles&gt;&lt;title&gt;The effect of cessation of raloxifene treatment on bone turnover in postmenopausal women&lt;/title&gt;&lt;secondary-title&gt;Bone&lt;/secondary-title&gt;&lt;alt-title&gt;Bone&lt;/alt-title&gt;&lt;/titles&gt;&lt;periodical&gt;&lt;full-title&gt;Bone&lt;/full-title&gt;&lt;abbr-1&gt;Bone&lt;/abbr-1&gt;&lt;/periodical&gt;&lt;alt-periodical&gt;&lt;full-title&gt;Bone&lt;/full-title&gt;&lt;abbr-1&gt;Bone&lt;/abbr-1&gt;&lt;/alt-periodical&gt;&lt;pages&gt;592-7&lt;/pages&gt;&lt;volume&gt;46&lt;/volume&gt;&lt;number&gt;3&lt;/number&gt;&lt;edition&gt;2009/11/10&lt;/edition&gt;&lt;keywords&gt;&lt;keyword&gt;Aged&lt;/keyword&gt;&lt;keyword&gt;Biological Markers/analysis/metabolism&lt;/keyword&gt;&lt;keyword&gt;Bone Density/drug effects/physiology&lt;/keyword&gt;&lt;keyword&gt;Bone Density Conservation Agents/administration &amp;amp; dosage&lt;/keyword&gt;&lt;keyword&gt;Bone Diseases, Metabolic/drug therapy/metabolism&lt;/keyword&gt;&lt;keyword&gt;Bone Remodeling/ drug effects/ physiology&lt;/keyword&gt;&lt;keyword&gt;Female&lt;/keyword&gt;&lt;keyword&gt;Humans&lt;/keyword&gt;&lt;keyword&gt;Middle Aged&lt;/keyword&gt;&lt;keyword&gt;Postmenopause/ drug effects/ metabolism&lt;/keyword&gt;&lt;keyword&gt;Raloxifene/ administration &amp;amp; dosage&lt;/keyword&gt;&lt;keyword&gt;Treatment Outcome&lt;/keyword&gt;&lt;/keywords&gt;&lt;dates&gt;&lt;year&gt;2010&lt;/year&gt;&lt;pub-dates&gt;&lt;date&gt;Mar&lt;/date&gt;&lt;/pub-dates&gt;&lt;/dates&gt;&lt;isbn&gt;1873-2763 (Electronic)&amp;#xD;1873-2763 (Linking)&lt;/isbn&gt;&lt;accession-num&gt;19897063&lt;/accession-num&gt;&lt;urls&gt;&lt;/urls&gt;&lt;electronic-resource-num&gt;10.1016/j.bone.2009.10.043&lt;/electronic-resource-num&gt;&lt;remote-database-provider&gt;NLM&lt;/remote-database-provider&gt;&lt;language&gt;eng&lt;/language&gt;&lt;/record&gt;&lt;/Cite&gt;&lt;/EndNote&gt;</w:instrText>
      </w:r>
      <w:r w:rsidR="00F87D14">
        <w:rPr>
          <w:rFonts w:ascii="Arial" w:hAnsi="Arial" w:cs="Arial"/>
        </w:rPr>
        <w:fldChar w:fldCharType="separate"/>
      </w:r>
      <w:r w:rsidR="000D155C">
        <w:rPr>
          <w:rFonts w:ascii="Arial" w:hAnsi="Arial" w:cs="Arial"/>
          <w:noProof/>
        </w:rPr>
        <w:t>(</w:t>
      </w:r>
      <w:hyperlink w:anchor="_ENREF_411" w:tooltip="Naylor, 2010 #202" w:history="1">
        <w:r w:rsidR="003B725E">
          <w:rPr>
            <w:rFonts w:ascii="Arial" w:hAnsi="Arial" w:cs="Arial"/>
            <w:noProof/>
          </w:rPr>
          <w:t>411</w:t>
        </w:r>
      </w:hyperlink>
      <w:r w:rsidR="000D155C">
        <w:rPr>
          <w:rFonts w:ascii="Arial" w:hAnsi="Arial" w:cs="Arial"/>
          <w:noProof/>
        </w:rPr>
        <w:t>)</w:t>
      </w:r>
      <w:r w:rsidR="00F87D14">
        <w:rPr>
          <w:rFonts w:ascii="Arial" w:hAnsi="Arial" w:cs="Arial"/>
        </w:rPr>
        <w:fldChar w:fldCharType="end"/>
      </w:r>
      <w:r w:rsidR="002F146B">
        <w:rPr>
          <w:rFonts w:ascii="Arial" w:hAnsi="Arial" w:cs="Arial"/>
        </w:rPr>
        <w:t xml:space="preserve"> reducing</w:t>
      </w:r>
      <w:r w:rsidR="00A91054" w:rsidRPr="002666FD">
        <w:rPr>
          <w:rFonts w:ascii="Arial" w:hAnsi="Arial" w:cs="Arial"/>
        </w:rPr>
        <w:t xml:space="preserve"> bone loss and fracture risk</w:t>
      </w:r>
      <w:r w:rsidR="002F146B">
        <w:rPr>
          <w:rFonts w:ascii="Arial" w:hAnsi="Arial" w:cs="Arial"/>
        </w:rPr>
        <w:t xml:space="preserve">, </w:t>
      </w:r>
      <w:r w:rsidR="002F146B">
        <w:rPr>
          <w:rFonts w:ascii="Arial" w:hAnsi="Arial" w:cs="Arial"/>
        </w:rPr>
        <w:fldChar w:fldCharType="begin">
          <w:fldData xml:space="preserve">PEVuZE5vdGU+PENpdGU+PEF1dGhvcj5FdHRpbmdlcjwvQXV0aG9yPjxZZWFyPjE5OTk8L1llYXI+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</w:fldData>
        </w:fldChar>
      </w:r>
      <w:r w:rsidR="00B329CC">
        <w:rPr>
          <w:rFonts w:ascii="Arial" w:hAnsi="Arial" w:cs="Arial"/>
        </w:rPr>
        <w:instrText xml:space="preserve"> ADDIN EN.CITE </w:instrText>
      </w:r>
      <w:r w:rsidR="00B329CC">
        <w:rPr>
          <w:rFonts w:ascii="Arial" w:hAnsi="Arial" w:cs="Arial"/>
        </w:rPr>
        <w:fldChar w:fldCharType="begin">
          <w:fldData xml:space="preserve">PEVuZE5vdGU+PENpdGU+PEF1dGhvcj5FdHRpbmdlcjwvQXV0aG9yPjxZZWFyPjE5OTk8L1llYXI+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</w:fldData>
        </w:fldChar>
      </w:r>
      <w:r w:rsidR="00B329CC">
        <w:rPr>
          <w:rFonts w:ascii="Arial" w:hAnsi="Arial" w:cs="Arial"/>
        </w:rPr>
        <w:instrText xml:space="preserve"> ADDIN EN.CITE.DATA </w:instrText>
      </w:r>
      <w:r w:rsidR="00B329CC">
        <w:rPr>
          <w:rFonts w:ascii="Arial" w:hAnsi="Arial" w:cs="Arial"/>
        </w:rPr>
      </w:r>
      <w:r w:rsidR="00B329CC">
        <w:rPr>
          <w:rFonts w:ascii="Arial" w:hAnsi="Arial" w:cs="Arial"/>
        </w:rPr>
        <w:fldChar w:fldCharType="end"/>
      </w:r>
      <w:r w:rsidR="002F146B">
        <w:rPr>
          <w:rFonts w:ascii="Arial" w:hAnsi="Arial" w:cs="Arial"/>
        </w:rPr>
      </w:r>
      <w:r w:rsidR="002F146B">
        <w:rPr>
          <w:rFonts w:ascii="Arial" w:hAnsi="Arial" w:cs="Arial"/>
        </w:rPr>
        <w:fldChar w:fldCharType="separate"/>
      </w:r>
      <w:r w:rsidR="00B329CC">
        <w:rPr>
          <w:rFonts w:ascii="Arial" w:hAnsi="Arial" w:cs="Arial"/>
          <w:noProof/>
        </w:rPr>
        <w:t>(</w:t>
      </w:r>
      <w:hyperlink w:anchor="_ENREF_302" w:tooltip="Ettinger, 1999 #150" w:history="1">
        <w:r w:rsidR="003B725E">
          <w:rPr>
            <w:rFonts w:ascii="Arial" w:hAnsi="Arial" w:cs="Arial"/>
            <w:noProof/>
          </w:rPr>
          <w:t>302</w:t>
        </w:r>
      </w:hyperlink>
      <w:r w:rsidR="00B329CC">
        <w:rPr>
          <w:rFonts w:ascii="Arial" w:hAnsi="Arial" w:cs="Arial"/>
          <w:noProof/>
        </w:rPr>
        <w:t xml:space="preserve">, </w:t>
      </w:r>
      <w:hyperlink w:anchor="_ENREF_317" w:tooltip="Delmas, 2002 #222" w:history="1">
        <w:r w:rsidR="003B725E">
          <w:rPr>
            <w:rFonts w:ascii="Arial" w:hAnsi="Arial" w:cs="Arial"/>
            <w:noProof/>
          </w:rPr>
          <w:t>317</w:t>
        </w:r>
      </w:hyperlink>
      <w:r w:rsidR="00B329CC">
        <w:rPr>
          <w:rFonts w:ascii="Arial" w:hAnsi="Arial" w:cs="Arial"/>
          <w:noProof/>
        </w:rPr>
        <w:t>)</w:t>
      </w:r>
      <w:r w:rsidR="002F146B">
        <w:rPr>
          <w:rFonts w:ascii="Arial" w:hAnsi="Arial" w:cs="Arial"/>
        </w:rPr>
        <w:fldChar w:fldCharType="end"/>
      </w:r>
      <w:r w:rsidR="002F146B">
        <w:rPr>
          <w:rFonts w:ascii="Arial" w:hAnsi="Arial" w:cs="Arial"/>
        </w:rPr>
        <w:t xml:space="preserve">. </w:t>
      </w:r>
      <w:r w:rsidR="00BA0D5C" w:rsidRPr="002666FD">
        <w:rPr>
          <w:rFonts w:ascii="Arial" w:hAnsi="Arial" w:cs="Arial"/>
        </w:rPr>
        <w:t xml:space="preserve">The effects of </w:t>
      </w:r>
      <w:r w:rsidR="00BA0D5C" w:rsidRPr="002666FD">
        <w:rPr>
          <w:rFonts w:ascii="Arial" w:hAnsi="Arial" w:cs="Arial"/>
        </w:rPr>
        <w:lastRenderedPageBreak/>
        <w:t>raloxifene on bone turnover as assessed by BTMs and how they differ to bisphosphonates has been previously descr</w:t>
      </w:r>
      <w:r w:rsidR="00B238B7" w:rsidRPr="002666FD">
        <w:rPr>
          <w:rFonts w:ascii="Arial" w:hAnsi="Arial" w:cs="Arial"/>
        </w:rPr>
        <w:t>ibed in chapter 5 and in other</w:t>
      </w:r>
      <w:r w:rsidR="00BA0D5C" w:rsidRPr="002666FD">
        <w:rPr>
          <w:rFonts w:ascii="Arial" w:hAnsi="Arial" w:cs="Arial"/>
        </w:rPr>
        <w:t xml:space="preserve"> clinical trials. </w:t>
      </w:r>
      <w:r w:rsidR="00D93D1D">
        <w:rPr>
          <w:rFonts w:ascii="Arial" w:hAnsi="Arial" w:cs="Arial"/>
        </w:rPr>
        <w:t>In the MORE trial, a 6</w:t>
      </w:r>
      <w:r w:rsidR="00DB6764" w:rsidRPr="002666FD">
        <w:rPr>
          <w:rFonts w:ascii="Arial" w:hAnsi="Arial" w:cs="Arial"/>
        </w:rPr>
        <w:t>0mg/day dose of raloxifene resulted in a decrease in bone resorption and a redu</w:t>
      </w:r>
      <w:r w:rsidR="002F146B">
        <w:rPr>
          <w:rFonts w:ascii="Arial" w:hAnsi="Arial" w:cs="Arial"/>
        </w:rPr>
        <w:t xml:space="preserve">ced risk of vertebral fractures, </w:t>
      </w:r>
      <w:r w:rsidR="002F146B">
        <w:rPr>
          <w:rFonts w:ascii="Arial" w:hAnsi="Arial" w:cs="Arial"/>
        </w:rPr>
        <w:fldChar w:fldCharType="begin">
          <w:fldData xml:space="preserve">PEVuZE5vdGU+PENpdGU+PEF1dGhvcj5FdHRpbmdlcjwvQXV0aG9yPjxZZWFyPjE5OTk8L1llYXI+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cGVyaW9kaWNhbD48cGFnZXM+NjM3LTQ1PC9wYWdlcz48dm9sdW1lPjI4Mjwvdm9sdW1lPjxudW1i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PEVuZE5vdGU+PENpdGU+PEF1dGhvcj5FdHRpbmdlcjwvQXV0aG9yPjxZZWFyPjE5OTk8L1llYXI+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cGVyaW9kaWNhbD48cGFnZXM+NjM3LTQ1PC9wYWdlcz48dm9sdW1lPjI4Mjwvdm9sdW1lPjxudW1i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2F146B">
        <w:rPr>
          <w:rFonts w:ascii="Arial" w:hAnsi="Arial" w:cs="Arial"/>
        </w:rPr>
      </w:r>
      <w:r w:rsidR="002F146B">
        <w:rPr>
          <w:rFonts w:ascii="Arial" w:hAnsi="Arial" w:cs="Arial"/>
        </w:rPr>
        <w:fldChar w:fldCharType="separate"/>
      </w:r>
      <w:r w:rsidR="008E761B">
        <w:rPr>
          <w:rFonts w:ascii="Arial" w:hAnsi="Arial" w:cs="Arial"/>
          <w:noProof/>
        </w:rPr>
        <w:t>(</w:t>
      </w:r>
      <w:hyperlink w:anchor="_ENREF_302" w:tooltip="Ettinger, 1999 #150" w:history="1">
        <w:r w:rsidR="003B725E">
          <w:rPr>
            <w:rFonts w:ascii="Arial" w:hAnsi="Arial" w:cs="Arial"/>
            <w:noProof/>
          </w:rPr>
          <w:t>302</w:t>
        </w:r>
      </w:hyperlink>
      <w:r w:rsidR="008E761B">
        <w:rPr>
          <w:rFonts w:ascii="Arial" w:hAnsi="Arial" w:cs="Arial"/>
          <w:noProof/>
        </w:rPr>
        <w:t>)</w:t>
      </w:r>
      <w:r w:rsidR="002F146B">
        <w:rPr>
          <w:rFonts w:ascii="Arial" w:hAnsi="Arial" w:cs="Arial"/>
        </w:rPr>
        <w:fldChar w:fldCharType="end"/>
      </w:r>
      <w:r w:rsidR="00DB6764" w:rsidRPr="002666FD">
        <w:rPr>
          <w:rFonts w:ascii="Arial" w:hAnsi="Arial" w:cs="Arial"/>
        </w:rPr>
        <w:t>.</w:t>
      </w:r>
      <w:r w:rsidR="000810B3" w:rsidRPr="002666FD">
        <w:rPr>
          <w:rFonts w:ascii="Arial" w:hAnsi="Arial" w:cs="Arial"/>
        </w:rPr>
        <w:t xml:space="preserve"> Similarly, data from</w:t>
      </w:r>
      <w:r w:rsidR="00DB6764" w:rsidRPr="002666FD">
        <w:rPr>
          <w:rFonts w:ascii="Arial" w:hAnsi="Arial" w:cs="Arial"/>
        </w:rPr>
        <w:t xml:space="preserve"> </w:t>
      </w:r>
      <w:r w:rsidR="000810B3" w:rsidRPr="002666FD">
        <w:rPr>
          <w:rFonts w:ascii="Arial" w:hAnsi="Arial" w:cs="Arial"/>
        </w:rPr>
        <w:t>the RUTH trial, a 60mg/day dose of raloxifene resulted in a decrease in bone resorption and a reduced risk of vertebral fracture</w:t>
      </w:r>
      <w:r w:rsidR="002F146B">
        <w:rPr>
          <w:rFonts w:ascii="Arial" w:hAnsi="Arial" w:cs="Arial"/>
        </w:rPr>
        <w:t xml:space="preserve">s, </w:t>
      </w:r>
      <w:r w:rsidR="002F146B">
        <w:rPr>
          <w:rFonts w:ascii="Arial" w:hAnsi="Arial" w:cs="Arial"/>
        </w:rPr>
        <w:fldChar w:fldCharType="begin">
          <w:fldData xml:space="preserve">PEVuZE5vdGU+PENpdGU+PEF1dGhvcj5FbnNydWQ8L0F1dGhvcj48WWVhcj4yMDA4PC9ZZWFyPjxS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PEVuZE5vdGU+PENpdGU+PEF1dGhvcj5FbnNydWQ8L0F1dGhvcj48WWVhcj4yMDA4PC9ZZWFyPjxS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2F146B">
        <w:rPr>
          <w:rFonts w:ascii="Arial" w:hAnsi="Arial" w:cs="Arial"/>
        </w:rPr>
      </w:r>
      <w:r w:rsidR="002F146B">
        <w:rPr>
          <w:rFonts w:ascii="Arial" w:hAnsi="Arial" w:cs="Arial"/>
        </w:rPr>
        <w:fldChar w:fldCharType="separate"/>
      </w:r>
      <w:r w:rsidR="00066E61">
        <w:rPr>
          <w:rFonts w:ascii="Arial" w:hAnsi="Arial" w:cs="Arial"/>
          <w:noProof/>
        </w:rPr>
        <w:t>(</w:t>
      </w:r>
      <w:hyperlink w:anchor="_ENREF_471" w:tooltip="Ensrud, 2008 #510" w:history="1">
        <w:r w:rsidR="003B725E">
          <w:rPr>
            <w:rFonts w:ascii="Arial" w:hAnsi="Arial" w:cs="Arial"/>
            <w:noProof/>
          </w:rPr>
          <w:t>471</w:t>
        </w:r>
      </w:hyperlink>
      <w:r w:rsidR="00066E61">
        <w:rPr>
          <w:rFonts w:ascii="Arial" w:hAnsi="Arial" w:cs="Arial"/>
          <w:noProof/>
        </w:rPr>
        <w:t>)</w:t>
      </w:r>
      <w:r w:rsidR="002F146B">
        <w:rPr>
          <w:rFonts w:ascii="Arial" w:hAnsi="Arial" w:cs="Arial"/>
        </w:rPr>
        <w:fldChar w:fldCharType="end"/>
      </w:r>
      <w:r w:rsidR="000810B3" w:rsidRPr="002666FD">
        <w:rPr>
          <w:rFonts w:ascii="Arial" w:hAnsi="Arial" w:cs="Arial"/>
        </w:rPr>
        <w:t xml:space="preserve">. It may be that </w:t>
      </w:r>
      <w:r w:rsidR="002666FD" w:rsidRPr="002666FD">
        <w:rPr>
          <w:rFonts w:ascii="Arial" w:hAnsi="Arial" w:cs="Arial"/>
        </w:rPr>
        <w:t>raloxifene reduces</w:t>
      </w:r>
      <w:r w:rsidR="00A00F0A">
        <w:rPr>
          <w:rFonts w:ascii="Arial" w:hAnsi="Arial" w:cs="Arial"/>
        </w:rPr>
        <w:t xml:space="preserve"> bone loss</w:t>
      </w:r>
      <w:r w:rsidR="000810B3" w:rsidRPr="002666FD">
        <w:rPr>
          <w:rFonts w:ascii="Arial" w:hAnsi="Arial" w:cs="Arial"/>
        </w:rPr>
        <w:t xml:space="preserve"> </w:t>
      </w:r>
      <w:r w:rsidR="00D93D1D">
        <w:rPr>
          <w:rFonts w:ascii="Arial" w:hAnsi="Arial" w:cs="Arial"/>
        </w:rPr>
        <w:t xml:space="preserve">and </w:t>
      </w:r>
      <w:r w:rsidR="000810B3" w:rsidRPr="002666FD">
        <w:rPr>
          <w:rFonts w:ascii="Arial" w:hAnsi="Arial" w:cs="Arial"/>
        </w:rPr>
        <w:t xml:space="preserve">the risk of vertebral fractures </w:t>
      </w:r>
      <w:r w:rsidR="002666FD" w:rsidRPr="002666FD">
        <w:rPr>
          <w:rFonts w:ascii="Arial" w:hAnsi="Arial" w:cs="Arial"/>
        </w:rPr>
        <w:t xml:space="preserve">by maintaining or improving the negative balance previously identified in chapter 4 between bone resorption and bone formation in postmenopausal women. The effect of raloxifene on bone balance is yet to be investigated. </w:t>
      </w:r>
    </w:p>
    <w:p w:rsidR="00A61B08" w:rsidRDefault="00462BFB" w:rsidP="003B725E">
      <w:pPr>
        <w:spacing w:line="360" w:lineRule="auto"/>
        <w:jc w:val="both"/>
        <w:rPr>
          <w:rFonts w:ascii="Arial" w:hAnsi="Arial" w:cs="Arial"/>
        </w:rPr>
      </w:pPr>
      <w:r>
        <w:rPr>
          <w:rFonts w:ascii="Arial" w:hAnsi="Arial" w:cs="Arial"/>
        </w:rPr>
        <w:t>Raloxifene</w:t>
      </w:r>
      <w:r w:rsidR="00A00F0A">
        <w:rPr>
          <w:rFonts w:ascii="Arial" w:hAnsi="Arial" w:cs="Arial"/>
        </w:rPr>
        <w:t xml:space="preserve"> is an antiresorptive agent that inhibits bone resorption and reduces levels of BTMs. Similar to estrogen, in vitro</w:t>
      </w:r>
      <w:r>
        <w:rPr>
          <w:rFonts w:ascii="Arial" w:hAnsi="Arial" w:cs="Arial"/>
        </w:rPr>
        <w:t xml:space="preserve"> </w:t>
      </w:r>
      <w:r w:rsidR="00A00F0A">
        <w:rPr>
          <w:rFonts w:ascii="Arial" w:hAnsi="Arial" w:cs="Arial"/>
        </w:rPr>
        <w:t xml:space="preserve">studies </w:t>
      </w:r>
      <w:r>
        <w:rPr>
          <w:rFonts w:ascii="Arial" w:hAnsi="Arial" w:cs="Arial"/>
        </w:rPr>
        <w:t>using bone marrow cultures have</w:t>
      </w:r>
      <w:r w:rsidR="00A00F0A">
        <w:rPr>
          <w:rFonts w:ascii="Arial" w:hAnsi="Arial" w:cs="Arial"/>
        </w:rPr>
        <w:t xml:space="preserve"> been demonstrated that it inhibits t</w:t>
      </w:r>
      <w:r w:rsidR="002F146B">
        <w:rPr>
          <w:rFonts w:ascii="Arial" w:hAnsi="Arial" w:cs="Arial"/>
        </w:rPr>
        <w:t xml:space="preserve">he formation of the osteoclasts, </w:t>
      </w:r>
      <w:r w:rsidR="002F146B">
        <w:rPr>
          <w:rFonts w:ascii="Arial" w:hAnsi="Arial" w:cs="Arial"/>
        </w:rPr>
        <w:fldChar w:fldCharType="begin">
          <w:fldData xml:space="preserve">PEVuZE5vdGU+PENpdGU+PEF1dGhvcj5UYXJhbnRhPC9BdXRob3I+PFllYXI+MjAwMjwvWWVhcj48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PEVuZE5vdGU+PENpdGU+PEF1dGhvcj5UYXJhbnRhPC9BdXRob3I+PFllYXI+MjAwMjwvWWVhcj48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2F146B">
        <w:rPr>
          <w:rFonts w:ascii="Arial" w:hAnsi="Arial" w:cs="Arial"/>
        </w:rPr>
      </w:r>
      <w:r w:rsidR="002F146B">
        <w:rPr>
          <w:rFonts w:ascii="Arial" w:hAnsi="Arial" w:cs="Arial"/>
        </w:rPr>
        <w:fldChar w:fldCharType="separate"/>
      </w:r>
      <w:r w:rsidR="00066E61">
        <w:rPr>
          <w:rFonts w:ascii="Arial" w:hAnsi="Arial" w:cs="Arial"/>
          <w:noProof/>
        </w:rPr>
        <w:t>(</w:t>
      </w:r>
      <w:hyperlink w:anchor="_ENREF_426" w:tooltip="Taranta, 2002 #487" w:history="1">
        <w:r w:rsidR="003B725E">
          <w:rPr>
            <w:rFonts w:ascii="Arial" w:hAnsi="Arial" w:cs="Arial"/>
            <w:noProof/>
          </w:rPr>
          <w:t>426</w:t>
        </w:r>
      </w:hyperlink>
      <w:r w:rsidR="00066E61">
        <w:rPr>
          <w:rFonts w:ascii="Arial" w:hAnsi="Arial" w:cs="Arial"/>
          <w:noProof/>
        </w:rPr>
        <w:t xml:space="preserve">, </w:t>
      </w:r>
      <w:hyperlink w:anchor="_ENREF_472" w:tooltip="Ramalho, 2002 #511" w:history="1">
        <w:r w:rsidR="003B725E">
          <w:rPr>
            <w:rFonts w:ascii="Arial" w:hAnsi="Arial" w:cs="Arial"/>
            <w:noProof/>
          </w:rPr>
          <w:t>472</w:t>
        </w:r>
      </w:hyperlink>
      <w:r w:rsidR="00066E61">
        <w:rPr>
          <w:rFonts w:ascii="Arial" w:hAnsi="Arial" w:cs="Arial"/>
          <w:noProof/>
        </w:rPr>
        <w:t>)</w:t>
      </w:r>
      <w:r w:rsidR="002F146B">
        <w:rPr>
          <w:rFonts w:ascii="Arial" w:hAnsi="Arial" w:cs="Arial"/>
        </w:rPr>
        <w:fldChar w:fldCharType="end"/>
      </w:r>
      <w:r>
        <w:rPr>
          <w:rFonts w:ascii="Arial" w:hAnsi="Arial" w:cs="Arial"/>
        </w:rPr>
        <w:t xml:space="preserve">. </w:t>
      </w:r>
      <w:r w:rsidR="00455BE4" w:rsidRPr="00293AFB">
        <w:rPr>
          <w:rFonts w:ascii="Arial" w:hAnsi="Arial" w:cs="Arial"/>
          <w:i/>
        </w:rPr>
        <w:t xml:space="preserve">In vitro </w:t>
      </w:r>
      <w:r w:rsidR="00455BE4">
        <w:rPr>
          <w:rFonts w:ascii="Arial" w:hAnsi="Arial" w:cs="Arial"/>
        </w:rPr>
        <w:t xml:space="preserve">and clinical data have demonstrated that raloxifene stimulates the production of OPG by the osteoblast, </w:t>
      </w:r>
      <w:r w:rsidR="0066377F">
        <w:rPr>
          <w:rFonts w:ascii="Arial" w:hAnsi="Arial" w:cs="Arial"/>
        </w:rPr>
        <w:fldChar w:fldCharType="begin">
          <w:fldData xml:space="preserve">PEVuZE5vdGU+PENpdGU+PEF1dGhvcj5WaWVyZWNrPC9BdXRob3I+PFllYXI+MjAwMzwvWWVhcj48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PEVuZE5vdGU+PENpdGU+PEF1dGhvcj5WaWVyZWNrPC9BdXRob3I+PFllYXI+MjAwMzwvWWVhcj48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==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66377F">
        <w:rPr>
          <w:rFonts w:ascii="Arial" w:hAnsi="Arial" w:cs="Arial"/>
        </w:rPr>
      </w:r>
      <w:r w:rsidR="0066377F">
        <w:rPr>
          <w:rFonts w:ascii="Arial" w:hAnsi="Arial" w:cs="Arial"/>
        </w:rPr>
        <w:fldChar w:fldCharType="separate"/>
      </w:r>
      <w:r w:rsidR="000D155C">
        <w:rPr>
          <w:rFonts w:ascii="Arial" w:hAnsi="Arial" w:cs="Arial"/>
          <w:noProof/>
        </w:rPr>
        <w:t>(</w:t>
      </w:r>
      <w:hyperlink w:anchor="_ENREF_427" w:tooltip="Messalli, 2007 #488" w:history="1">
        <w:r w:rsidR="003B725E">
          <w:rPr>
            <w:rFonts w:ascii="Arial" w:hAnsi="Arial" w:cs="Arial"/>
            <w:noProof/>
          </w:rPr>
          <w:t>427</w:t>
        </w:r>
      </w:hyperlink>
      <w:r w:rsidR="000D155C">
        <w:rPr>
          <w:rFonts w:ascii="Arial" w:hAnsi="Arial" w:cs="Arial"/>
          <w:noProof/>
        </w:rPr>
        <w:t xml:space="preserve">, </w:t>
      </w:r>
      <w:hyperlink w:anchor="_ENREF_428" w:tooltip="Viereck, 2003 #489" w:history="1">
        <w:r w:rsidR="003B725E">
          <w:rPr>
            <w:rFonts w:ascii="Arial" w:hAnsi="Arial" w:cs="Arial"/>
            <w:noProof/>
          </w:rPr>
          <w:t>428</w:t>
        </w:r>
      </w:hyperlink>
      <w:r w:rsidR="000D155C">
        <w:rPr>
          <w:rFonts w:ascii="Arial" w:hAnsi="Arial" w:cs="Arial"/>
          <w:noProof/>
        </w:rPr>
        <w:t>)</w:t>
      </w:r>
      <w:r w:rsidR="0066377F">
        <w:rPr>
          <w:rFonts w:ascii="Arial" w:hAnsi="Arial" w:cs="Arial"/>
        </w:rPr>
        <w:fldChar w:fldCharType="end"/>
      </w:r>
      <w:r w:rsidR="00455BE4">
        <w:rPr>
          <w:rFonts w:ascii="Arial" w:hAnsi="Arial" w:cs="Arial"/>
        </w:rPr>
        <w:t>. Therefore, t</w:t>
      </w:r>
      <w:r>
        <w:rPr>
          <w:rFonts w:ascii="Arial" w:hAnsi="Arial" w:cs="Arial"/>
        </w:rPr>
        <w:t>he inhibition of osteoclast activity and the reduction in BTMs may be</w:t>
      </w:r>
      <w:r w:rsidR="00455BE4">
        <w:rPr>
          <w:rFonts w:ascii="Arial" w:hAnsi="Arial" w:cs="Arial"/>
        </w:rPr>
        <w:t xml:space="preserve"> partly</w:t>
      </w:r>
      <w:r>
        <w:rPr>
          <w:rFonts w:ascii="Arial" w:hAnsi="Arial" w:cs="Arial"/>
        </w:rPr>
        <w:t xml:space="preserve"> through the RANKL/OPG bone resorption </w:t>
      </w:r>
      <w:r w:rsidR="00455BE4">
        <w:rPr>
          <w:rFonts w:ascii="Arial" w:hAnsi="Arial" w:cs="Arial"/>
        </w:rPr>
        <w:t xml:space="preserve">system </w:t>
      </w:r>
      <w:r w:rsidR="004C3114">
        <w:rPr>
          <w:rFonts w:ascii="Arial" w:hAnsi="Arial" w:cs="Arial"/>
        </w:rPr>
        <w:t xml:space="preserve">in postmenopausal women </w:t>
      </w:r>
      <w:r w:rsidR="00455BE4">
        <w:rPr>
          <w:rFonts w:ascii="Arial" w:hAnsi="Arial" w:cs="Arial"/>
        </w:rPr>
        <w:fldChar w:fldCharType="begin">
          <w:fldData xml:space="preserve">PEVuZE5vdGU+PENpdGU+PEF1dGhvcj5GZXJuYW5kZXotR2FyY2lhPC9BdXRob3I+PFllYXI+MjAw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PEVuZE5vdGU+PENpdGU+PEF1dGhvcj5GZXJuYW5kZXotR2FyY2lhPC9BdXRob3I+PFllYXI+MjAw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455BE4">
        <w:rPr>
          <w:rFonts w:ascii="Arial" w:hAnsi="Arial" w:cs="Arial"/>
        </w:rPr>
      </w:r>
      <w:r w:rsidR="00455BE4">
        <w:rPr>
          <w:rFonts w:ascii="Arial" w:hAnsi="Arial" w:cs="Arial"/>
        </w:rPr>
        <w:fldChar w:fldCharType="separate"/>
      </w:r>
      <w:r w:rsidR="00066E61">
        <w:rPr>
          <w:rFonts w:ascii="Arial" w:hAnsi="Arial" w:cs="Arial"/>
          <w:noProof/>
        </w:rPr>
        <w:t>(</w:t>
      </w:r>
      <w:hyperlink w:anchor="_ENREF_473" w:tooltip="Fernandez-Garcia, 2008 #241" w:history="1">
        <w:r w:rsidR="003B725E">
          <w:rPr>
            <w:rFonts w:ascii="Arial" w:hAnsi="Arial" w:cs="Arial"/>
            <w:noProof/>
          </w:rPr>
          <w:t>473</w:t>
        </w:r>
      </w:hyperlink>
      <w:r w:rsidR="00066E61">
        <w:rPr>
          <w:rFonts w:ascii="Arial" w:hAnsi="Arial" w:cs="Arial"/>
          <w:noProof/>
        </w:rPr>
        <w:t>)</w:t>
      </w:r>
      <w:r w:rsidR="00455BE4">
        <w:rPr>
          <w:rFonts w:ascii="Arial" w:hAnsi="Arial" w:cs="Arial"/>
        </w:rPr>
        <w:fldChar w:fldCharType="end"/>
      </w:r>
      <w:r w:rsidR="00455BE4">
        <w:rPr>
          <w:rFonts w:ascii="Arial" w:hAnsi="Arial" w:cs="Arial"/>
        </w:rPr>
        <w:t xml:space="preserve">. </w:t>
      </w:r>
      <w:r w:rsidR="004C3114">
        <w:rPr>
          <w:rFonts w:ascii="Arial" w:hAnsi="Arial" w:cs="Arial"/>
        </w:rPr>
        <w:t xml:space="preserve">But </w:t>
      </w:r>
      <w:r w:rsidR="004C3114" w:rsidRPr="00293AFB">
        <w:rPr>
          <w:rFonts w:ascii="Arial" w:hAnsi="Arial" w:cs="Arial"/>
          <w:i/>
        </w:rPr>
        <w:t>in vitro</w:t>
      </w:r>
      <w:r w:rsidR="004C3114">
        <w:rPr>
          <w:rFonts w:ascii="Arial" w:hAnsi="Arial" w:cs="Arial"/>
        </w:rPr>
        <w:t xml:space="preserve"> data </w:t>
      </w:r>
      <w:r w:rsidR="0066377F">
        <w:rPr>
          <w:rFonts w:ascii="Arial" w:hAnsi="Arial" w:cs="Arial"/>
        </w:rPr>
        <w:t xml:space="preserve">has also </w:t>
      </w:r>
      <w:r w:rsidR="004C3114">
        <w:rPr>
          <w:rFonts w:ascii="Arial" w:hAnsi="Arial" w:cs="Arial"/>
        </w:rPr>
        <w:t xml:space="preserve">demonstrated that this may in fact be independent of OPG </w:t>
      </w:r>
      <w:r w:rsidR="004C3114">
        <w:rPr>
          <w:rFonts w:ascii="Arial" w:hAnsi="Arial" w:cs="Arial"/>
        </w:rPr>
        <w:fldChar w:fldCharType="begin">
          <w:fldData xml:space="preserve">PEVuZE5vdGU+PENpdGU+PEF1dGhvcj5ZYW48L0F1dGhvcj48WWVhcj4yMDEwPC9ZZWFyPjxSZWNO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PEVuZE5vdGU+PENpdGU+PEF1dGhvcj5ZYW48L0F1dGhvcj48WWVhcj4yMDEwPC9ZZWFyPjxSZWNO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4C3114">
        <w:rPr>
          <w:rFonts w:ascii="Arial" w:hAnsi="Arial" w:cs="Arial"/>
        </w:rPr>
      </w:r>
      <w:r w:rsidR="004C3114">
        <w:rPr>
          <w:rFonts w:ascii="Arial" w:hAnsi="Arial" w:cs="Arial"/>
        </w:rPr>
        <w:fldChar w:fldCharType="separate"/>
      </w:r>
      <w:r w:rsidR="00066E61">
        <w:rPr>
          <w:rFonts w:ascii="Arial" w:hAnsi="Arial" w:cs="Arial"/>
          <w:noProof/>
        </w:rPr>
        <w:t>(</w:t>
      </w:r>
      <w:hyperlink w:anchor="_ENREF_474" w:tooltip="Yan, 2010 #242" w:history="1">
        <w:r w:rsidR="003B725E">
          <w:rPr>
            <w:rFonts w:ascii="Arial" w:hAnsi="Arial" w:cs="Arial"/>
            <w:noProof/>
          </w:rPr>
          <w:t>474</w:t>
        </w:r>
      </w:hyperlink>
      <w:r w:rsidR="00066E61">
        <w:rPr>
          <w:rFonts w:ascii="Arial" w:hAnsi="Arial" w:cs="Arial"/>
          <w:noProof/>
        </w:rPr>
        <w:t>)</w:t>
      </w:r>
      <w:r w:rsidR="004C3114">
        <w:rPr>
          <w:rFonts w:ascii="Arial" w:hAnsi="Arial" w:cs="Arial"/>
        </w:rPr>
        <w:fldChar w:fldCharType="end"/>
      </w:r>
      <w:r w:rsidR="004C3114">
        <w:rPr>
          <w:rFonts w:ascii="Arial" w:hAnsi="Arial" w:cs="Arial"/>
        </w:rPr>
        <w:t xml:space="preserve">. </w:t>
      </w:r>
    </w:p>
    <w:p w:rsidR="00A00F0A" w:rsidRDefault="00CF50C8" w:rsidP="003B725E">
      <w:pPr>
        <w:spacing w:line="360" w:lineRule="auto"/>
        <w:jc w:val="both"/>
        <w:rPr>
          <w:rFonts w:ascii="Arial" w:hAnsi="Arial" w:cs="Arial"/>
        </w:rPr>
      </w:pPr>
      <w:r>
        <w:rPr>
          <w:rFonts w:ascii="Arial" w:hAnsi="Arial" w:cs="Arial"/>
        </w:rPr>
        <w:t>Another possible mechanism of action of raloxifene could be related to its effect on osteocytes and sclerostin production. R</w:t>
      </w:r>
      <w:r w:rsidR="004C3114">
        <w:rPr>
          <w:rFonts w:ascii="Arial" w:hAnsi="Arial" w:cs="Arial"/>
        </w:rPr>
        <w:t>aloxifene is an estrogen agonist on bon</w:t>
      </w:r>
      <w:r>
        <w:rPr>
          <w:rFonts w:ascii="Arial" w:hAnsi="Arial" w:cs="Arial"/>
        </w:rPr>
        <w:t>e and</w:t>
      </w:r>
      <w:r w:rsidR="00AD40EE">
        <w:rPr>
          <w:rFonts w:ascii="Arial" w:hAnsi="Arial" w:cs="Arial"/>
        </w:rPr>
        <w:t xml:space="preserve"> therefore </w:t>
      </w:r>
      <w:r>
        <w:rPr>
          <w:rFonts w:ascii="Arial" w:hAnsi="Arial" w:cs="Arial"/>
        </w:rPr>
        <w:t xml:space="preserve">may </w:t>
      </w:r>
      <w:r w:rsidR="00AD40EE">
        <w:rPr>
          <w:rFonts w:ascii="Arial" w:hAnsi="Arial" w:cs="Arial"/>
        </w:rPr>
        <w:t xml:space="preserve">have </w:t>
      </w:r>
      <w:r w:rsidR="004C3114">
        <w:rPr>
          <w:rFonts w:ascii="Arial" w:hAnsi="Arial" w:cs="Arial"/>
        </w:rPr>
        <w:t>similar mechanism of action to estrogen</w:t>
      </w:r>
      <w:r w:rsidR="00AD40EE">
        <w:rPr>
          <w:rFonts w:ascii="Arial" w:hAnsi="Arial" w:cs="Arial"/>
        </w:rPr>
        <w:t xml:space="preserve"> in regulating bone formation</w:t>
      </w:r>
      <w:r>
        <w:rPr>
          <w:rFonts w:ascii="Arial" w:hAnsi="Arial" w:cs="Arial"/>
        </w:rPr>
        <w:t xml:space="preserve"> via the Wnt signalling pathway</w:t>
      </w:r>
      <w:r w:rsidR="004C3114">
        <w:rPr>
          <w:rFonts w:ascii="Arial" w:hAnsi="Arial" w:cs="Arial"/>
        </w:rPr>
        <w:t xml:space="preserve">. Modder </w:t>
      </w:r>
      <w:r w:rsidR="00A37E74">
        <w:rPr>
          <w:rFonts w:ascii="Arial" w:hAnsi="Arial" w:cs="Arial"/>
        </w:rPr>
        <w:t xml:space="preserve">UIL </w:t>
      </w:r>
      <w:r w:rsidR="00AD40EE">
        <w:rPr>
          <w:rFonts w:ascii="Arial" w:hAnsi="Arial" w:cs="Arial"/>
        </w:rPr>
        <w:t xml:space="preserve">et al </w:t>
      </w:r>
      <w:r w:rsidR="00A37E74">
        <w:rPr>
          <w:rFonts w:ascii="Arial" w:hAnsi="Arial" w:cs="Arial"/>
        </w:rPr>
        <w:t>2011</w:t>
      </w:r>
      <w:r w:rsidR="00AD40EE">
        <w:rPr>
          <w:rFonts w:ascii="Arial" w:hAnsi="Arial" w:cs="Arial"/>
        </w:rPr>
        <w:t xml:space="preserve"> has previously demonstrated that increased estrogen reduces levels of circul</w:t>
      </w:r>
      <w:r w:rsidR="00293AFB">
        <w:rPr>
          <w:rFonts w:ascii="Arial" w:hAnsi="Arial" w:cs="Arial"/>
        </w:rPr>
        <w:t>ating sclerostin</w:t>
      </w:r>
      <w:r w:rsidR="009C51F8">
        <w:rPr>
          <w:rFonts w:ascii="Arial" w:hAnsi="Arial" w:cs="Arial"/>
        </w:rPr>
        <w:t xml:space="preserve"> </w:t>
      </w:r>
      <w:r w:rsidR="00AD40EE">
        <w:rPr>
          <w:rFonts w:ascii="Arial" w:hAnsi="Arial" w:cs="Arial"/>
        </w:rPr>
        <w:t>in me</w:t>
      </w:r>
      <w:r>
        <w:rPr>
          <w:rFonts w:ascii="Arial" w:hAnsi="Arial" w:cs="Arial"/>
        </w:rPr>
        <w:t xml:space="preserve">n and women </w:t>
      </w:r>
      <w:proofErr w:type="gramStart"/>
      <w:r w:rsidR="009C51F8">
        <w:rPr>
          <w:rFonts w:ascii="Arial" w:hAnsi="Arial" w:cs="Arial"/>
        </w:rPr>
        <w:t xml:space="preserve">and </w:t>
      </w:r>
      <w:r>
        <w:rPr>
          <w:rFonts w:ascii="Arial" w:hAnsi="Arial" w:cs="Arial"/>
        </w:rPr>
        <w:t xml:space="preserve"> is</w:t>
      </w:r>
      <w:proofErr w:type="gramEnd"/>
      <w:r>
        <w:rPr>
          <w:rFonts w:ascii="Arial" w:hAnsi="Arial" w:cs="Arial"/>
        </w:rPr>
        <w:t xml:space="preserve"> increase</w:t>
      </w:r>
      <w:r w:rsidR="00AD40EE">
        <w:rPr>
          <w:rFonts w:ascii="Arial" w:hAnsi="Arial" w:cs="Arial"/>
        </w:rPr>
        <w:t>d</w:t>
      </w:r>
      <w:r>
        <w:rPr>
          <w:rFonts w:ascii="Arial" w:hAnsi="Arial" w:cs="Arial"/>
        </w:rPr>
        <w:t xml:space="preserve"> w</w:t>
      </w:r>
      <w:r w:rsidR="009C51F8">
        <w:rPr>
          <w:rFonts w:ascii="Arial" w:hAnsi="Arial" w:cs="Arial"/>
        </w:rPr>
        <w:t xml:space="preserve">ith age. </w:t>
      </w:r>
      <w:r w:rsidR="00733308">
        <w:rPr>
          <w:rFonts w:ascii="Arial" w:hAnsi="Arial" w:cs="Arial"/>
        </w:rPr>
        <w:t>It is therefore plausible to hypothesise that raloxifene reduces the levels of sclerostin production by the osteocytes in postmenopausal women with low BMD. In addition, with raloxifene treatment th</w:t>
      </w:r>
      <w:r w:rsidR="00271B96">
        <w:rPr>
          <w:rFonts w:ascii="Arial" w:hAnsi="Arial" w:cs="Arial"/>
        </w:rPr>
        <w:t>ere is a greater</w:t>
      </w:r>
      <w:r w:rsidR="00733308">
        <w:rPr>
          <w:rFonts w:ascii="Arial" w:hAnsi="Arial" w:cs="Arial"/>
        </w:rPr>
        <w:t xml:space="preserve"> decrease i</w:t>
      </w:r>
      <w:r w:rsidR="00A61B08">
        <w:rPr>
          <w:rFonts w:ascii="Arial" w:hAnsi="Arial" w:cs="Arial"/>
        </w:rPr>
        <w:t>n bone resorption compared to bone</w:t>
      </w:r>
      <w:r w:rsidR="00271B96">
        <w:rPr>
          <w:rFonts w:ascii="Arial" w:hAnsi="Arial" w:cs="Arial"/>
        </w:rPr>
        <w:t xml:space="preserve"> formation (approximately by 50% versus 35%) and data from histomorphometric studies has shown that osteoblast activity is in</w:t>
      </w:r>
      <w:r w:rsidR="0066377F">
        <w:rPr>
          <w:rFonts w:ascii="Arial" w:hAnsi="Arial" w:cs="Arial"/>
        </w:rPr>
        <w:t xml:space="preserve">creased with estrogen treatment, </w:t>
      </w:r>
      <w:r w:rsidR="0066377F">
        <w:rPr>
          <w:rFonts w:ascii="Arial" w:hAnsi="Arial" w:cs="Arial"/>
        </w:rPr>
        <w:fldChar w:fldCharType="begin">
          <w:fldData xml:space="preserve">PEVuZE5vdGU+PENpdGU+PEF1dGhvcj5Cb3JkPC9BdXRob3I+PFllYXI+MjAwMTwvWWVhcj48UmVj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PEVuZE5vdGU+PENpdGU+PEF1dGhvcj5Cb3JkPC9BdXRob3I+PFllYXI+MjAwMTwvWWVhcj48UmVj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66377F">
        <w:rPr>
          <w:rFonts w:ascii="Arial" w:hAnsi="Arial" w:cs="Arial"/>
        </w:rPr>
      </w:r>
      <w:r w:rsidR="0066377F">
        <w:rPr>
          <w:rFonts w:ascii="Arial" w:hAnsi="Arial" w:cs="Arial"/>
        </w:rPr>
        <w:fldChar w:fldCharType="separate"/>
      </w:r>
      <w:r w:rsidR="00066E61">
        <w:rPr>
          <w:rFonts w:ascii="Arial" w:hAnsi="Arial" w:cs="Arial"/>
          <w:noProof/>
        </w:rPr>
        <w:t>(</w:t>
      </w:r>
      <w:hyperlink w:anchor="_ENREF_475" w:tooltip="Bord, 2001 #512" w:history="1">
        <w:r w:rsidR="003B725E">
          <w:rPr>
            <w:rFonts w:ascii="Arial" w:hAnsi="Arial" w:cs="Arial"/>
            <w:noProof/>
          </w:rPr>
          <w:t>475</w:t>
        </w:r>
      </w:hyperlink>
      <w:r w:rsidR="00066E61">
        <w:rPr>
          <w:rFonts w:ascii="Arial" w:hAnsi="Arial" w:cs="Arial"/>
          <w:noProof/>
        </w:rPr>
        <w:t xml:space="preserve">, </w:t>
      </w:r>
      <w:hyperlink w:anchor="_ENREF_476" w:tooltip="Khastgir, 2001 #513" w:history="1">
        <w:r w:rsidR="003B725E">
          <w:rPr>
            <w:rFonts w:ascii="Arial" w:hAnsi="Arial" w:cs="Arial"/>
            <w:noProof/>
          </w:rPr>
          <w:t>476</w:t>
        </w:r>
      </w:hyperlink>
      <w:r w:rsidR="00066E61">
        <w:rPr>
          <w:rFonts w:ascii="Arial" w:hAnsi="Arial" w:cs="Arial"/>
          <w:noProof/>
        </w:rPr>
        <w:t>)</w:t>
      </w:r>
      <w:r w:rsidR="0066377F">
        <w:rPr>
          <w:rFonts w:ascii="Arial" w:hAnsi="Arial" w:cs="Arial"/>
        </w:rPr>
        <w:fldChar w:fldCharType="end"/>
      </w:r>
      <w:r w:rsidR="00271B96">
        <w:rPr>
          <w:rFonts w:ascii="Arial" w:hAnsi="Arial" w:cs="Arial"/>
        </w:rPr>
        <w:t>. This means that in addition to the reduction in the activation frequency, raloxifene treatment</w:t>
      </w:r>
      <w:r w:rsidR="00AA320E">
        <w:rPr>
          <w:rFonts w:ascii="Arial" w:hAnsi="Arial" w:cs="Arial"/>
        </w:rPr>
        <w:t xml:space="preserve"> may cause a</w:t>
      </w:r>
      <w:r w:rsidR="00271B96">
        <w:rPr>
          <w:rFonts w:ascii="Arial" w:hAnsi="Arial" w:cs="Arial"/>
        </w:rPr>
        <w:t xml:space="preserve"> relative increase</w:t>
      </w:r>
      <w:r w:rsidR="00AC7C4D">
        <w:rPr>
          <w:rFonts w:ascii="Arial" w:hAnsi="Arial" w:cs="Arial"/>
        </w:rPr>
        <w:t xml:space="preserve"> (to bone resorption)</w:t>
      </w:r>
      <w:r w:rsidR="00271B96">
        <w:rPr>
          <w:rFonts w:ascii="Arial" w:hAnsi="Arial" w:cs="Arial"/>
        </w:rPr>
        <w:t xml:space="preserve"> in</w:t>
      </w:r>
      <w:r w:rsidR="00AA320E">
        <w:rPr>
          <w:rFonts w:ascii="Arial" w:hAnsi="Arial" w:cs="Arial"/>
        </w:rPr>
        <w:t xml:space="preserve"> bone formation and therefore the net gain in BMD. Along with the coupling process this may be a reason why bone formation markers are not suppressed to similar levels of bone resorption markers. I therefore further hypothesised that sclerostin mediates the net gain in bone </w:t>
      </w:r>
      <w:r w:rsidR="00406169">
        <w:rPr>
          <w:rFonts w:ascii="Arial" w:hAnsi="Arial" w:cs="Arial"/>
          <w:noProof/>
          <w:lang w:eastAsia="zh-CN"/>
        </w:rPr>
        <mc:AlternateContent>
          <mc:Choice Requires="wps">
            <w:drawing>
              <wp:anchor distT="0" distB="0" distL="114300" distR="114300" simplePos="0" relativeHeight="253515264" behindDoc="0" locked="0" layoutInCell="1" allowOverlap="1">
                <wp:simplePos x="0" y="0"/>
                <wp:positionH relativeFrom="column">
                  <wp:posOffset>255270</wp:posOffset>
                </wp:positionH>
                <wp:positionV relativeFrom="paragraph">
                  <wp:posOffset>3660140</wp:posOffset>
                </wp:positionV>
                <wp:extent cx="4943475" cy="1895475"/>
                <wp:effectExtent l="0" t="0" r="28575" b="28575"/>
                <wp:wrapNone/>
                <wp:docPr id="106" name="Rectangle 106"/>
                <wp:cNvGraphicFramePr/>
                <a:graphic xmlns:a="http://schemas.openxmlformats.org/drawingml/2006/main">
                  <a:graphicData uri="http://schemas.microsoft.com/office/word/2010/wordprocessingShape">
                    <wps:wsp>
                      <wps:cNvSpPr/>
                      <wps:spPr>
                        <a:xfrm>
                          <a:off x="0" y="0"/>
                          <a:ext cx="4943475" cy="18954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2D4FED" id="Rectangle 106" o:spid="_x0000_s1026" style="position:absolute;margin-left:20.1pt;margin-top:288.2pt;width:389.25pt;height:149.25pt;z-index:2535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" filled="f" strokecolor="black [3213]"/>
            </w:pict>
          </mc:Fallback>
        </mc:AlternateContent>
      </w:r>
      <w:r w:rsidR="00AA320E">
        <w:rPr>
          <w:rFonts w:ascii="Arial" w:hAnsi="Arial" w:cs="Arial"/>
        </w:rPr>
        <w:t>formation and the overall bone balance.</w:t>
      </w:r>
    </w:p>
    <w:p w:rsidR="00F0035A" w:rsidRDefault="00F60E26" w:rsidP="00406169">
      <w:pPr>
        <w:keepNext/>
        <w:spacing w:line="360" w:lineRule="auto"/>
        <w:jc w:val="center"/>
      </w:pPr>
      <w:r>
        <w:rPr>
          <w:rFonts w:ascii="Arial" w:hAnsi="Arial" w:cs="Arial"/>
          <w:noProof/>
          <w:lang w:eastAsia="zh-CN"/>
        </w:rPr>
        <w:lastRenderedPageBreak/>
        <w:drawing>
          <wp:inline distT="0" distB="0" distL="0" distR="0" wp14:anchorId="0367ACEA" wp14:editId="3B61522B">
            <wp:extent cx="4644390" cy="1789621"/>
            <wp:effectExtent l="0" t="0" r="3810" b="1270"/>
            <wp:docPr id="18699" name="Picture 1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70082" cy="1799521"/>
                    </a:xfrm>
                    <a:prstGeom prst="rect">
                      <a:avLst/>
                    </a:prstGeom>
                    <a:noFill/>
                  </pic:spPr>
                </pic:pic>
              </a:graphicData>
            </a:graphic>
          </wp:inline>
        </w:drawing>
      </w:r>
    </w:p>
    <w:p w:rsidR="00F60E26" w:rsidRDefault="00F0035A" w:rsidP="003E5C23">
      <w:pPr>
        <w:pStyle w:val="Caption"/>
        <w:jc w:val="both"/>
        <w:rPr>
          <w:rFonts w:ascii="Arial" w:hAnsi="Arial" w:cs="Arial"/>
          <w:b w:val="0"/>
          <w:noProof/>
          <w:color w:val="auto"/>
        </w:rPr>
      </w:pPr>
      <w:bookmarkStart w:id="231" w:name="_Toc425419552"/>
      <w:r w:rsidRPr="00CF50C8">
        <w:rPr>
          <w:rFonts w:ascii="Arial" w:hAnsi="Arial" w:cs="Arial"/>
          <w:b w:val="0"/>
          <w:color w:val="auto"/>
        </w:rPr>
        <w:t xml:space="preserve">Figure </w:t>
      </w:r>
      <w:r w:rsidR="00CF50C8" w:rsidRPr="00CF50C8">
        <w:rPr>
          <w:rFonts w:ascii="Arial" w:hAnsi="Arial" w:cs="Arial"/>
          <w:b w:val="0"/>
          <w:color w:val="auto"/>
        </w:rPr>
        <w:fldChar w:fldCharType="begin"/>
      </w:r>
      <w:r w:rsidR="00CF50C8" w:rsidRPr="00CF50C8">
        <w:rPr>
          <w:rFonts w:ascii="Arial" w:hAnsi="Arial" w:cs="Arial"/>
          <w:b w:val="0"/>
          <w:color w:val="auto"/>
        </w:rPr>
        <w:instrText xml:space="preserve"> SEQ Figure \* ARABIC </w:instrText>
      </w:r>
      <w:r w:rsidR="00CF50C8" w:rsidRPr="00CF50C8">
        <w:rPr>
          <w:rFonts w:ascii="Arial" w:hAnsi="Arial" w:cs="Arial"/>
          <w:b w:val="0"/>
          <w:color w:val="auto"/>
        </w:rPr>
        <w:fldChar w:fldCharType="separate"/>
      </w:r>
      <w:r w:rsidR="0040369A">
        <w:rPr>
          <w:rFonts w:ascii="Arial" w:hAnsi="Arial" w:cs="Arial"/>
          <w:b w:val="0"/>
          <w:noProof/>
          <w:color w:val="auto"/>
        </w:rPr>
        <w:t>63</w:t>
      </w:r>
      <w:r w:rsidR="00CF50C8" w:rsidRPr="00CF50C8">
        <w:rPr>
          <w:rFonts w:ascii="Arial" w:hAnsi="Arial" w:cs="Arial"/>
          <w:b w:val="0"/>
          <w:noProof/>
          <w:color w:val="auto"/>
        </w:rPr>
        <w:fldChar w:fldCharType="end"/>
      </w:r>
      <w:r w:rsidR="00CF50C8" w:rsidRPr="00CF50C8">
        <w:rPr>
          <w:rFonts w:ascii="Arial" w:hAnsi="Arial" w:cs="Arial"/>
          <w:b w:val="0"/>
          <w:noProof/>
          <w:color w:val="auto"/>
        </w:rPr>
        <w:t xml:space="preserve">: The mechanism of action of estrogen and </w:t>
      </w:r>
      <w:r w:rsidR="008D30C1">
        <w:rPr>
          <w:rFonts w:ascii="Arial" w:hAnsi="Arial" w:cs="Arial"/>
          <w:b w:val="0"/>
          <w:noProof/>
          <w:color w:val="auto"/>
        </w:rPr>
        <w:t xml:space="preserve">the </w:t>
      </w:r>
      <w:r w:rsidR="00CF50C8" w:rsidRPr="00CF50C8">
        <w:rPr>
          <w:rFonts w:ascii="Arial" w:hAnsi="Arial" w:cs="Arial"/>
          <w:b w:val="0"/>
          <w:noProof/>
          <w:color w:val="auto"/>
        </w:rPr>
        <w:t>possible mechanism of action of raloxifene on osteocytes and the regulation of bone formation via the Wnt signalling pathway.</w:t>
      </w:r>
      <w:bookmarkEnd w:id="231"/>
    </w:p>
    <w:p w:rsidR="00B735DB" w:rsidRPr="008D30C1" w:rsidRDefault="00B735DB" w:rsidP="003E5C23">
      <w:pPr>
        <w:spacing w:line="360" w:lineRule="auto"/>
        <w:jc w:val="both"/>
        <w:rPr>
          <w:rFonts w:ascii="Arial" w:hAnsi="Arial" w:cs="Arial"/>
        </w:rPr>
      </w:pPr>
      <w:r w:rsidRPr="008D30C1">
        <w:rPr>
          <w:rFonts w:ascii="Arial" w:hAnsi="Arial" w:cs="Arial"/>
        </w:rPr>
        <w:t>The aims of this study were to investigate the effects of raloxifene on i) bone balance and bone turno</w:t>
      </w:r>
      <w:r w:rsidR="00E75835">
        <w:rPr>
          <w:rFonts w:ascii="Arial" w:hAnsi="Arial" w:cs="Arial"/>
        </w:rPr>
        <w:t>ver and bone balance using the T</w:t>
      </w:r>
      <w:r w:rsidRPr="008D30C1">
        <w:rPr>
          <w:rFonts w:ascii="Arial" w:hAnsi="Arial" w:cs="Arial"/>
        </w:rPr>
        <w:t>-score  bone marker method and plot and ii) levels of circulating sclerostin in postmenopausal women with osteopenia and premenopausal women.</w:t>
      </w:r>
    </w:p>
    <w:p w:rsidR="00626E83" w:rsidRPr="008D30C1" w:rsidRDefault="00B735DB" w:rsidP="003E5C23">
      <w:pPr>
        <w:spacing w:line="360" w:lineRule="auto"/>
        <w:jc w:val="both"/>
        <w:rPr>
          <w:rFonts w:ascii="Arial" w:hAnsi="Arial" w:cs="Arial"/>
        </w:rPr>
      </w:pPr>
      <w:r w:rsidRPr="008D30C1">
        <w:rPr>
          <w:rFonts w:ascii="Arial" w:hAnsi="Arial" w:cs="Arial"/>
        </w:rPr>
        <w:t>The hypothese</w:t>
      </w:r>
      <w:r w:rsidR="00626E83" w:rsidRPr="008D30C1">
        <w:rPr>
          <w:rFonts w:ascii="Arial" w:hAnsi="Arial" w:cs="Arial"/>
        </w:rPr>
        <w:t>s</w:t>
      </w:r>
      <w:r w:rsidRPr="008D30C1">
        <w:rPr>
          <w:rFonts w:ascii="Arial" w:hAnsi="Arial" w:cs="Arial"/>
        </w:rPr>
        <w:t xml:space="preserve"> were</w:t>
      </w:r>
      <w:r w:rsidR="00626E83" w:rsidRPr="008D30C1">
        <w:rPr>
          <w:rFonts w:ascii="Arial" w:hAnsi="Arial" w:cs="Arial"/>
        </w:rPr>
        <w:t>:</w:t>
      </w:r>
    </w:p>
    <w:p w:rsidR="00626E83" w:rsidRPr="008D30C1" w:rsidRDefault="00626E83" w:rsidP="003E5C23">
      <w:pPr>
        <w:pStyle w:val="ListParagraph"/>
        <w:numPr>
          <w:ilvl w:val="0"/>
          <w:numId w:val="27"/>
        </w:numPr>
        <w:spacing w:line="360" w:lineRule="auto"/>
        <w:jc w:val="both"/>
        <w:rPr>
          <w:rFonts w:ascii="Arial" w:hAnsi="Arial" w:cs="Arial"/>
        </w:rPr>
      </w:pPr>
      <w:r w:rsidRPr="008D30C1">
        <w:rPr>
          <w:rFonts w:ascii="Arial" w:hAnsi="Arial" w:cs="Arial"/>
        </w:rPr>
        <w:t>Raloxifen</w:t>
      </w:r>
      <w:r w:rsidR="00B102E4" w:rsidRPr="008D30C1">
        <w:rPr>
          <w:rFonts w:ascii="Arial" w:hAnsi="Arial" w:cs="Arial"/>
        </w:rPr>
        <w:t>e reduces bone turnov</w:t>
      </w:r>
      <w:r w:rsidR="00A61B08" w:rsidRPr="008D30C1">
        <w:rPr>
          <w:rFonts w:ascii="Arial" w:hAnsi="Arial" w:cs="Arial"/>
        </w:rPr>
        <w:t xml:space="preserve">er </w:t>
      </w:r>
      <w:r w:rsidR="00B735DB" w:rsidRPr="008D30C1">
        <w:rPr>
          <w:rFonts w:ascii="Arial" w:hAnsi="Arial" w:cs="Arial"/>
        </w:rPr>
        <w:t>and makes balance</w:t>
      </w:r>
      <w:r w:rsidR="00B102E4" w:rsidRPr="008D30C1">
        <w:rPr>
          <w:rFonts w:ascii="Arial" w:hAnsi="Arial" w:cs="Arial"/>
        </w:rPr>
        <w:t xml:space="preserve"> </w:t>
      </w:r>
      <w:r w:rsidR="00B75DCA">
        <w:rPr>
          <w:rFonts w:ascii="Arial" w:hAnsi="Arial" w:cs="Arial"/>
        </w:rPr>
        <w:t xml:space="preserve">more </w:t>
      </w:r>
      <w:r w:rsidR="00B102E4" w:rsidRPr="008D30C1">
        <w:rPr>
          <w:rFonts w:ascii="Arial" w:hAnsi="Arial" w:cs="Arial"/>
        </w:rPr>
        <w:t>positive at the end of treatment compared to baseline and premenopausal women.</w:t>
      </w:r>
    </w:p>
    <w:p w:rsidR="00B735DB" w:rsidRPr="008D30C1" w:rsidRDefault="00B735DB" w:rsidP="003E5C23">
      <w:pPr>
        <w:pStyle w:val="ListParagraph"/>
        <w:numPr>
          <w:ilvl w:val="0"/>
          <w:numId w:val="27"/>
        </w:numPr>
        <w:spacing w:line="360" w:lineRule="auto"/>
        <w:jc w:val="both"/>
        <w:rPr>
          <w:rFonts w:ascii="Arial" w:hAnsi="Arial" w:cs="Arial"/>
        </w:rPr>
      </w:pPr>
      <w:r w:rsidRPr="008D30C1">
        <w:rPr>
          <w:rFonts w:ascii="Arial" w:hAnsi="Arial" w:cs="Arial"/>
        </w:rPr>
        <w:t xml:space="preserve">The reduction in bone formation </w:t>
      </w:r>
      <w:r w:rsidR="00A61B08" w:rsidRPr="008D30C1">
        <w:rPr>
          <w:rFonts w:ascii="Arial" w:hAnsi="Arial" w:cs="Arial"/>
        </w:rPr>
        <w:t xml:space="preserve">relative to bone resorption </w:t>
      </w:r>
      <w:r w:rsidRPr="008D30C1">
        <w:rPr>
          <w:rFonts w:ascii="Arial" w:hAnsi="Arial" w:cs="Arial"/>
        </w:rPr>
        <w:t xml:space="preserve">by raloxifene </w:t>
      </w:r>
      <w:r w:rsidR="00A61B08" w:rsidRPr="008D30C1">
        <w:rPr>
          <w:rFonts w:ascii="Arial" w:hAnsi="Arial" w:cs="Arial"/>
        </w:rPr>
        <w:t xml:space="preserve">is </w:t>
      </w:r>
      <w:r w:rsidRPr="008D30C1">
        <w:rPr>
          <w:rFonts w:ascii="Arial" w:hAnsi="Arial" w:cs="Arial"/>
        </w:rPr>
        <w:t>mediated by circulating levels of sclerostin.</w:t>
      </w:r>
    </w:p>
    <w:p w:rsidR="00626E83" w:rsidRPr="00D2266C" w:rsidRDefault="00626E83" w:rsidP="003E5C23">
      <w:pPr>
        <w:pStyle w:val="ListParagraph"/>
        <w:numPr>
          <w:ilvl w:val="0"/>
          <w:numId w:val="27"/>
        </w:numPr>
        <w:spacing w:line="360" w:lineRule="auto"/>
        <w:ind w:left="714" w:hanging="357"/>
        <w:jc w:val="both"/>
        <w:rPr>
          <w:rFonts w:ascii="Arial" w:hAnsi="Arial" w:cs="Arial"/>
        </w:rPr>
      </w:pPr>
      <w:r w:rsidRPr="00D2266C">
        <w:rPr>
          <w:rFonts w:ascii="Arial" w:hAnsi="Arial" w:cs="Arial"/>
        </w:rPr>
        <w:t xml:space="preserve">Sclerostin is a biochemical marker that is related to </w:t>
      </w:r>
      <w:r w:rsidR="0080288C" w:rsidRPr="00D2266C">
        <w:rPr>
          <w:rFonts w:ascii="Arial" w:hAnsi="Arial" w:cs="Arial"/>
        </w:rPr>
        <w:t xml:space="preserve">bone formation, bone resorption and </w:t>
      </w:r>
      <w:r w:rsidRPr="00D2266C">
        <w:rPr>
          <w:rFonts w:ascii="Arial" w:hAnsi="Arial" w:cs="Arial"/>
        </w:rPr>
        <w:t>bone balance.</w:t>
      </w:r>
    </w:p>
    <w:p w:rsidR="00626E83" w:rsidRDefault="0080288C" w:rsidP="003E5C23">
      <w:pPr>
        <w:pStyle w:val="Heading2"/>
        <w:jc w:val="both"/>
      </w:pPr>
      <w:bookmarkStart w:id="232" w:name="_Toc425418968"/>
      <w:r>
        <w:t>Study participants</w:t>
      </w:r>
      <w:bookmarkEnd w:id="232"/>
    </w:p>
    <w:p w:rsidR="00FF0C1C" w:rsidRPr="00575AF7" w:rsidRDefault="00FF0C1C" w:rsidP="003E5C23">
      <w:pPr>
        <w:spacing w:line="360" w:lineRule="auto"/>
        <w:jc w:val="both"/>
        <w:rPr>
          <w:rFonts w:ascii="Arial" w:hAnsi="Arial" w:cs="Arial"/>
        </w:rPr>
      </w:pPr>
      <w:r w:rsidRPr="00575AF7">
        <w:rPr>
          <w:rFonts w:ascii="Arial" w:hAnsi="Arial" w:cs="Arial"/>
        </w:rPr>
        <w:t xml:space="preserve">The participants used for these analyses were from the </w:t>
      </w:r>
      <w:r w:rsidR="00923A9C" w:rsidRPr="00575AF7">
        <w:rPr>
          <w:rFonts w:ascii="Arial" w:hAnsi="Arial" w:cs="Arial"/>
        </w:rPr>
        <w:t>clinical trial investigating the use of raloxifene treatment in in postmenopaus</w:t>
      </w:r>
      <w:r w:rsidR="00575AF7">
        <w:rPr>
          <w:rFonts w:ascii="Arial" w:hAnsi="Arial" w:cs="Arial"/>
        </w:rPr>
        <w:t>al women with osteopenia, mean age 64 years (</w:t>
      </w:r>
      <w:r w:rsidR="00923A9C" w:rsidRPr="00575AF7">
        <w:rPr>
          <w:rFonts w:ascii="Arial" w:hAnsi="Arial" w:cs="Arial"/>
        </w:rPr>
        <w:t>desc</w:t>
      </w:r>
      <w:r w:rsidR="000B5F72" w:rsidRPr="00575AF7">
        <w:rPr>
          <w:rFonts w:ascii="Arial" w:hAnsi="Arial" w:cs="Arial"/>
        </w:rPr>
        <w:t>ribed in chapter 5). 21 were randomised to receive 60mg of raloxifene per day (Evista, Eli Lilly and Co) and 23 received no treatment</w:t>
      </w:r>
      <w:r w:rsidR="00575AF7">
        <w:rPr>
          <w:rFonts w:ascii="Arial" w:hAnsi="Arial" w:cs="Arial"/>
        </w:rPr>
        <w:t>, the latter was the comparator group</w:t>
      </w:r>
      <w:r w:rsidR="000B5F72" w:rsidRPr="00575AF7">
        <w:rPr>
          <w:rFonts w:ascii="Arial" w:hAnsi="Arial" w:cs="Arial"/>
        </w:rPr>
        <w:t>. All of the participants received calcium carbonate to provide 500mg of calcium per day.</w:t>
      </w:r>
    </w:p>
    <w:p w:rsidR="00575AF7" w:rsidRDefault="00575AF7" w:rsidP="003E5C23">
      <w:pPr>
        <w:pStyle w:val="Heading2"/>
        <w:jc w:val="both"/>
      </w:pPr>
      <w:bookmarkStart w:id="233" w:name="_Toc425418969"/>
      <w:r>
        <w:t>Laboratory methods</w:t>
      </w:r>
      <w:bookmarkEnd w:id="233"/>
    </w:p>
    <w:p w:rsidR="00717775" w:rsidRPr="005732A7" w:rsidRDefault="00717775" w:rsidP="003E5C23">
      <w:pPr>
        <w:spacing w:line="360" w:lineRule="auto"/>
        <w:jc w:val="both"/>
        <w:rPr>
          <w:rFonts w:ascii="Arial" w:hAnsi="Arial" w:cs="Arial"/>
        </w:rPr>
      </w:pPr>
      <w:r>
        <w:rPr>
          <w:rFonts w:ascii="Arial" w:hAnsi="Arial" w:cs="Arial"/>
        </w:rPr>
        <w:t>From the 21 participants receiving raloxifene</w:t>
      </w:r>
      <w:r w:rsidRPr="005732A7">
        <w:rPr>
          <w:rFonts w:ascii="Arial" w:hAnsi="Arial" w:cs="Arial"/>
        </w:rPr>
        <w:t xml:space="preserve"> a fasting serum </w:t>
      </w:r>
      <w:r>
        <w:rPr>
          <w:rFonts w:ascii="Arial" w:hAnsi="Arial" w:cs="Arial"/>
        </w:rPr>
        <w:t>sample was</w:t>
      </w:r>
      <w:r w:rsidRPr="005732A7">
        <w:rPr>
          <w:rFonts w:ascii="Arial" w:hAnsi="Arial" w:cs="Arial"/>
        </w:rPr>
        <w:t xml:space="preserve"> collected at baseline then at weeks 1, 2, 4, 8, 12,</w:t>
      </w:r>
      <w:r>
        <w:rPr>
          <w:rFonts w:ascii="Arial" w:hAnsi="Arial" w:cs="Arial"/>
        </w:rPr>
        <w:t xml:space="preserve"> 13,</w:t>
      </w:r>
      <w:r w:rsidRPr="005732A7">
        <w:rPr>
          <w:rFonts w:ascii="Arial" w:hAnsi="Arial" w:cs="Arial"/>
        </w:rPr>
        <w:t xml:space="preserve"> 24,</w:t>
      </w:r>
      <w:r>
        <w:rPr>
          <w:rFonts w:ascii="Arial" w:hAnsi="Arial" w:cs="Arial"/>
        </w:rPr>
        <w:t xml:space="preserve"> 25,</w:t>
      </w:r>
      <w:r w:rsidRPr="005732A7">
        <w:rPr>
          <w:rFonts w:ascii="Arial" w:hAnsi="Arial" w:cs="Arial"/>
        </w:rPr>
        <w:t xml:space="preserve"> 36</w:t>
      </w:r>
      <w:r>
        <w:rPr>
          <w:rFonts w:ascii="Arial" w:hAnsi="Arial" w:cs="Arial"/>
        </w:rPr>
        <w:t>, 47</w:t>
      </w:r>
      <w:r w:rsidRPr="005732A7">
        <w:rPr>
          <w:rFonts w:ascii="Arial" w:hAnsi="Arial" w:cs="Arial"/>
        </w:rPr>
        <w:t xml:space="preserve"> and 48</w:t>
      </w:r>
      <w:r>
        <w:rPr>
          <w:rFonts w:ascii="Arial" w:hAnsi="Arial" w:cs="Arial"/>
        </w:rPr>
        <w:t>. From the 23 parti</w:t>
      </w:r>
      <w:r w:rsidRPr="005732A7">
        <w:rPr>
          <w:rFonts w:ascii="Arial" w:hAnsi="Arial" w:cs="Arial"/>
        </w:rPr>
        <w:t xml:space="preserve">cipants receiving no treatment a fasting serum </w:t>
      </w:r>
      <w:r>
        <w:rPr>
          <w:rFonts w:ascii="Arial" w:hAnsi="Arial" w:cs="Arial"/>
        </w:rPr>
        <w:t>sample was</w:t>
      </w:r>
      <w:r w:rsidRPr="005732A7">
        <w:rPr>
          <w:rFonts w:ascii="Arial" w:hAnsi="Arial" w:cs="Arial"/>
        </w:rPr>
        <w:t xml:space="preserve"> collected at baseline t</w:t>
      </w:r>
      <w:r w:rsidR="00A23430">
        <w:rPr>
          <w:rFonts w:ascii="Arial" w:hAnsi="Arial" w:cs="Arial"/>
        </w:rPr>
        <w:t xml:space="preserve">hen at weeks 12, 24, 25, 36 </w:t>
      </w:r>
      <w:r w:rsidRPr="005732A7">
        <w:rPr>
          <w:rFonts w:ascii="Arial" w:hAnsi="Arial" w:cs="Arial"/>
        </w:rPr>
        <w:t>and 48.Blood and urine were collected, handled and stored accordin</w:t>
      </w:r>
      <w:r>
        <w:rPr>
          <w:rFonts w:ascii="Arial" w:hAnsi="Arial" w:cs="Arial"/>
        </w:rPr>
        <w:t>g to the methods in chapter two</w:t>
      </w:r>
      <w:r w:rsidRPr="005732A7">
        <w:rPr>
          <w:rFonts w:ascii="Arial" w:hAnsi="Arial" w:cs="Arial"/>
        </w:rPr>
        <w:t xml:space="preserve">. </w:t>
      </w:r>
    </w:p>
    <w:p w:rsidR="00717775" w:rsidRDefault="00717775" w:rsidP="003E5C23">
      <w:pPr>
        <w:spacing w:line="360" w:lineRule="auto"/>
        <w:jc w:val="both"/>
        <w:rPr>
          <w:rFonts w:ascii="Arial" w:hAnsi="Arial" w:cs="Arial"/>
        </w:rPr>
      </w:pPr>
      <w:r>
        <w:rPr>
          <w:rFonts w:ascii="Arial" w:hAnsi="Arial" w:cs="Arial"/>
        </w:rPr>
        <w:t xml:space="preserve">CTX and PINP </w:t>
      </w:r>
      <w:r w:rsidRPr="005732A7">
        <w:rPr>
          <w:rFonts w:ascii="Arial" w:hAnsi="Arial" w:cs="Arial"/>
        </w:rPr>
        <w:t>were measured in serum using the IDS-iSYS CLIA technology automated immunoassay. The inter-assay CV’s were below 10% for each BTM using each of the quality control material</w:t>
      </w:r>
      <w:r>
        <w:rPr>
          <w:rFonts w:ascii="Arial" w:hAnsi="Arial" w:cs="Arial"/>
        </w:rPr>
        <w:t>s</w:t>
      </w:r>
      <w:r w:rsidRPr="005732A7">
        <w:rPr>
          <w:rFonts w:ascii="Arial" w:hAnsi="Arial" w:cs="Arial"/>
        </w:rPr>
        <w:t xml:space="preserve"> (chapter two).</w:t>
      </w:r>
    </w:p>
    <w:p w:rsidR="00717775" w:rsidRPr="00E5708A" w:rsidRDefault="00E5708A" w:rsidP="003E5C23">
      <w:pPr>
        <w:spacing w:line="360" w:lineRule="auto"/>
        <w:jc w:val="both"/>
        <w:rPr>
          <w:rFonts w:ascii="Arial" w:hAnsi="Arial" w:cs="Arial"/>
        </w:rPr>
      </w:pPr>
      <w:r w:rsidRPr="007A2673">
        <w:rPr>
          <w:rFonts w:ascii="Arial" w:hAnsi="Arial" w:cs="Arial"/>
        </w:rPr>
        <w:lastRenderedPageBreak/>
        <w:t xml:space="preserve">Circulating levels of sclerostin were measured in serum </w:t>
      </w:r>
      <w:r>
        <w:rPr>
          <w:rFonts w:ascii="Arial" w:hAnsi="Arial" w:cs="Arial"/>
        </w:rPr>
        <w:t xml:space="preserve">using </w:t>
      </w:r>
      <w:r w:rsidRPr="00C32032">
        <w:rPr>
          <w:rFonts w:ascii="Arial" w:hAnsi="Arial" w:cs="Arial"/>
        </w:rPr>
        <w:t>a 96-well plate direct-capture enzyme immunoassay from TECOmedical Group (Sissach, Switzerland)</w:t>
      </w:r>
      <w:r>
        <w:rPr>
          <w:rFonts w:ascii="Arial" w:hAnsi="Arial" w:cs="Arial"/>
        </w:rPr>
        <w:t>, (described in chapter 2). The inter assay CV for sclerostin was less than 10% for each three quality control material used.</w:t>
      </w:r>
    </w:p>
    <w:p w:rsidR="00575AF7" w:rsidRPr="00575AF7" w:rsidRDefault="00575AF7" w:rsidP="003E5C23">
      <w:pPr>
        <w:pStyle w:val="Heading2"/>
        <w:jc w:val="both"/>
      </w:pPr>
      <w:bookmarkStart w:id="234" w:name="_Toc425418970"/>
      <w:r>
        <w:t>Statistical analysis</w:t>
      </w:r>
      <w:bookmarkEnd w:id="234"/>
    </w:p>
    <w:p w:rsidR="00575AF7" w:rsidRDefault="0018271A" w:rsidP="003E5C23">
      <w:pPr>
        <w:spacing w:line="360" w:lineRule="auto"/>
        <w:jc w:val="both"/>
        <w:rPr>
          <w:rFonts w:ascii="Arial" w:hAnsi="Arial" w:cs="Arial"/>
        </w:rPr>
      </w:pPr>
      <w:r>
        <w:rPr>
          <w:rFonts w:ascii="Arial" w:hAnsi="Arial" w:cs="Arial"/>
        </w:rPr>
        <w:t>These analyse</w:t>
      </w:r>
      <w:r w:rsidRPr="007A2673">
        <w:rPr>
          <w:rFonts w:ascii="Arial" w:hAnsi="Arial" w:cs="Arial"/>
        </w:rPr>
        <w:t>s were in the per protocol population, the participants who were randomised received all of the t</w:t>
      </w:r>
      <w:r>
        <w:rPr>
          <w:rFonts w:ascii="Arial" w:hAnsi="Arial" w:cs="Arial"/>
        </w:rPr>
        <w:t xml:space="preserve">reatment doses and had PINP, </w:t>
      </w:r>
      <w:r w:rsidRPr="007A2673">
        <w:rPr>
          <w:rFonts w:ascii="Arial" w:hAnsi="Arial" w:cs="Arial"/>
        </w:rPr>
        <w:t>CTX</w:t>
      </w:r>
      <w:r>
        <w:rPr>
          <w:rFonts w:ascii="Arial" w:hAnsi="Arial" w:cs="Arial"/>
        </w:rPr>
        <w:t xml:space="preserve"> and sclerostin</w:t>
      </w:r>
      <w:r w:rsidRPr="007A2673">
        <w:rPr>
          <w:rFonts w:ascii="Arial" w:hAnsi="Arial" w:cs="Arial"/>
        </w:rPr>
        <w:t xml:space="preserve"> data at all of the time points were included</w:t>
      </w:r>
    </w:p>
    <w:p w:rsidR="000E745E" w:rsidRPr="004D2975" w:rsidRDefault="000E745E" w:rsidP="003E5C23">
      <w:pPr>
        <w:tabs>
          <w:tab w:val="left" w:pos="1980"/>
        </w:tabs>
        <w:spacing w:line="360" w:lineRule="auto"/>
        <w:jc w:val="both"/>
        <w:rPr>
          <w:rFonts w:ascii="Arial" w:hAnsi="Arial" w:cs="Arial"/>
          <w:bCs/>
          <w:color w:val="FF0000"/>
        </w:rPr>
      </w:pPr>
      <w:r>
        <w:rPr>
          <w:rFonts w:ascii="Arial" w:hAnsi="Arial" w:cs="Arial"/>
        </w:rPr>
        <w:t>The values for CTX and PINP were log</w:t>
      </w:r>
      <w:r>
        <w:rPr>
          <w:rFonts w:ascii="Arial" w:hAnsi="Arial" w:cs="Arial"/>
          <w:vertAlign w:val="subscript"/>
        </w:rPr>
        <w:t>10</w:t>
      </w:r>
      <w:r>
        <w:rPr>
          <w:rFonts w:ascii="Arial" w:hAnsi="Arial" w:cs="Arial"/>
        </w:rPr>
        <w:t xml:space="preserve">-transformed and normalised. </w:t>
      </w:r>
      <w:r w:rsidRPr="00A045DF">
        <w:rPr>
          <w:rFonts w:ascii="Arial" w:hAnsi="Arial" w:cs="Arial"/>
          <w:noProof/>
        </w:rPr>
        <w:t>The Wilcoxon signed ranked</w:t>
      </w:r>
      <w:r>
        <w:rPr>
          <w:b/>
          <w:noProof/>
        </w:rPr>
        <w:t xml:space="preserve"> </w:t>
      </w:r>
      <w:r>
        <w:rPr>
          <w:rFonts w:ascii="Arial" w:hAnsi="Arial" w:cs="Arial"/>
        </w:rPr>
        <w:t>test was used to determine the statistical difference between the median sclerostin levels for postmenopausal women with osteopenia receiving raloxifene and the comparator group (not receiving raloxifene treatment). The overall change from baseline was assessed between the women receiving raloxifene and the comparator group using mixed model repeated measures (described in chapter 6).</w:t>
      </w:r>
    </w:p>
    <w:p w:rsidR="0018271A" w:rsidRDefault="0018271A" w:rsidP="009C51F8">
      <w:pPr>
        <w:tabs>
          <w:tab w:val="left" w:pos="1980"/>
        </w:tabs>
        <w:spacing w:line="360" w:lineRule="auto"/>
        <w:jc w:val="both"/>
        <w:rPr>
          <w:rFonts w:ascii="Arial" w:hAnsi="Arial" w:cs="Arial"/>
          <w:color w:val="FF0000"/>
        </w:rPr>
      </w:pPr>
      <w:r>
        <w:rPr>
          <w:rFonts w:ascii="Arial" w:hAnsi="Arial" w:cs="Arial"/>
        </w:rPr>
        <w:t>The PINP and CTX data for the healthy premenopausal women described in chapters 5 an</w:t>
      </w:r>
      <w:r w:rsidR="00D85EDA">
        <w:rPr>
          <w:rFonts w:ascii="Arial" w:hAnsi="Arial" w:cs="Arial"/>
        </w:rPr>
        <w:t>d 6 were used to calculate the T</w:t>
      </w:r>
      <w:r>
        <w:rPr>
          <w:rFonts w:ascii="Arial" w:hAnsi="Arial" w:cs="Arial"/>
        </w:rPr>
        <w:t xml:space="preserve">-scores </w:t>
      </w:r>
      <w:r w:rsidR="00432983">
        <w:rPr>
          <w:rFonts w:ascii="Arial" w:hAnsi="Arial" w:cs="Arial"/>
        </w:rPr>
        <w:t>for these participants receiving raloxifene treatment.</w:t>
      </w:r>
      <w:r>
        <w:rPr>
          <w:rFonts w:ascii="Arial" w:hAnsi="Arial" w:cs="Arial"/>
        </w:rPr>
        <w:t xml:space="preserve">  </w:t>
      </w:r>
      <w:r w:rsidR="00E75835">
        <w:rPr>
          <w:rFonts w:ascii="Arial" w:hAnsi="Arial" w:cs="Arial"/>
        </w:rPr>
        <w:t>At each visit the T</w:t>
      </w:r>
      <w:r w:rsidRPr="000512CD">
        <w:rPr>
          <w:rFonts w:ascii="Arial" w:hAnsi="Arial" w:cs="Arial"/>
        </w:rPr>
        <w:t>-scores for PINP and CTX value were calculated for each postmenopausal woman using the mean and standard deviation of the results for the premenopausal women. Bone turnover was the</w:t>
      </w:r>
      <w:r w:rsidR="00E75835">
        <w:rPr>
          <w:rFonts w:ascii="Arial" w:hAnsi="Arial" w:cs="Arial"/>
        </w:rPr>
        <w:t xml:space="preserve"> average of the two T</w:t>
      </w:r>
      <w:r w:rsidRPr="000512CD">
        <w:rPr>
          <w:rFonts w:ascii="Arial" w:hAnsi="Arial" w:cs="Arial"/>
        </w:rPr>
        <w:t xml:space="preserve">-scores and bone balance was </w:t>
      </w:r>
      <w:r w:rsidR="00D85EDA">
        <w:rPr>
          <w:rFonts w:ascii="Arial" w:hAnsi="Arial" w:cs="Arial"/>
        </w:rPr>
        <w:t>the difference between the two T</w:t>
      </w:r>
      <w:r w:rsidRPr="000512CD">
        <w:rPr>
          <w:rFonts w:ascii="Arial" w:hAnsi="Arial" w:cs="Arial"/>
        </w:rPr>
        <w:t>-scores (as described in chapter 4).</w:t>
      </w:r>
      <w:r>
        <w:rPr>
          <w:rFonts w:ascii="Arial" w:hAnsi="Arial" w:cs="Arial"/>
        </w:rPr>
        <w:t xml:space="preserve"> </w:t>
      </w:r>
    </w:p>
    <w:p w:rsidR="007B4139" w:rsidRDefault="003173E7" w:rsidP="003E5C23">
      <w:pPr>
        <w:tabs>
          <w:tab w:val="left" w:pos="1980"/>
        </w:tabs>
        <w:spacing w:line="360" w:lineRule="auto"/>
        <w:jc w:val="both"/>
        <w:rPr>
          <w:rFonts w:ascii="Arial" w:hAnsi="Arial" w:cs="Arial"/>
        </w:rPr>
      </w:pPr>
      <w:r w:rsidRPr="00A045DF">
        <w:rPr>
          <w:rFonts w:ascii="Arial" w:hAnsi="Arial" w:cs="Arial"/>
          <w:noProof/>
        </w:rPr>
        <w:t>The Wilcoxon signed ranked</w:t>
      </w:r>
      <w:r>
        <w:rPr>
          <w:b/>
          <w:noProof/>
        </w:rPr>
        <w:t xml:space="preserve"> </w:t>
      </w:r>
      <w:r>
        <w:rPr>
          <w:rFonts w:ascii="Arial" w:hAnsi="Arial" w:cs="Arial"/>
        </w:rPr>
        <w:t>test was used to determine the statistical difference between the median sclerostin levels for postmenopausal women with osteopenia receiving ralo</w:t>
      </w:r>
      <w:r w:rsidR="000E745E">
        <w:rPr>
          <w:rFonts w:ascii="Arial" w:hAnsi="Arial" w:cs="Arial"/>
        </w:rPr>
        <w:t xml:space="preserve">xifene and the comparator group. </w:t>
      </w:r>
      <w:r>
        <w:rPr>
          <w:rFonts w:ascii="Arial" w:hAnsi="Arial" w:cs="Arial"/>
        </w:rPr>
        <w:t xml:space="preserve">The overall change from baseline was assessed between the </w:t>
      </w:r>
      <w:r w:rsidR="00D2266C">
        <w:rPr>
          <w:rFonts w:ascii="Arial" w:hAnsi="Arial" w:cs="Arial"/>
        </w:rPr>
        <w:t>women receiving ralo</w:t>
      </w:r>
      <w:r w:rsidR="00F711D8">
        <w:rPr>
          <w:rFonts w:ascii="Arial" w:hAnsi="Arial" w:cs="Arial"/>
        </w:rPr>
        <w:t>xifene and the comparator group using mixed model repeated measures</w:t>
      </w:r>
      <w:r w:rsidR="000E745E">
        <w:rPr>
          <w:rFonts w:ascii="Arial" w:hAnsi="Arial" w:cs="Arial"/>
        </w:rPr>
        <w:t>.</w:t>
      </w:r>
    </w:p>
    <w:p w:rsidR="004D2975" w:rsidRPr="004D2975" w:rsidRDefault="004D2975" w:rsidP="003E5C23">
      <w:pPr>
        <w:tabs>
          <w:tab w:val="left" w:pos="1980"/>
        </w:tabs>
        <w:spacing w:line="360" w:lineRule="auto"/>
        <w:jc w:val="both"/>
        <w:rPr>
          <w:rFonts w:ascii="Arial" w:hAnsi="Arial" w:cs="Arial"/>
          <w:color w:val="FF0000"/>
        </w:rPr>
      </w:pPr>
      <w:r>
        <w:rPr>
          <w:rFonts w:ascii="Arial" w:hAnsi="Arial" w:cs="Arial"/>
        </w:rPr>
        <w:t xml:space="preserve">The sclerostin data for the healthy premenopausal women described in chapters 5 and 6 were used to calculate the sclerostin T-scores for participants receiving raloxifene treatment.  </w:t>
      </w:r>
      <w:r w:rsidRPr="000512CD">
        <w:rPr>
          <w:rFonts w:ascii="Arial" w:hAnsi="Arial" w:cs="Arial"/>
        </w:rPr>
        <w:t xml:space="preserve">The values for </w:t>
      </w:r>
      <w:r>
        <w:rPr>
          <w:rFonts w:ascii="Arial" w:hAnsi="Arial" w:cs="Arial"/>
        </w:rPr>
        <w:t>sclerostin</w:t>
      </w:r>
      <w:r w:rsidRPr="000512CD">
        <w:rPr>
          <w:rFonts w:ascii="Arial" w:hAnsi="Arial" w:cs="Arial"/>
        </w:rPr>
        <w:t xml:space="preserve"> were log</w:t>
      </w:r>
      <w:r w:rsidRPr="000512CD">
        <w:rPr>
          <w:rFonts w:ascii="Arial" w:hAnsi="Arial" w:cs="Arial"/>
          <w:vertAlign w:val="subscript"/>
        </w:rPr>
        <w:t>10</w:t>
      </w:r>
      <w:r w:rsidRPr="000512CD">
        <w:rPr>
          <w:rFonts w:ascii="Arial" w:hAnsi="Arial" w:cs="Arial"/>
        </w:rPr>
        <w:t>-transformed and</w:t>
      </w:r>
      <w:r>
        <w:rPr>
          <w:rFonts w:ascii="Arial" w:hAnsi="Arial" w:cs="Arial"/>
        </w:rPr>
        <w:t xml:space="preserve"> normalised. At each visit the T</w:t>
      </w:r>
      <w:r w:rsidRPr="000512CD">
        <w:rPr>
          <w:rFonts w:ascii="Arial" w:hAnsi="Arial" w:cs="Arial"/>
        </w:rPr>
        <w:t xml:space="preserve">-scores were calculated for each postmenopausal woman using the mean and standard deviation of the results for the premenopausal women. </w:t>
      </w:r>
    </w:p>
    <w:p w:rsidR="00887074" w:rsidRDefault="00887074" w:rsidP="003E5C23">
      <w:pPr>
        <w:autoSpaceDE w:val="0"/>
        <w:autoSpaceDN w:val="0"/>
        <w:adjustRightInd w:val="0"/>
        <w:spacing w:after="0" w:line="360" w:lineRule="auto"/>
        <w:jc w:val="both"/>
        <w:rPr>
          <w:rFonts w:ascii="CMR10" w:hAnsi="CMR10" w:cs="CMR10"/>
        </w:rPr>
      </w:pPr>
      <w:r>
        <w:rPr>
          <w:rFonts w:ascii="CMR10" w:hAnsi="CMR10" w:cs="CMR10"/>
        </w:rPr>
        <w:t>The Spearman rank correlation was used in order to assess the correlation between the change in i) sclerostin l</w:t>
      </w:r>
      <w:r w:rsidR="00D2266C">
        <w:rPr>
          <w:rFonts w:ascii="CMR10" w:hAnsi="CMR10" w:cs="CMR10"/>
        </w:rPr>
        <w:t>evels and bone turnover after 48</w:t>
      </w:r>
      <w:r>
        <w:rPr>
          <w:rFonts w:ascii="CMR10" w:hAnsi="CMR10" w:cs="CMR10"/>
        </w:rPr>
        <w:t xml:space="preserve"> weeks, ii) the change in sclerostin </w:t>
      </w:r>
      <w:r w:rsidR="00D2266C">
        <w:rPr>
          <w:rFonts w:ascii="CMR10" w:hAnsi="CMR10" w:cs="CMR10"/>
        </w:rPr>
        <w:t>levels and bone balance after 48</w:t>
      </w:r>
      <w:r>
        <w:rPr>
          <w:rFonts w:ascii="CMR10" w:hAnsi="CMR10" w:cs="CMR10"/>
        </w:rPr>
        <w:t xml:space="preserve"> weeks.</w:t>
      </w:r>
    </w:p>
    <w:p w:rsidR="00626E83" w:rsidRDefault="00626E83" w:rsidP="003E5C23">
      <w:pPr>
        <w:pStyle w:val="Heading2"/>
        <w:jc w:val="both"/>
      </w:pPr>
      <w:bookmarkStart w:id="235" w:name="_Toc425418971"/>
      <w:r>
        <w:t>Results</w:t>
      </w:r>
      <w:bookmarkEnd w:id="235"/>
    </w:p>
    <w:p w:rsidR="00D2266C" w:rsidRDefault="00D2266C" w:rsidP="003E5C23">
      <w:pPr>
        <w:spacing w:line="360" w:lineRule="auto"/>
        <w:jc w:val="both"/>
        <w:rPr>
          <w:rFonts w:ascii="Arial" w:hAnsi="Arial" w:cs="Arial"/>
        </w:rPr>
      </w:pPr>
      <w:r w:rsidRPr="0013532F">
        <w:rPr>
          <w:rFonts w:ascii="Arial" w:hAnsi="Arial" w:cs="Arial"/>
        </w:rPr>
        <w:t xml:space="preserve">The baseline characteristics for the </w:t>
      </w:r>
      <w:r>
        <w:rPr>
          <w:rFonts w:ascii="Arial" w:hAnsi="Arial" w:cs="Arial"/>
        </w:rPr>
        <w:t>postmenopausal women with osteopenia receiving raloxifene and no treatment are shown in table 18.</w:t>
      </w:r>
    </w:p>
    <w:p w:rsidR="0066377F" w:rsidRPr="0066377F" w:rsidRDefault="004726D9" w:rsidP="003E5C23">
      <w:pPr>
        <w:pStyle w:val="Heading3"/>
        <w:jc w:val="both"/>
      </w:pPr>
      <w:bookmarkStart w:id="236" w:name="_Toc425418972"/>
      <w:r>
        <w:lastRenderedPageBreak/>
        <w:t xml:space="preserve">The effect of raloxifene on bone </w:t>
      </w:r>
      <w:r w:rsidR="00D85EDA">
        <w:t>turnover and bone balance (the T</w:t>
      </w:r>
      <w:r>
        <w:t>-score bone marker plot/method)</w:t>
      </w:r>
      <w:bookmarkEnd w:id="236"/>
    </w:p>
    <w:p w:rsidR="00A3623D" w:rsidRPr="00997E0F" w:rsidRDefault="00D85EDA" w:rsidP="003E5C23">
      <w:pPr>
        <w:spacing w:line="360" w:lineRule="auto"/>
        <w:jc w:val="both"/>
        <w:rPr>
          <w:rFonts w:ascii="Arial" w:hAnsi="Arial" w:cs="Arial"/>
        </w:rPr>
      </w:pPr>
      <w:r>
        <w:rPr>
          <w:rFonts w:ascii="Arial" w:hAnsi="Arial" w:cs="Arial"/>
        </w:rPr>
        <w:t>F</w:t>
      </w:r>
      <w:r w:rsidR="0066377F">
        <w:rPr>
          <w:rFonts w:ascii="Arial" w:hAnsi="Arial" w:cs="Arial"/>
        </w:rPr>
        <w:t>igure 70</w:t>
      </w:r>
      <w:r w:rsidR="00A3623D" w:rsidRPr="00997E0F">
        <w:rPr>
          <w:rFonts w:ascii="Arial" w:hAnsi="Arial" w:cs="Arial"/>
        </w:rPr>
        <w:t xml:space="preserve"> shows the percentage change from baseline of CTX in postmenopausal women receiving raloxifene and those not receiving treatment and table</w:t>
      </w:r>
      <w:r w:rsidR="00BC7782">
        <w:rPr>
          <w:rFonts w:ascii="Arial" w:hAnsi="Arial" w:cs="Arial"/>
        </w:rPr>
        <w:t xml:space="preserve"> </w:t>
      </w:r>
      <w:r w:rsidR="00D43137">
        <w:rPr>
          <w:rFonts w:ascii="Arial" w:hAnsi="Arial" w:cs="Arial"/>
        </w:rPr>
        <w:t>30</w:t>
      </w:r>
      <w:r>
        <w:rPr>
          <w:rFonts w:ascii="Arial" w:hAnsi="Arial" w:cs="Arial"/>
        </w:rPr>
        <w:t xml:space="preserve"> </w:t>
      </w:r>
      <w:r w:rsidR="00337CDB" w:rsidRPr="00997E0F">
        <w:rPr>
          <w:rFonts w:ascii="Arial" w:hAnsi="Arial" w:cs="Arial"/>
        </w:rPr>
        <w:t>shows the mean values for each, over the 48 week study period.</w:t>
      </w:r>
      <w:r w:rsidR="002440D0" w:rsidRPr="00997E0F">
        <w:rPr>
          <w:rFonts w:ascii="Arial" w:hAnsi="Arial" w:cs="Arial"/>
        </w:rPr>
        <w:t xml:space="preserve"> </w:t>
      </w:r>
      <w:r w:rsidR="00BC7782">
        <w:rPr>
          <w:rFonts w:ascii="Arial" w:hAnsi="Arial" w:cs="Arial"/>
        </w:rPr>
        <w:t>Mixed model repeated measures analysis showed that t</w:t>
      </w:r>
      <w:r w:rsidR="002440D0" w:rsidRPr="00997E0F">
        <w:rPr>
          <w:rFonts w:ascii="Arial" w:hAnsi="Arial" w:cs="Arial"/>
        </w:rPr>
        <w:t xml:space="preserve">here was a decrease in CTX </w:t>
      </w:r>
      <w:r w:rsidR="00635E98" w:rsidRPr="00997E0F">
        <w:rPr>
          <w:rFonts w:ascii="Arial" w:hAnsi="Arial" w:cs="Arial"/>
        </w:rPr>
        <w:t xml:space="preserve">after 2 weeks of raloxifene treatment and this was significantly different from baseline, (p&lt;0.001). The decrease in CTX remained significant at each subsequent time point until 48 weeks, (p&lt;0.001). There was no significant change in CTX in the women not receiving </w:t>
      </w:r>
      <w:r w:rsidR="00D72A4F">
        <w:rPr>
          <w:rFonts w:ascii="Arial" w:hAnsi="Arial" w:cs="Arial"/>
        </w:rPr>
        <w:t xml:space="preserve">treatment </w:t>
      </w:r>
      <w:r w:rsidR="00635E98" w:rsidRPr="00997E0F">
        <w:rPr>
          <w:rFonts w:ascii="Arial" w:hAnsi="Arial" w:cs="Arial"/>
        </w:rPr>
        <w:t>over 48 weeks. Mean levels of CTX were signi</w:t>
      </w:r>
      <w:r w:rsidR="00997E0F" w:rsidRPr="00997E0F">
        <w:rPr>
          <w:rFonts w:ascii="Arial" w:hAnsi="Arial" w:cs="Arial"/>
        </w:rPr>
        <w:t>ficantly lower in the participants receiving raloxifene compared to those not receiving raloxifene at week 2 and</w:t>
      </w:r>
      <w:r w:rsidR="00F711D8">
        <w:rPr>
          <w:rFonts w:ascii="Arial" w:hAnsi="Arial" w:cs="Arial"/>
        </w:rPr>
        <w:t xml:space="preserve"> at every subsequent time point. (p&lt;0.001).</w:t>
      </w:r>
    </w:p>
    <w:p w:rsidR="00FA3666" w:rsidRDefault="00F77B6A" w:rsidP="00406169">
      <w:pPr>
        <w:keepNext/>
        <w:jc w:val="center"/>
      </w:pPr>
      <w:r>
        <w:rPr>
          <w:noProof/>
          <w:lang w:eastAsia="zh-CN"/>
        </w:rPr>
        <mc:AlternateContent>
          <mc:Choice Requires="wps">
            <w:drawing>
              <wp:anchor distT="0" distB="0" distL="114300" distR="114300" simplePos="0" relativeHeight="253341184" behindDoc="0" locked="0" layoutInCell="1" allowOverlap="1" wp14:anchorId="1F9A0833" wp14:editId="7339586D">
                <wp:simplePos x="0" y="0"/>
                <wp:positionH relativeFrom="column">
                  <wp:posOffset>3971925</wp:posOffset>
                </wp:positionH>
                <wp:positionV relativeFrom="paragraph">
                  <wp:posOffset>335280</wp:posOffset>
                </wp:positionV>
                <wp:extent cx="1228725" cy="390525"/>
                <wp:effectExtent l="0" t="0" r="9525" b="9525"/>
                <wp:wrapNone/>
                <wp:docPr id="18571" name="Rectangle 18571"/>
                <wp:cNvGraphicFramePr/>
                <a:graphic xmlns:a="http://schemas.openxmlformats.org/drawingml/2006/main">
                  <a:graphicData uri="http://schemas.microsoft.com/office/word/2010/wordprocessingShape">
                    <wps:wsp>
                      <wps:cNvSpPr/>
                      <wps:spPr>
                        <a:xfrm>
                          <a:off x="0" y="0"/>
                          <a:ext cx="1228725" cy="390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E78D7A" id="Rectangle 18571" o:spid="_x0000_s1026" style="position:absolute;margin-left:312.75pt;margin-top:26.4pt;width:96.75pt;height:30.75pt;z-index:2533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" fillcolor="white [3212]" stroked="f" strokeweight="2pt"/>
            </w:pict>
          </mc:Fallback>
        </mc:AlternateContent>
      </w:r>
      <w:r w:rsidR="00FA3666">
        <w:rPr>
          <w:noProof/>
          <w:lang w:eastAsia="zh-CN"/>
        </w:rPr>
        <w:drawing>
          <wp:inline distT="0" distB="0" distL="0" distR="0" wp14:anchorId="7A024DDF" wp14:editId="45726304">
            <wp:extent cx="5040000" cy="3600000"/>
            <wp:effectExtent l="0" t="0" r="8255" b="635"/>
            <wp:docPr id="18567" name="Picture 1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X_LOCF_Colour.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040000" cy="3600000"/>
                    </a:xfrm>
                    <a:prstGeom prst="rect">
                      <a:avLst/>
                    </a:prstGeom>
                  </pic:spPr>
                </pic:pic>
              </a:graphicData>
            </a:graphic>
          </wp:inline>
        </w:drawing>
      </w:r>
    </w:p>
    <w:p w:rsidR="00FA3666" w:rsidRPr="00F77B6A" w:rsidRDefault="00FA3666" w:rsidP="003E5C23">
      <w:pPr>
        <w:pStyle w:val="Caption"/>
        <w:jc w:val="both"/>
        <w:rPr>
          <w:rFonts w:ascii="Arial" w:hAnsi="Arial" w:cs="Arial"/>
          <w:b w:val="0"/>
          <w:color w:val="auto"/>
        </w:rPr>
      </w:pPr>
      <w:bookmarkStart w:id="237" w:name="_Toc425419553"/>
      <w:r w:rsidRPr="00014051">
        <w:rPr>
          <w:rFonts w:ascii="Arial" w:hAnsi="Arial" w:cs="Arial"/>
          <w:b w:val="0"/>
          <w:color w:val="auto"/>
        </w:rPr>
        <w:t xml:space="preserve">Figure </w:t>
      </w:r>
      <w:r w:rsidRPr="00014051">
        <w:rPr>
          <w:rFonts w:ascii="Arial" w:hAnsi="Arial" w:cs="Arial"/>
          <w:b w:val="0"/>
          <w:color w:val="auto"/>
        </w:rPr>
        <w:fldChar w:fldCharType="begin"/>
      </w:r>
      <w:r w:rsidRPr="00014051">
        <w:rPr>
          <w:rFonts w:ascii="Arial" w:hAnsi="Arial" w:cs="Arial"/>
          <w:b w:val="0"/>
          <w:color w:val="auto"/>
        </w:rPr>
        <w:instrText xml:space="preserve"> SEQ Figure \* ARABIC </w:instrText>
      </w:r>
      <w:r w:rsidRPr="00014051">
        <w:rPr>
          <w:rFonts w:ascii="Arial" w:hAnsi="Arial" w:cs="Arial"/>
          <w:b w:val="0"/>
          <w:color w:val="auto"/>
        </w:rPr>
        <w:fldChar w:fldCharType="separate"/>
      </w:r>
      <w:r w:rsidR="0040369A">
        <w:rPr>
          <w:rFonts w:ascii="Arial" w:hAnsi="Arial" w:cs="Arial"/>
          <w:b w:val="0"/>
          <w:noProof/>
          <w:color w:val="auto"/>
        </w:rPr>
        <w:t>64</w:t>
      </w:r>
      <w:r w:rsidRPr="00014051">
        <w:rPr>
          <w:rFonts w:ascii="Arial" w:hAnsi="Arial" w:cs="Arial"/>
          <w:b w:val="0"/>
          <w:color w:val="auto"/>
        </w:rPr>
        <w:fldChar w:fldCharType="end"/>
      </w:r>
      <w:r w:rsidRPr="00014051">
        <w:rPr>
          <w:rFonts w:ascii="Arial" w:hAnsi="Arial" w:cs="Arial"/>
          <w:b w:val="0"/>
          <w:color w:val="auto"/>
        </w:rPr>
        <w:t xml:space="preserve">: The </w:t>
      </w:r>
      <w:r w:rsidRPr="001F5B40">
        <w:rPr>
          <w:rFonts w:ascii="Arial" w:hAnsi="Arial" w:cs="Arial"/>
          <w:b w:val="0"/>
          <w:color w:val="auto"/>
        </w:rPr>
        <w:t xml:space="preserve">effect of raloxifene treatment on levels of </w:t>
      </w:r>
      <w:r>
        <w:rPr>
          <w:rFonts w:ascii="Arial" w:hAnsi="Arial" w:cs="Arial"/>
          <w:b w:val="0"/>
          <w:color w:val="auto"/>
        </w:rPr>
        <w:t>CTX</w:t>
      </w:r>
      <w:r w:rsidRPr="001F5B40">
        <w:rPr>
          <w:rFonts w:ascii="Arial" w:hAnsi="Arial" w:cs="Arial"/>
          <w:b w:val="0"/>
          <w:color w:val="auto"/>
        </w:rPr>
        <w:t xml:space="preserve"> in </w:t>
      </w:r>
      <w:r w:rsidR="00F77B6A">
        <w:rPr>
          <w:rFonts w:ascii="Arial" w:hAnsi="Arial" w:cs="Arial"/>
          <w:b w:val="0"/>
          <w:color w:val="auto"/>
        </w:rPr>
        <w:t>postmenopausal women with osteopenia (blue line) compared to those receiving no treatment (controls)</w:t>
      </w:r>
      <w:r w:rsidRPr="001F5B40">
        <w:rPr>
          <w:rFonts w:ascii="Arial" w:hAnsi="Arial" w:cs="Arial"/>
          <w:b w:val="0"/>
          <w:color w:val="auto"/>
        </w:rPr>
        <w:t xml:space="preserve">. </w:t>
      </w:r>
      <w:r>
        <w:rPr>
          <w:rFonts w:ascii="Arial" w:hAnsi="Arial" w:cs="Arial"/>
          <w:b w:val="0"/>
          <w:color w:val="auto"/>
        </w:rPr>
        <w:t xml:space="preserve">The percentage </w:t>
      </w:r>
      <w:r w:rsidRPr="001F5B40">
        <w:rPr>
          <w:rFonts w:ascii="Arial" w:hAnsi="Arial" w:cs="Arial"/>
          <w:b w:val="0"/>
          <w:color w:val="auto"/>
        </w:rPr>
        <w:t xml:space="preserve">change from baseline </w:t>
      </w:r>
      <w:r w:rsidR="00F77B6A">
        <w:rPr>
          <w:rFonts w:ascii="Arial" w:hAnsi="Arial" w:cs="Arial"/>
          <w:b w:val="0"/>
          <w:color w:val="auto"/>
        </w:rPr>
        <w:t>is shown for each visit.</w:t>
      </w:r>
      <w:bookmarkEnd w:id="237"/>
    </w:p>
    <w:p w:rsidR="00FA3666" w:rsidRPr="00014051" w:rsidRDefault="00FA3666" w:rsidP="003E5C23">
      <w:pPr>
        <w:pStyle w:val="Caption"/>
        <w:keepNext/>
        <w:jc w:val="both"/>
        <w:rPr>
          <w:rFonts w:ascii="Arial" w:hAnsi="Arial" w:cs="Arial"/>
          <w:b w:val="0"/>
          <w:color w:val="auto"/>
        </w:rPr>
      </w:pPr>
      <w:bookmarkStart w:id="238" w:name="_Toc424043704"/>
      <w:r w:rsidRPr="00014051">
        <w:rPr>
          <w:rFonts w:ascii="Arial" w:hAnsi="Arial" w:cs="Arial"/>
          <w:b w:val="0"/>
          <w:color w:val="auto"/>
        </w:rPr>
        <w:t xml:space="preserve">Table </w:t>
      </w:r>
      <w:r w:rsidRPr="00014051">
        <w:rPr>
          <w:rFonts w:ascii="Arial" w:hAnsi="Arial" w:cs="Arial"/>
          <w:b w:val="0"/>
          <w:color w:val="auto"/>
        </w:rPr>
        <w:fldChar w:fldCharType="begin"/>
      </w:r>
      <w:r w:rsidRPr="00014051">
        <w:rPr>
          <w:rFonts w:ascii="Arial" w:hAnsi="Arial" w:cs="Arial"/>
          <w:b w:val="0"/>
          <w:color w:val="auto"/>
        </w:rPr>
        <w:instrText xml:space="preserve"> SEQ Table \* ARABIC </w:instrText>
      </w:r>
      <w:r w:rsidRPr="00014051">
        <w:rPr>
          <w:rFonts w:ascii="Arial" w:hAnsi="Arial" w:cs="Arial"/>
          <w:b w:val="0"/>
          <w:color w:val="auto"/>
        </w:rPr>
        <w:fldChar w:fldCharType="separate"/>
      </w:r>
      <w:r w:rsidR="00DD116A">
        <w:rPr>
          <w:rFonts w:ascii="Arial" w:hAnsi="Arial" w:cs="Arial"/>
          <w:b w:val="0"/>
          <w:noProof/>
          <w:color w:val="auto"/>
        </w:rPr>
        <w:t>30</w:t>
      </w:r>
      <w:r w:rsidRPr="00014051">
        <w:rPr>
          <w:rFonts w:ascii="Arial" w:hAnsi="Arial" w:cs="Arial"/>
          <w:b w:val="0"/>
          <w:color w:val="auto"/>
        </w:rPr>
        <w:fldChar w:fldCharType="end"/>
      </w:r>
      <w:r w:rsidRPr="00014051">
        <w:rPr>
          <w:rFonts w:ascii="Arial" w:hAnsi="Arial" w:cs="Arial"/>
          <w:b w:val="0"/>
          <w:color w:val="auto"/>
        </w:rPr>
        <w:t xml:space="preserve">: The geometric mean and (95% confidence intervals) of </w:t>
      </w:r>
      <w:r>
        <w:rPr>
          <w:rFonts w:ascii="Arial" w:hAnsi="Arial" w:cs="Arial"/>
          <w:b w:val="0"/>
          <w:color w:val="auto"/>
        </w:rPr>
        <w:t>CTX</w:t>
      </w:r>
      <w:r w:rsidRPr="00014051">
        <w:rPr>
          <w:rFonts w:ascii="Arial" w:hAnsi="Arial" w:cs="Arial"/>
          <w:b w:val="0"/>
          <w:color w:val="auto"/>
        </w:rPr>
        <w:t xml:space="preserve"> </w:t>
      </w:r>
      <w:r w:rsidR="00F77B6A" w:rsidRPr="001F5B40">
        <w:rPr>
          <w:rFonts w:ascii="Arial" w:hAnsi="Arial" w:cs="Arial"/>
          <w:b w:val="0"/>
          <w:color w:val="auto"/>
        </w:rPr>
        <w:t xml:space="preserve">in </w:t>
      </w:r>
      <w:r w:rsidR="00F77B6A">
        <w:rPr>
          <w:rFonts w:ascii="Arial" w:hAnsi="Arial" w:cs="Arial"/>
          <w:b w:val="0"/>
          <w:color w:val="auto"/>
        </w:rPr>
        <w:t>postmenopausal women with osteopenia receiving raloxifene treatment (21) and those receiving no treatment (controls)</w:t>
      </w:r>
      <w:r w:rsidR="00F77B6A" w:rsidRPr="001F5B40">
        <w:rPr>
          <w:rFonts w:ascii="Arial" w:hAnsi="Arial" w:cs="Arial"/>
          <w:b w:val="0"/>
          <w:color w:val="auto"/>
        </w:rPr>
        <w:t xml:space="preserve"> </w:t>
      </w:r>
      <w:r w:rsidRPr="00014051">
        <w:rPr>
          <w:rFonts w:ascii="Arial" w:hAnsi="Arial" w:cs="Arial"/>
          <w:b w:val="0"/>
          <w:color w:val="auto"/>
        </w:rPr>
        <w:t xml:space="preserve">(N </w:t>
      </w:r>
      <w:r w:rsidR="00F77B6A">
        <w:rPr>
          <w:rFonts w:ascii="Arial" w:hAnsi="Arial" w:cs="Arial"/>
          <w:b w:val="0"/>
          <w:color w:val="auto"/>
        </w:rPr>
        <w:t>= 23).</w:t>
      </w:r>
      <w:bookmarkEnd w:id="238"/>
    </w:p>
    <w:tbl>
      <w:tblPr>
        <w:tblStyle w:val="TableGrid"/>
        <w:tblW w:w="10030" w:type="dxa"/>
        <w:tblInd w:w="-459" w:type="dxa"/>
        <w:tblLook w:val="04A0" w:firstRow="1" w:lastRow="0" w:firstColumn="1" w:lastColumn="0" w:noHBand="0" w:noVBand="1"/>
      </w:tblPr>
      <w:tblGrid>
        <w:gridCol w:w="1079"/>
        <w:gridCol w:w="994"/>
        <w:gridCol w:w="994"/>
        <w:gridCol w:w="994"/>
        <w:gridCol w:w="994"/>
        <w:gridCol w:w="995"/>
        <w:gridCol w:w="995"/>
        <w:gridCol w:w="995"/>
        <w:gridCol w:w="995"/>
        <w:gridCol w:w="995"/>
      </w:tblGrid>
      <w:tr w:rsidR="003505A2" w:rsidRPr="00926F43" w:rsidTr="003505A2">
        <w:trPr>
          <w:trHeight w:val="122"/>
        </w:trPr>
        <w:tc>
          <w:tcPr>
            <w:tcW w:w="364" w:type="dxa"/>
            <w:vAlign w:val="center"/>
          </w:tcPr>
          <w:p w:rsidR="00FA3666" w:rsidRPr="00926F43" w:rsidRDefault="00FA3666" w:rsidP="00900F2C">
            <w:pPr>
              <w:rPr>
                <w:rFonts w:ascii="Arial" w:hAnsi="Arial" w:cs="Arial"/>
                <w:sz w:val="16"/>
                <w:szCs w:val="16"/>
              </w:rPr>
            </w:pP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0</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1</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2</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4</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8</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12</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24</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36</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Week 48</w:t>
            </w:r>
          </w:p>
        </w:tc>
      </w:tr>
      <w:tr w:rsidR="003505A2" w:rsidRPr="00926F43" w:rsidTr="003505A2">
        <w:trPr>
          <w:trHeight w:val="362"/>
        </w:trPr>
        <w:tc>
          <w:tcPr>
            <w:tcW w:w="364" w:type="dxa"/>
            <w:vAlign w:val="center"/>
          </w:tcPr>
          <w:p w:rsidR="00453672" w:rsidRDefault="00453672" w:rsidP="00900F2C">
            <w:pPr>
              <w:rPr>
                <w:rFonts w:ascii="Arial" w:hAnsi="Arial" w:cs="Arial"/>
                <w:sz w:val="16"/>
                <w:szCs w:val="16"/>
              </w:rPr>
            </w:pPr>
            <w:r>
              <w:rPr>
                <w:rFonts w:ascii="Arial" w:hAnsi="Arial" w:cs="Arial"/>
                <w:sz w:val="16"/>
                <w:szCs w:val="16"/>
              </w:rPr>
              <w:t>Osteopenic</w:t>
            </w:r>
          </w:p>
          <w:p w:rsidR="00453672" w:rsidRPr="00926F43" w:rsidRDefault="00453672" w:rsidP="00900F2C">
            <w:pPr>
              <w:rPr>
                <w:rFonts w:ascii="Arial" w:hAnsi="Arial" w:cs="Arial"/>
                <w:sz w:val="16"/>
                <w:szCs w:val="16"/>
              </w:rPr>
            </w:pPr>
            <w:r>
              <w:rPr>
                <w:rFonts w:ascii="Arial" w:hAnsi="Arial" w:cs="Arial"/>
                <w:sz w:val="16"/>
                <w:szCs w:val="16"/>
              </w:rPr>
              <w:t>(</w:t>
            </w:r>
            <w:r w:rsidRPr="00926F43">
              <w:rPr>
                <w:rFonts w:ascii="Arial" w:hAnsi="Arial" w:cs="Arial"/>
                <w:sz w:val="16"/>
                <w:szCs w:val="16"/>
              </w:rPr>
              <w:t>Raloxifene</w:t>
            </w:r>
            <w:r>
              <w:rPr>
                <w:rFonts w:ascii="Arial" w:hAnsi="Arial" w:cs="Arial"/>
                <w:sz w:val="16"/>
                <w:szCs w:val="16"/>
              </w:rPr>
              <w:t>)</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0.63</w:t>
            </w:r>
          </w:p>
          <w:p w:rsidR="00453672" w:rsidRPr="00926F43" w:rsidRDefault="00453672" w:rsidP="00900F2C">
            <w:pPr>
              <w:rPr>
                <w:rFonts w:ascii="Arial" w:hAnsi="Arial" w:cs="Arial"/>
                <w:sz w:val="16"/>
                <w:szCs w:val="16"/>
              </w:rPr>
            </w:pPr>
            <w:r>
              <w:rPr>
                <w:rFonts w:ascii="Arial" w:hAnsi="Arial" w:cs="Arial"/>
                <w:sz w:val="16"/>
                <w:szCs w:val="16"/>
              </w:rPr>
              <w:t>(0.51,</w:t>
            </w:r>
            <w:r w:rsidRPr="00926F43">
              <w:rPr>
                <w:rFonts w:ascii="Arial" w:hAnsi="Arial" w:cs="Arial"/>
                <w:sz w:val="16"/>
                <w:szCs w:val="16"/>
              </w:rPr>
              <w:t>0.77)</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0.49</w:t>
            </w:r>
          </w:p>
          <w:p w:rsidR="00453672" w:rsidRPr="00926F43" w:rsidRDefault="00453672" w:rsidP="00900F2C">
            <w:pPr>
              <w:rPr>
                <w:rFonts w:ascii="Arial" w:hAnsi="Arial" w:cs="Arial"/>
                <w:sz w:val="16"/>
                <w:szCs w:val="16"/>
              </w:rPr>
            </w:pPr>
            <w:r>
              <w:rPr>
                <w:rFonts w:ascii="Arial" w:hAnsi="Arial" w:cs="Arial"/>
                <w:sz w:val="16"/>
                <w:szCs w:val="16"/>
              </w:rPr>
              <w:t>(0.40,</w:t>
            </w:r>
            <w:r w:rsidRPr="00926F43">
              <w:rPr>
                <w:rFonts w:ascii="Arial" w:hAnsi="Arial" w:cs="Arial"/>
                <w:sz w:val="16"/>
                <w:szCs w:val="16"/>
              </w:rPr>
              <w:t>0.60)</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0.45</w:t>
            </w:r>
          </w:p>
          <w:p w:rsidR="00453672" w:rsidRPr="00926F43" w:rsidRDefault="00453672" w:rsidP="00900F2C">
            <w:pPr>
              <w:rPr>
                <w:rFonts w:ascii="Arial" w:hAnsi="Arial" w:cs="Arial"/>
                <w:sz w:val="16"/>
                <w:szCs w:val="16"/>
              </w:rPr>
            </w:pPr>
            <w:r>
              <w:rPr>
                <w:rFonts w:ascii="Arial" w:hAnsi="Arial" w:cs="Arial"/>
                <w:sz w:val="16"/>
                <w:szCs w:val="16"/>
              </w:rPr>
              <w:t>(0.35,</w:t>
            </w:r>
            <w:r w:rsidRPr="00926F43">
              <w:rPr>
                <w:rFonts w:ascii="Arial" w:hAnsi="Arial" w:cs="Arial"/>
                <w:sz w:val="16"/>
                <w:szCs w:val="16"/>
              </w:rPr>
              <w:t>0.57)</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0.39</w:t>
            </w:r>
          </w:p>
          <w:p w:rsidR="00453672" w:rsidRPr="00926F43" w:rsidRDefault="00453672" w:rsidP="00900F2C">
            <w:pPr>
              <w:rPr>
                <w:rFonts w:ascii="Arial" w:hAnsi="Arial" w:cs="Arial"/>
                <w:sz w:val="16"/>
                <w:szCs w:val="16"/>
              </w:rPr>
            </w:pPr>
            <w:r>
              <w:rPr>
                <w:rFonts w:ascii="Arial" w:hAnsi="Arial" w:cs="Arial"/>
                <w:sz w:val="16"/>
                <w:szCs w:val="16"/>
              </w:rPr>
              <w:t>(0.30,</w:t>
            </w:r>
            <w:r w:rsidRPr="00926F43">
              <w:rPr>
                <w:rFonts w:ascii="Arial" w:hAnsi="Arial" w:cs="Arial"/>
                <w:sz w:val="16"/>
                <w:szCs w:val="16"/>
              </w:rPr>
              <w:t>0.50)</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0.39</w:t>
            </w:r>
          </w:p>
          <w:p w:rsidR="00453672" w:rsidRPr="00926F43" w:rsidRDefault="00453672" w:rsidP="00900F2C">
            <w:pPr>
              <w:rPr>
                <w:rFonts w:ascii="Arial" w:hAnsi="Arial" w:cs="Arial"/>
                <w:sz w:val="16"/>
                <w:szCs w:val="16"/>
              </w:rPr>
            </w:pPr>
            <w:r>
              <w:rPr>
                <w:rFonts w:ascii="Arial" w:hAnsi="Arial" w:cs="Arial"/>
                <w:sz w:val="16"/>
                <w:szCs w:val="16"/>
              </w:rPr>
              <w:t>(0.30,</w:t>
            </w:r>
            <w:r w:rsidRPr="00926F43">
              <w:rPr>
                <w:rFonts w:ascii="Arial" w:hAnsi="Arial" w:cs="Arial"/>
                <w:sz w:val="16"/>
                <w:szCs w:val="16"/>
              </w:rPr>
              <w:t>0.50)</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0.38</w:t>
            </w:r>
          </w:p>
          <w:p w:rsidR="00453672" w:rsidRPr="00926F43" w:rsidRDefault="00453672" w:rsidP="00900F2C">
            <w:pPr>
              <w:rPr>
                <w:rFonts w:ascii="Arial" w:hAnsi="Arial" w:cs="Arial"/>
                <w:sz w:val="16"/>
                <w:szCs w:val="16"/>
              </w:rPr>
            </w:pPr>
            <w:r>
              <w:rPr>
                <w:rFonts w:ascii="Arial" w:hAnsi="Arial" w:cs="Arial"/>
                <w:sz w:val="16"/>
                <w:szCs w:val="16"/>
              </w:rPr>
              <w:t>(0.30,</w:t>
            </w:r>
            <w:r w:rsidRPr="00926F43">
              <w:rPr>
                <w:rFonts w:ascii="Arial" w:hAnsi="Arial" w:cs="Arial"/>
                <w:sz w:val="16"/>
                <w:szCs w:val="16"/>
              </w:rPr>
              <w:t>0.48)</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0.35</w:t>
            </w:r>
          </w:p>
          <w:p w:rsidR="00453672" w:rsidRPr="00926F43" w:rsidRDefault="00453672" w:rsidP="00900F2C">
            <w:pPr>
              <w:rPr>
                <w:rFonts w:ascii="Arial" w:hAnsi="Arial" w:cs="Arial"/>
                <w:sz w:val="16"/>
                <w:szCs w:val="16"/>
              </w:rPr>
            </w:pPr>
            <w:r>
              <w:rPr>
                <w:rFonts w:ascii="Arial" w:hAnsi="Arial" w:cs="Arial"/>
                <w:sz w:val="16"/>
                <w:szCs w:val="16"/>
              </w:rPr>
              <w:t>(0.26,</w:t>
            </w:r>
            <w:r w:rsidRPr="00926F43">
              <w:rPr>
                <w:rFonts w:ascii="Arial" w:hAnsi="Arial" w:cs="Arial"/>
                <w:sz w:val="16"/>
                <w:szCs w:val="16"/>
              </w:rPr>
              <w:t>0.46)</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0.32</w:t>
            </w:r>
          </w:p>
          <w:p w:rsidR="00453672" w:rsidRPr="00926F43" w:rsidRDefault="00453672" w:rsidP="00900F2C">
            <w:pPr>
              <w:rPr>
                <w:rFonts w:ascii="Arial" w:hAnsi="Arial" w:cs="Arial"/>
                <w:sz w:val="16"/>
                <w:szCs w:val="16"/>
              </w:rPr>
            </w:pPr>
            <w:r>
              <w:rPr>
                <w:rFonts w:ascii="Arial" w:hAnsi="Arial" w:cs="Arial"/>
                <w:sz w:val="16"/>
                <w:szCs w:val="16"/>
              </w:rPr>
              <w:t>(0.25,</w:t>
            </w:r>
            <w:r w:rsidRPr="00926F43">
              <w:rPr>
                <w:rFonts w:ascii="Arial" w:hAnsi="Arial" w:cs="Arial"/>
                <w:sz w:val="16"/>
                <w:szCs w:val="16"/>
              </w:rPr>
              <w:t>0.42)</w:t>
            </w:r>
          </w:p>
        </w:tc>
        <w:tc>
          <w:tcPr>
            <w:tcW w:w="1074"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0.32</w:t>
            </w:r>
          </w:p>
          <w:p w:rsidR="00453672" w:rsidRPr="00926F43" w:rsidRDefault="00453672" w:rsidP="00900F2C">
            <w:pPr>
              <w:rPr>
                <w:rFonts w:ascii="Arial" w:hAnsi="Arial" w:cs="Arial"/>
                <w:sz w:val="16"/>
                <w:szCs w:val="16"/>
              </w:rPr>
            </w:pPr>
            <w:r>
              <w:rPr>
                <w:rFonts w:ascii="Arial" w:hAnsi="Arial" w:cs="Arial"/>
                <w:sz w:val="16"/>
                <w:szCs w:val="16"/>
              </w:rPr>
              <w:t>(0.23,</w:t>
            </w:r>
            <w:r w:rsidRPr="00926F43">
              <w:rPr>
                <w:rFonts w:ascii="Arial" w:hAnsi="Arial" w:cs="Arial"/>
                <w:sz w:val="16"/>
                <w:szCs w:val="16"/>
              </w:rPr>
              <w:t>0.44)</w:t>
            </w:r>
          </w:p>
        </w:tc>
      </w:tr>
      <w:tr w:rsidR="003505A2" w:rsidRPr="00926F43" w:rsidTr="003505A2">
        <w:trPr>
          <w:trHeight w:val="367"/>
        </w:trPr>
        <w:tc>
          <w:tcPr>
            <w:tcW w:w="364" w:type="dxa"/>
            <w:vAlign w:val="center"/>
          </w:tcPr>
          <w:p w:rsidR="00453672" w:rsidRDefault="00453672" w:rsidP="00900F2C">
            <w:pPr>
              <w:rPr>
                <w:rFonts w:ascii="Arial" w:hAnsi="Arial" w:cs="Arial"/>
                <w:sz w:val="16"/>
                <w:szCs w:val="16"/>
              </w:rPr>
            </w:pPr>
            <w:r>
              <w:rPr>
                <w:rFonts w:ascii="Arial" w:hAnsi="Arial" w:cs="Arial"/>
                <w:sz w:val="16"/>
                <w:szCs w:val="16"/>
              </w:rPr>
              <w:t>Osteopenic</w:t>
            </w:r>
          </w:p>
          <w:p w:rsidR="00FA3666" w:rsidRPr="00926F43" w:rsidRDefault="00453672" w:rsidP="00900F2C">
            <w:pPr>
              <w:rPr>
                <w:rFonts w:ascii="Arial" w:hAnsi="Arial" w:cs="Arial"/>
                <w:sz w:val="16"/>
                <w:szCs w:val="16"/>
              </w:rPr>
            </w:pPr>
            <w:r>
              <w:rPr>
                <w:rFonts w:ascii="Arial" w:hAnsi="Arial" w:cs="Arial"/>
                <w:sz w:val="16"/>
                <w:szCs w:val="16"/>
              </w:rPr>
              <w:t>(No treatment)</w:t>
            </w:r>
          </w:p>
        </w:tc>
        <w:tc>
          <w:tcPr>
            <w:tcW w:w="1074" w:type="dxa"/>
            <w:vAlign w:val="center"/>
          </w:tcPr>
          <w:p w:rsidR="00FA3666" w:rsidRPr="00926F43" w:rsidRDefault="00A3623D" w:rsidP="00900F2C">
            <w:pPr>
              <w:rPr>
                <w:rFonts w:ascii="Arial" w:hAnsi="Arial" w:cs="Arial"/>
                <w:sz w:val="16"/>
                <w:szCs w:val="16"/>
              </w:rPr>
            </w:pPr>
            <w:r>
              <w:rPr>
                <w:rFonts w:ascii="Arial" w:hAnsi="Arial" w:cs="Arial"/>
                <w:sz w:val="16"/>
                <w:szCs w:val="16"/>
              </w:rPr>
              <w:t>0.4</w:t>
            </w:r>
            <w:r w:rsidR="00FA3666" w:rsidRPr="00926F43">
              <w:rPr>
                <w:rFonts w:ascii="Arial" w:hAnsi="Arial" w:cs="Arial"/>
                <w:sz w:val="16"/>
                <w:szCs w:val="16"/>
              </w:rPr>
              <w:t>7</w:t>
            </w:r>
          </w:p>
          <w:p w:rsidR="00FA3666" w:rsidRPr="00926F43" w:rsidRDefault="00FA3666" w:rsidP="00900F2C">
            <w:pPr>
              <w:rPr>
                <w:rFonts w:ascii="Arial" w:hAnsi="Arial" w:cs="Arial"/>
                <w:sz w:val="16"/>
                <w:szCs w:val="16"/>
              </w:rPr>
            </w:pPr>
            <w:r>
              <w:rPr>
                <w:rFonts w:ascii="Arial" w:hAnsi="Arial" w:cs="Arial"/>
                <w:sz w:val="16"/>
                <w:szCs w:val="16"/>
              </w:rPr>
              <w:t>(0.35,</w:t>
            </w:r>
            <w:r w:rsidRPr="00926F43">
              <w:rPr>
                <w:rFonts w:ascii="Arial" w:hAnsi="Arial" w:cs="Arial"/>
                <w:sz w:val="16"/>
                <w:szCs w:val="16"/>
              </w:rPr>
              <w:t>0.63)</w:t>
            </w:r>
          </w:p>
        </w:tc>
        <w:tc>
          <w:tcPr>
            <w:tcW w:w="1074" w:type="dxa"/>
            <w:vAlign w:val="center"/>
          </w:tcPr>
          <w:p w:rsidR="00FA3666" w:rsidRPr="00926F43" w:rsidRDefault="00FA3666" w:rsidP="00900F2C">
            <w:pPr>
              <w:rPr>
                <w:rFonts w:ascii="Arial" w:hAnsi="Arial" w:cs="Arial"/>
                <w:sz w:val="16"/>
                <w:szCs w:val="16"/>
              </w:rPr>
            </w:pPr>
          </w:p>
        </w:tc>
        <w:tc>
          <w:tcPr>
            <w:tcW w:w="1074" w:type="dxa"/>
            <w:vAlign w:val="center"/>
          </w:tcPr>
          <w:p w:rsidR="00FA3666" w:rsidRPr="00926F43" w:rsidRDefault="00FA3666" w:rsidP="00900F2C">
            <w:pPr>
              <w:rPr>
                <w:rFonts w:ascii="Arial" w:hAnsi="Arial" w:cs="Arial"/>
                <w:sz w:val="16"/>
                <w:szCs w:val="16"/>
              </w:rPr>
            </w:pPr>
          </w:p>
        </w:tc>
        <w:tc>
          <w:tcPr>
            <w:tcW w:w="1074" w:type="dxa"/>
            <w:vAlign w:val="center"/>
          </w:tcPr>
          <w:p w:rsidR="00FA3666" w:rsidRPr="00926F43" w:rsidRDefault="00FA3666" w:rsidP="00900F2C">
            <w:pPr>
              <w:rPr>
                <w:rFonts w:ascii="Arial" w:hAnsi="Arial" w:cs="Arial"/>
                <w:sz w:val="16"/>
                <w:szCs w:val="16"/>
              </w:rPr>
            </w:pPr>
          </w:p>
        </w:tc>
        <w:tc>
          <w:tcPr>
            <w:tcW w:w="1074" w:type="dxa"/>
            <w:vAlign w:val="center"/>
          </w:tcPr>
          <w:p w:rsidR="00FA3666" w:rsidRPr="00926F43" w:rsidRDefault="00FA3666" w:rsidP="00900F2C">
            <w:pPr>
              <w:rPr>
                <w:rFonts w:ascii="Arial" w:hAnsi="Arial" w:cs="Arial"/>
                <w:sz w:val="16"/>
                <w:szCs w:val="16"/>
              </w:rPr>
            </w:pP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0.44</w:t>
            </w:r>
          </w:p>
          <w:p w:rsidR="00FA3666" w:rsidRPr="00926F43" w:rsidRDefault="00FA3666" w:rsidP="00900F2C">
            <w:pPr>
              <w:rPr>
                <w:rFonts w:ascii="Arial" w:hAnsi="Arial" w:cs="Arial"/>
                <w:sz w:val="16"/>
                <w:szCs w:val="16"/>
              </w:rPr>
            </w:pPr>
            <w:r>
              <w:rPr>
                <w:rFonts w:ascii="Arial" w:hAnsi="Arial" w:cs="Arial"/>
                <w:sz w:val="16"/>
                <w:szCs w:val="16"/>
              </w:rPr>
              <w:t>(0.31,</w:t>
            </w:r>
            <w:r w:rsidRPr="00926F43">
              <w:rPr>
                <w:rFonts w:ascii="Arial" w:hAnsi="Arial" w:cs="Arial"/>
                <w:sz w:val="16"/>
                <w:szCs w:val="16"/>
              </w:rPr>
              <w:t>0.61)</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0.48</w:t>
            </w:r>
          </w:p>
          <w:p w:rsidR="00FA3666" w:rsidRPr="00926F43" w:rsidRDefault="00FA3666" w:rsidP="00900F2C">
            <w:pPr>
              <w:rPr>
                <w:rFonts w:ascii="Arial" w:hAnsi="Arial" w:cs="Arial"/>
                <w:sz w:val="16"/>
                <w:szCs w:val="16"/>
              </w:rPr>
            </w:pPr>
            <w:r>
              <w:rPr>
                <w:rFonts w:ascii="Arial" w:hAnsi="Arial" w:cs="Arial"/>
                <w:sz w:val="16"/>
                <w:szCs w:val="16"/>
              </w:rPr>
              <w:t>(0.36,</w:t>
            </w:r>
            <w:r w:rsidRPr="00926F43">
              <w:rPr>
                <w:rFonts w:ascii="Arial" w:hAnsi="Arial" w:cs="Arial"/>
                <w:sz w:val="16"/>
                <w:szCs w:val="16"/>
              </w:rPr>
              <w:t>0.68)</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0.50</w:t>
            </w:r>
          </w:p>
          <w:p w:rsidR="00FA3666" w:rsidRPr="00926F43" w:rsidRDefault="00FA3666" w:rsidP="00900F2C">
            <w:pPr>
              <w:rPr>
                <w:rFonts w:ascii="Arial" w:hAnsi="Arial" w:cs="Arial"/>
                <w:sz w:val="16"/>
                <w:szCs w:val="16"/>
              </w:rPr>
            </w:pPr>
            <w:r>
              <w:rPr>
                <w:rFonts w:ascii="Arial" w:hAnsi="Arial" w:cs="Arial"/>
                <w:sz w:val="16"/>
                <w:szCs w:val="16"/>
              </w:rPr>
              <w:t>(0.36,</w:t>
            </w:r>
            <w:r w:rsidRPr="00926F43">
              <w:rPr>
                <w:rFonts w:ascii="Arial" w:hAnsi="Arial" w:cs="Arial"/>
                <w:sz w:val="16"/>
                <w:szCs w:val="16"/>
              </w:rPr>
              <w:t>0.68)</w:t>
            </w:r>
          </w:p>
        </w:tc>
        <w:tc>
          <w:tcPr>
            <w:tcW w:w="1074"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0.51</w:t>
            </w:r>
          </w:p>
          <w:p w:rsidR="00FA3666" w:rsidRPr="00926F43" w:rsidRDefault="00FA3666" w:rsidP="00900F2C">
            <w:pPr>
              <w:rPr>
                <w:rFonts w:ascii="Arial" w:hAnsi="Arial" w:cs="Arial"/>
                <w:sz w:val="16"/>
                <w:szCs w:val="16"/>
              </w:rPr>
            </w:pPr>
            <w:r>
              <w:rPr>
                <w:rFonts w:ascii="Arial" w:hAnsi="Arial" w:cs="Arial"/>
                <w:sz w:val="16"/>
                <w:szCs w:val="16"/>
              </w:rPr>
              <w:t>(0.38,0.69)</w:t>
            </w:r>
          </w:p>
        </w:tc>
      </w:tr>
    </w:tbl>
    <w:p w:rsidR="00FA3666" w:rsidRDefault="00FA3666" w:rsidP="00900F2C"/>
    <w:p w:rsidR="00997E0F" w:rsidRPr="00997E0F" w:rsidRDefault="003F0A8B" w:rsidP="00AD2E23">
      <w:pPr>
        <w:spacing w:line="360" w:lineRule="auto"/>
        <w:jc w:val="both"/>
        <w:rPr>
          <w:rFonts w:ascii="Arial" w:hAnsi="Arial" w:cs="Arial"/>
        </w:rPr>
      </w:pPr>
      <w:r>
        <w:rPr>
          <w:rFonts w:ascii="Arial" w:hAnsi="Arial" w:cs="Arial"/>
        </w:rPr>
        <w:t>Figure 71</w:t>
      </w:r>
      <w:r w:rsidR="00997E0F" w:rsidRPr="00997E0F">
        <w:rPr>
          <w:rFonts w:ascii="Arial" w:hAnsi="Arial" w:cs="Arial"/>
        </w:rPr>
        <w:t xml:space="preserve"> shows the percen</w:t>
      </w:r>
      <w:r w:rsidR="00997E0F">
        <w:rPr>
          <w:rFonts w:ascii="Arial" w:hAnsi="Arial" w:cs="Arial"/>
        </w:rPr>
        <w:t>tage change from baseline of PINP</w:t>
      </w:r>
      <w:r w:rsidR="00997E0F" w:rsidRPr="00997E0F">
        <w:rPr>
          <w:rFonts w:ascii="Arial" w:hAnsi="Arial" w:cs="Arial"/>
        </w:rPr>
        <w:t xml:space="preserve"> in postmenopausal women receiving raloxifene and those not receiving treatment and table</w:t>
      </w:r>
      <w:r w:rsidR="00D43137">
        <w:rPr>
          <w:rFonts w:ascii="Arial" w:hAnsi="Arial" w:cs="Arial"/>
        </w:rPr>
        <w:t xml:space="preserve"> 31</w:t>
      </w:r>
      <w:r w:rsidR="00997E0F" w:rsidRPr="00997E0F">
        <w:rPr>
          <w:rFonts w:ascii="Arial" w:hAnsi="Arial" w:cs="Arial"/>
        </w:rPr>
        <w:t xml:space="preserve"> shows the mean values for each, over the 48 week study period. There was a </w:t>
      </w:r>
      <w:r w:rsidR="00997E0F">
        <w:rPr>
          <w:rFonts w:ascii="Arial" w:hAnsi="Arial" w:cs="Arial"/>
        </w:rPr>
        <w:t>decrease in PINP</w:t>
      </w:r>
      <w:r w:rsidR="00997E0F" w:rsidRPr="00997E0F">
        <w:rPr>
          <w:rFonts w:ascii="Arial" w:hAnsi="Arial" w:cs="Arial"/>
        </w:rPr>
        <w:t xml:space="preserve"> </w:t>
      </w:r>
      <w:r w:rsidR="00997E0F">
        <w:rPr>
          <w:rFonts w:ascii="Arial" w:hAnsi="Arial" w:cs="Arial"/>
        </w:rPr>
        <w:lastRenderedPageBreak/>
        <w:t>after 4</w:t>
      </w:r>
      <w:r w:rsidR="00997E0F" w:rsidRPr="00997E0F">
        <w:rPr>
          <w:rFonts w:ascii="Arial" w:hAnsi="Arial" w:cs="Arial"/>
        </w:rPr>
        <w:t xml:space="preserve"> weeks of raloxifene treatment and this was significantly different from baseline</w:t>
      </w:r>
      <w:r w:rsidR="00997E0F">
        <w:rPr>
          <w:rFonts w:ascii="Arial" w:hAnsi="Arial" w:cs="Arial"/>
        </w:rPr>
        <w:t>, (p&lt;0.001). The decrease in PINP</w:t>
      </w:r>
      <w:r w:rsidR="00997E0F" w:rsidRPr="00997E0F">
        <w:rPr>
          <w:rFonts w:ascii="Arial" w:hAnsi="Arial" w:cs="Arial"/>
        </w:rPr>
        <w:t xml:space="preserve"> remained significant at each subsequent time point until 48 weeks, (p&lt;0.001). There </w:t>
      </w:r>
      <w:r w:rsidR="00997E0F">
        <w:rPr>
          <w:rFonts w:ascii="Arial" w:hAnsi="Arial" w:cs="Arial"/>
        </w:rPr>
        <w:t>was no significant change in PINP</w:t>
      </w:r>
      <w:r w:rsidR="00997E0F" w:rsidRPr="00997E0F">
        <w:rPr>
          <w:rFonts w:ascii="Arial" w:hAnsi="Arial" w:cs="Arial"/>
        </w:rPr>
        <w:t xml:space="preserve"> in the women not receiving </w:t>
      </w:r>
      <w:r w:rsidR="00F711D8">
        <w:rPr>
          <w:rFonts w:ascii="Arial" w:hAnsi="Arial" w:cs="Arial"/>
        </w:rPr>
        <w:t xml:space="preserve">raloxifene, </w:t>
      </w:r>
      <w:r w:rsidR="00997E0F" w:rsidRPr="00997E0F">
        <w:rPr>
          <w:rFonts w:ascii="Arial" w:hAnsi="Arial" w:cs="Arial"/>
        </w:rPr>
        <w:t>o</w:t>
      </w:r>
      <w:r w:rsidR="00997E0F">
        <w:rPr>
          <w:rFonts w:ascii="Arial" w:hAnsi="Arial" w:cs="Arial"/>
        </w:rPr>
        <w:t>ver 48 weeks. Mean levels of PINP</w:t>
      </w:r>
      <w:r w:rsidR="00997E0F" w:rsidRPr="00997E0F">
        <w:rPr>
          <w:rFonts w:ascii="Arial" w:hAnsi="Arial" w:cs="Arial"/>
        </w:rPr>
        <w:t xml:space="preserve"> were significantly lower in the participants receiving raloxifene compared to those not receiving raloxifene at week</w:t>
      </w:r>
      <w:r w:rsidR="00997E0F">
        <w:rPr>
          <w:rFonts w:ascii="Arial" w:hAnsi="Arial" w:cs="Arial"/>
        </w:rPr>
        <w:t xml:space="preserve"> 4</w:t>
      </w:r>
      <w:r w:rsidR="00997E0F" w:rsidRPr="00997E0F">
        <w:rPr>
          <w:rFonts w:ascii="Arial" w:hAnsi="Arial" w:cs="Arial"/>
        </w:rPr>
        <w:t xml:space="preserve"> and at every subsequent time point</w:t>
      </w:r>
      <w:r w:rsidR="00F711D8">
        <w:rPr>
          <w:rFonts w:ascii="Arial" w:hAnsi="Arial" w:cs="Arial"/>
        </w:rPr>
        <w:t>, (p&lt;0.001)</w:t>
      </w:r>
      <w:r w:rsidR="00997E0F" w:rsidRPr="00997E0F">
        <w:rPr>
          <w:rFonts w:ascii="Arial" w:hAnsi="Arial" w:cs="Arial"/>
        </w:rPr>
        <w:t>.</w:t>
      </w:r>
    </w:p>
    <w:p w:rsidR="00926F43" w:rsidRDefault="00926F43" w:rsidP="00AD2E23">
      <w:pPr>
        <w:jc w:val="both"/>
      </w:pPr>
    </w:p>
    <w:p w:rsidR="00FA3666" w:rsidRDefault="00453672" w:rsidP="00406169">
      <w:pPr>
        <w:keepNext/>
        <w:jc w:val="center"/>
      </w:pPr>
      <w:r>
        <w:rPr>
          <w:noProof/>
          <w:lang w:eastAsia="zh-CN"/>
        </w:rPr>
        <mc:AlternateContent>
          <mc:Choice Requires="wps">
            <w:drawing>
              <wp:anchor distT="0" distB="0" distL="114300" distR="114300" simplePos="0" relativeHeight="253362688" behindDoc="0" locked="0" layoutInCell="1" allowOverlap="1" wp14:anchorId="504D65CC" wp14:editId="444718AD">
                <wp:simplePos x="0" y="0"/>
                <wp:positionH relativeFrom="column">
                  <wp:posOffset>3810000</wp:posOffset>
                </wp:positionH>
                <wp:positionV relativeFrom="paragraph">
                  <wp:posOffset>335915</wp:posOffset>
                </wp:positionV>
                <wp:extent cx="1228725" cy="390525"/>
                <wp:effectExtent l="0" t="0" r="9525" b="9525"/>
                <wp:wrapNone/>
                <wp:docPr id="18573" name="Rectangle 18573"/>
                <wp:cNvGraphicFramePr/>
                <a:graphic xmlns:a="http://schemas.openxmlformats.org/drawingml/2006/main">
                  <a:graphicData uri="http://schemas.microsoft.com/office/word/2010/wordprocessingShape">
                    <wps:wsp>
                      <wps:cNvSpPr/>
                      <wps:spPr>
                        <a:xfrm>
                          <a:off x="0" y="0"/>
                          <a:ext cx="1228725" cy="390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27117" id="Rectangle 18573" o:spid="_x0000_s1026" style="position:absolute;margin-left:300pt;margin-top:26.45pt;width:96.75pt;height:30.75pt;z-index:2533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" fillcolor="white [3212]" stroked="f" strokeweight="2pt"/>
            </w:pict>
          </mc:Fallback>
        </mc:AlternateContent>
      </w:r>
      <w:r w:rsidR="00FA3666">
        <w:rPr>
          <w:noProof/>
          <w:lang w:eastAsia="zh-CN"/>
        </w:rPr>
        <w:drawing>
          <wp:inline distT="0" distB="0" distL="0" distR="0" wp14:anchorId="768A8F51" wp14:editId="3CA91AE6">
            <wp:extent cx="5040000" cy="3600000"/>
            <wp:effectExtent l="0" t="0" r="8255" b="635"/>
            <wp:docPr id="18568" name="Picture 1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P_LOCF_Colour.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040000" cy="3600000"/>
                    </a:xfrm>
                    <a:prstGeom prst="rect">
                      <a:avLst/>
                    </a:prstGeom>
                  </pic:spPr>
                </pic:pic>
              </a:graphicData>
            </a:graphic>
          </wp:inline>
        </w:drawing>
      </w:r>
    </w:p>
    <w:p w:rsidR="00FA3666" w:rsidRPr="00D57691" w:rsidRDefault="00FA3666" w:rsidP="00AD2E23">
      <w:pPr>
        <w:pStyle w:val="Caption"/>
        <w:jc w:val="both"/>
      </w:pPr>
      <w:bookmarkStart w:id="239" w:name="_Toc425419554"/>
      <w:r w:rsidRPr="00014051">
        <w:rPr>
          <w:rFonts w:ascii="Arial" w:hAnsi="Arial" w:cs="Arial"/>
          <w:b w:val="0"/>
          <w:color w:val="auto"/>
        </w:rPr>
        <w:t xml:space="preserve">Figure </w:t>
      </w:r>
      <w:r w:rsidRPr="00014051">
        <w:rPr>
          <w:rFonts w:ascii="Arial" w:hAnsi="Arial" w:cs="Arial"/>
          <w:b w:val="0"/>
          <w:color w:val="auto"/>
        </w:rPr>
        <w:fldChar w:fldCharType="begin"/>
      </w:r>
      <w:r w:rsidRPr="00014051">
        <w:rPr>
          <w:rFonts w:ascii="Arial" w:hAnsi="Arial" w:cs="Arial"/>
          <w:b w:val="0"/>
          <w:color w:val="auto"/>
        </w:rPr>
        <w:instrText xml:space="preserve"> SEQ Figure \* ARABIC </w:instrText>
      </w:r>
      <w:r w:rsidRPr="00014051">
        <w:rPr>
          <w:rFonts w:ascii="Arial" w:hAnsi="Arial" w:cs="Arial"/>
          <w:b w:val="0"/>
          <w:color w:val="auto"/>
        </w:rPr>
        <w:fldChar w:fldCharType="separate"/>
      </w:r>
      <w:r w:rsidR="0040369A">
        <w:rPr>
          <w:rFonts w:ascii="Arial" w:hAnsi="Arial" w:cs="Arial"/>
          <w:b w:val="0"/>
          <w:noProof/>
          <w:color w:val="auto"/>
        </w:rPr>
        <w:t>65</w:t>
      </w:r>
      <w:r w:rsidRPr="00014051">
        <w:rPr>
          <w:rFonts w:ascii="Arial" w:hAnsi="Arial" w:cs="Arial"/>
          <w:b w:val="0"/>
          <w:color w:val="auto"/>
        </w:rPr>
        <w:fldChar w:fldCharType="end"/>
      </w:r>
      <w:r w:rsidRPr="00014051">
        <w:rPr>
          <w:rFonts w:ascii="Arial" w:hAnsi="Arial" w:cs="Arial"/>
          <w:b w:val="0"/>
          <w:color w:val="auto"/>
        </w:rPr>
        <w:t>:</w:t>
      </w:r>
      <w:r w:rsidRPr="00014051">
        <w:rPr>
          <w:color w:val="auto"/>
        </w:rPr>
        <w:t xml:space="preserve"> </w:t>
      </w:r>
      <w:r w:rsidR="00453672" w:rsidRPr="00014051">
        <w:rPr>
          <w:rFonts w:ascii="Arial" w:hAnsi="Arial" w:cs="Arial"/>
          <w:b w:val="0"/>
          <w:color w:val="auto"/>
        </w:rPr>
        <w:t xml:space="preserve">The </w:t>
      </w:r>
      <w:r w:rsidR="00453672" w:rsidRPr="001F5B40">
        <w:rPr>
          <w:rFonts w:ascii="Arial" w:hAnsi="Arial" w:cs="Arial"/>
          <w:b w:val="0"/>
          <w:color w:val="auto"/>
        </w:rPr>
        <w:t>effect of ra</w:t>
      </w:r>
      <w:r w:rsidR="00453672">
        <w:rPr>
          <w:rFonts w:ascii="Arial" w:hAnsi="Arial" w:cs="Arial"/>
          <w:b w:val="0"/>
          <w:color w:val="auto"/>
        </w:rPr>
        <w:t xml:space="preserve">loxifene treatment on levels of </w:t>
      </w:r>
      <w:r w:rsidR="00D57691">
        <w:rPr>
          <w:rFonts w:ascii="Arial" w:hAnsi="Arial" w:cs="Arial"/>
          <w:b w:val="0"/>
          <w:color w:val="auto"/>
        </w:rPr>
        <w:t xml:space="preserve">PINP </w:t>
      </w:r>
      <w:r w:rsidR="00D57691" w:rsidRPr="001F5B40">
        <w:rPr>
          <w:rFonts w:ascii="Arial" w:hAnsi="Arial" w:cs="Arial"/>
          <w:b w:val="0"/>
          <w:color w:val="auto"/>
        </w:rPr>
        <w:t>in</w:t>
      </w:r>
      <w:r w:rsidR="00453672" w:rsidRPr="001F5B40">
        <w:rPr>
          <w:rFonts w:ascii="Arial" w:hAnsi="Arial" w:cs="Arial"/>
          <w:b w:val="0"/>
          <w:color w:val="auto"/>
        </w:rPr>
        <w:t xml:space="preserve"> </w:t>
      </w:r>
      <w:r w:rsidR="00453672">
        <w:rPr>
          <w:rFonts w:ascii="Arial" w:hAnsi="Arial" w:cs="Arial"/>
          <w:b w:val="0"/>
          <w:color w:val="auto"/>
        </w:rPr>
        <w:t>postmenopausal women with osteopenia (blue line) compared to those receiving no treatment (controls)</w:t>
      </w:r>
      <w:r w:rsidR="00453672" w:rsidRPr="001F5B40">
        <w:rPr>
          <w:rFonts w:ascii="Arial" w:hAnsi="Arial" w:cs="Arial"/>
          <w:b w:val="0"/>
          <w:color w:val="auto"/>
        </w:rPr>
        <w:t xml:space="preserve">. </w:t>
      </w:r>
      <w:r w:rsidR="00453672">
        <w:rPr>
          <w:rFonts w:ascii="Arial" w:hAnsi="Arial" w:cs="Arial"/>
          <w:b w:val="0"/>
          <w:color w:val="auto"/>
        </w:rPr>
        <w:t xml:space="preserve">The percentage </w:t>
      </w:r>
      <w:r w:rsidR="00453672" w:rsidRPr="001F5B40">
        <w:rPr>
          <w:rFonts w:ascii="Arial" w:hAnsi="Arial" w:cs="Arial"/>
          <w:b w:val="0"/>
          <w:color w:val="auto"/>
        </w:rPr>
        <w:t xml:space="preserve">change from baseline </w:t>
      </w:r>
      <w:r w:rsidR="00453672">
        <w:rPr>
          <w:rFonts w:ascii="Arial" w:hAnsi="Arial" w:cs="Arial"/>
          <w:b w:val="0"/>
          <w:color w:val="auto"/>
        </w:rPr>
        <w:t>is shown for each visit.</w:t>
      </w:r>
      <w:bookmarkEnd w:id="239"/>
    </w:p>
    <w:p w:rsidR="00FA3666" w:rsidRPr="002A401A" w:rsidRDefault="00FA3666" w:rsidP="00AD2E23">
      <w:pPr>
        <w:pStyle w:val="Caption"/>
        <w:keepNext/>
        <w:jc w:val="both"/>
        <w:rPr>
          <w:rFonts w:ascii="Arial" w:hAnsi="Arial" w:cs="Arial"/>
          <w:b w:val="0"/>
          <w:color w:val="auto"/>
        </w:rPr>
      </w:pPr>
      <w:bookmarkStart w:id="240" w:name="_Toc424043705"/>
      <w:r w:rsidRPr="002A401A">
        <w:rPr>
          <w:rFonts w:ascii="Arial" w:hAnsi="Arial" w:cs="Arial"/>
          <w:b w:val="0"/>
          <w:color w:val="auto"/>
        </w:rPr>
        <w:t xml:space="preserve">Table </w:t>
      </w:r>
      <w:r w:rsidRPr="002A401A">
        <w:rPr>
          <w:rFonts w:ascii="Arial" w:hAnsi="Arial" w:cs="Arial"/>
          <w:b w:val="0"/>
          <w:color w:val="auto"/>
        </w:rPr>
        <w:fldChar w:fldCharType="begin"/>
      </w:r>
      <w:r w:rsidRPr="002A401A">
        <w:rPr>
          <w:rFonts w:ascii="Arial" w:hAnsi="Arial" w:cs="Arial"/>
          <w:b w:val="0"/>
          <w:color w:val="auto"/>
        </w:rPr>
        <w:instrText xml:space="preserve"> SEQ Table \* ARABIC </w:instrText>
      </w:r>
      <w:r w:rsidRPr="002A401A">
        <w:rPr>
          <w:rFonts w:ascii="Arial" w:hAnsi="Arial" w:cs="Arial"/>
          <w:b w:val="0"/>
          <w:color w:val="auto"/>
        </w:rPr>
        <w:fldChar w:fldCharType="separate"/>
      </w:r>
      <w:r w:rsidR="00DD116A">
        <w:rPr>
          <w:rFonts w:ascii="Arial" w:hAnsi="Arial" w:cs="Arial"/>
          <w:b w:val="0"/>
          <w:noProof/>
          <w:color w:val="auto"/>
        </w:rPr>
        <w:t>31</w:t>
      </w:r>
      <w:r w:rsidRPr="002A401A">
        <w:rPr>
          <w:rFonts w:ascii="Arial" w:hAnsi="Arial" w:cs="Arial"/>
          <w:b w:val="0"/>
          <w:color w:val="auto"/>
        </w:rPr>
        <w:fldChar w:fldCharType="end"/>
      </w:r>
      <w:r w:rsidRPr="002A401A">
        <w:rPr>
          <w:rFonts w:ascii="Arial" w:hAnsi="Arial" w:cs="Arial"/>
          <w:b w:val="0"/>
          <w:color w:val="auto"/>
        </w:rPr>
        <w:t xml:space="preserve">: The geometric mean and (95% confidence intervals) of </w:t>
      </w:r>
      <w:r>
        <w:rPr>
          <w:rFonts w:ascii="Arial" w:hAnsi="Arial" w:cs="Arial"/>
          <w:b w:val="0"/>
          <w:color w:val="auto"/>
        </w:rPr>
        <w:t>PINP</w:t>
      </w:r>
      <w:r w:rsidRPr="002A401A">
        <w:rPr>
          <w:rFonts w:ascii="Arial" w:hAnsi="Arial" w:cs="Arial"/>
          <w:b w:val="0"/>
          <w:color w:val="auto"/>
        </w:rPr>
        <w:t xml:space="preserve"> in </w:t>
      </w:r>
      <w:r w:rsidR="00453672">
        <w:rPr>
          <w:rFonts w:ascii="Arial" w:hAnsi="Arial" w:cs="Arial"/>
          <w:b w:val="0"/>
          <w:color w:val="auto"/>
        </w:rPr>
        <w:t>women with osteopenia</w:t>
      </w:r>
      <w:r w:rsidRPr="002A401A">
        <w:rPr>
          <w:rFonts w:ascii="Arial" w:hAnsi="Arial" w:cs="Arial"/>
          <w:b w:val="0"/>
          <w:color w:val="auto"/>
        </w:rPr>
        <w:t xml:space="preserve"> receiving no</w:t>
      </w:r>
      <w:r w:rsidR="00453672">
        <w:rPr>
          <w:rFonts w:ascii="Arial" w:hAnsi="Arial" w:cs="Arial"/>
          <w:b w:val="0"/>
          <w:color w:val="auto"/>
        </w:rPr>
        <w:t xml:space="preserve"> treatment (N = 23) and those </w:t>
      </w:r>
      <w:r w:rsidRPr="002A401A">
        <w:rPr>
          <w:rFonts w:ascii="Arial" w:hAnsi="Arial" w:cs="Arial"/>
          <w:b w:val="0"/>
          <w:color w:val="auto"/>
        </w:rPr>
        <w:t>receiving raloxifene treatment (N = 21)</w:t>
      </w:r>
      <w:bookmarkEnd w:id="240"/>
    </w:p>
    <w:tbl>
      <w:tblPr>
        <w:tblStyle w:val="TableGrid"/>
        <w:tblW w:w="9701" w:type="dxa"/>
        <w:tblInd w:w="-601" w:type="dxa"/>
        <w:tblLook w:val="04A0" w:firstRow="1" w:lastRow="0" w:firstColumn="1" w:lastColumn="0" w:noHBand="0" w:noVBand="1"/>
      </w:tblPr>
      <w:tblGrid>
        <w:gridCol w:w="1079"/>
        <w:gridCol w:w="990"/>
        <w:gridCol w:w="990"/>
        <w:gridCol w:w="990"/>
        <w:gridCol w:w="990"/>
        <w:gridCol w:w="990"/>
        <w:gridCol w:w="990"/>
        <w:gridCol w:w="990"/>
        <w:gridCol w:w="990"/>
        <w:gridCol w:w="990"/>
      </w:tblGrid>
      <w:tr w:rsidR="003F0A8B" w:rsidRPr="00926F43" w:rsidTr="003F0A8B">
        <w:trPr>
          <w:trHeight w:val="140"/>
        </w:trPr>
        <w:tc>
          <w:tcPr>
            <w:tcW w:w="1286" w:type="dxa"/>
          </w:tcPr>
          <w:p w:rsidR="00FA3666" w:rsidRPr="00926F43" w:rsidRDefault="00FA3666" w:rsidP="00900F2C">
            <w:pPr>
              <w:rPr>
                <w:rFonts w:ascii="Arial" w:hAnsi="Arial" w:cs="Arial"/>
                <w:sz w:val="16"/>
                <w:szCs w:val="16"/>
              </w:rPr>
            </w:pP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0</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1</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2</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4</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8</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12</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24</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36</w:t>
            </w:r>
          </w:p>
        </w:tc>
        <w:tc>
          <w:tcPr>
            <w:tcW w:w="935" w:type="dxa"/>
          </w:tcPr>
          <w:p w:rsidR="00FA3666" w:rsidRPr="00926F43" w:rsidRDefault="00FA3666" w:rsidP="00900F2C">
            <w:pPr>
              <w:rPr>
                <w:rFonts w:ascii="Arial" w:hAnsi="Arial" w:cs="Arial"/>
                <w:sz w:val="16"/>
                <w:szCs w:val="16"/>
              </w:rPr>
            </w:pPr>
            <w:r w:rsidRPr="00926F43">
              <w:rPr>
                <w:rFonts w:ascii="Arial" w:hAnsi="Arial" w:cs="Arial"/>
                <w:sz w:val="16"/>
                <w:szCs w:val="16"/>
              </w:rPr>
              <w:t>Week 48</w:t>
            </w:r>
          </w:p>
        </w:tc>
      </w:tr>
      <w:tr w:rsidR="003F0A8B" w:rsidRPr="00926F43" w:rsidTr="003F0A8B">
        <w:trPr>
          <w:trHeight w:val="428"/>
        </w:trPr>
        <w:tc>
          <w:tcPr>
            <w:tcW w:w="1286" w:type="dxa"/>
            <w:vAlign w:val="center"/>
          </w:tcPr>
          <w:p w:rsidR="00453672" w:rsidRDefault="00453672" w:rsidP="00900F2C">
            <w:pPr>
              <w:rPr>
                <w:rFonts w:ascii="Arial" w:hAnsi="Arial" w:cs="Arial"/>
                <w:sz w:val="16"/>
                <w:szCs w:val="16"/>
              </w:rPr>
            </w:pPr>
            <w:r>
              <w:rPr>
                <w:rFonts w:ascii="Arial" w:hAnsi="Arial" w:cs="Arial"/>
                <w:sz w:val="16"/>
                <w:szCs w:val="16"/>
              </w:rPr>
              <w:t>Osteopenic</w:t>
            </w:r>
          </w:p>
          <w:p w:rsidR="00453672" w:rsidRPr="00926F43" w:rsidRDefault="00453672" w:rsidP="00900F2C">
            <w:pPr>
              <w:rPr>
                <w:rFonts w:ascii="Arial" w:hAnsi="Arial" w:cs="Arial"/>
                <w:sz w:val="16"/>
                <w:szCs w:val="16"/>
              </w:rPr>
            </w:pPr>
            <w:r>
              <w:rPr>
                <w:rFonts w:ascii="Arial" w:hAnsi="Arial" w:cs="Arial"/>
                <w:sz w:val="16"/>
                <w:szCs w:val="16"/>
              </w:rPr>
              <w:t>(</w:t>
            </w:r>
            <w:r w:rsidRPr="00926F43">
              <w:rPr>
                <w:rFonts w:ascii="Arial" w:hAnsi="Arial" w:cs="Arial"/>
                <w:sz w:val="16"/>
                <w:szCs w:val="16"/>
              </w:rPr>
              <w:t>Raloxifene</w:t>
            </w:r>
            <w:r>
              <w:rPr>
                <w:rFonts w:ascii="Arial" w:hAnsi="Arial" w:cs="Arial"/>
                <w:sz w:val="16"/>
                <w:szCs w:val="16"/>
              </w:rPr>
              <w:t>)</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44.2</w:t>
            </w:r>
          </w:p>
          <w:p w:rsidR="00453672" w:rsidRPr="00926F43" w:rsidRDefault="00453672" w:rsidP="00900F2C">
            <w:pPr>
              <w:rPr>
                <w:rFonts w:ascii="Arial" w:hAnsi="Arial" w:cs="Arial"/>
                <w:sz w:val="16"/>
                <w:szCs w:val="16"/>
              </w:rPr>
            </w:pPr>
            <w:r w:rsidRPr="00926F43">
              <w:rPr>
                <w:rFonts w:ascii="Arial" w:hAnsi="Arial" w:cs="Arial"/>
                <w:sz w:val="16"/>
                <w:szCs w:val="16"/>
              </w:rPr>
              <w:t>(38.0, 51.5)</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39.9</w:t>
            </w:r>
          </w:p>
          <w:p w:rsidR="00453672" w:rsidRPr="00926F43" w:rsidRDefault="00453672" w:rsidP="00900F2C">
            <w:pPr>
              <w:rPr>
                <w:rFonts w:ascii="Arial" w:hAnsi="Arial" w:cs="Arial"/>
                <w:sz w:val="16"/>
                <w:szCs w:val="16"/>
              </w:rPr>
            </w:pPr>
            <w:r>
              <w:rPr>
                <w:rFonts w:ascii="Arial" w:hAnsi="Arial" w:cs="Arial"/>
                <w:sz w:val="16"/>
                <w:szCs w:val="16"/>
              </w:rPr>
              <w:t>(32.2,</w:t>
            </w:r>
            <w:r w:rsidRPr="00926F43">
              <w:rPr>
                <w:rFonts w:ascii="Arial" w:hAnsi="Arial" w:cs="Arial"/>
                <w:sz w:val="16"/>
                <w:szCs w:val="16"/>
              </w:rPr>
              <w:t>49.5)</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41.7</w:t>
            </w:r>
          </w:p>
          <w:p w:rsidR="00453672" w:rsidRPr="00926F43" w:rsidRDefault="00453672" w:rsidP="00900F2C">
            <w:pPr>
              <w:rPr>
                <w:rFonts w:ascii="Arial" w:hAnsi="Arial" w:cs="Arial"/>
                <w:sz w:val="16"/>
                <w:szCs w:val="16"/>
              </w:rPr>
            </w:pPr>
            <w:r>
              <w:rPr>
                <w:rFonts w:ascii="Arial" w:hAnsi="Arial" w:cs="Arial"/>
                <w:sz w:val="16"/>
                <w:szCs w:val="16"/>
              </w:rPr>
              <w:t>(34.7,</w:t>
            </w:r>
            <w:r w:rsidRPr="00926F43">
              <w:rPr>
                <w:rFonts w:ascii="Arial" w:hAnsi="Arial" w:cs="Arial"/>
                <w:sz w:val="16"/>
                <w:szCs w:val="16"/>
              </w:rPr>
              <w:t>50.1)</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36.8</w:t>
            </w:r>
          </w:p>
          <w:p w:rsidR="00453672" w:rsidRPr="00926F43" w:rsidRDefault="00453672" w:rsidP="00900F2C">
            <w:pPr>
              <w:rPr>
                <w:rFonts w:ascii="Arial" w:hAnsi="Arial" w:cs="Arial"/>
                <w:sz w:val="16"/>
                <w:szCs w:val="16"/>
              </w:rPr>
            </w:pPr>
            <w:r>
              <w:rPr>
                <w:rFonts w:ascii="Arial" w:hAnsi="Arial" w:cs="Arial"/>
                <w:sz w:val="16"/>
                <w:szCs w:val="16"/>
              </w:rPr>
              <w:t>(29.2,</w:t>
            </w:r>
            <w:r w:rsidRPr="00926F43">
              <w:rPr>
                <w:rFonts w:ascii="Arial" w:hAnsi="Arial" w:cs="Arial"/>
                <w:sz w:val="16"/>
                <w:szCs w:val="16"/>
              </w:rPr>
              <w:t>46.3)</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34.8</w:t>
            </w:r>
          </w:p>
          <w:p w:rsidR="00453672" w:rsidRPr="00926F43" w:rsidRDefault="00453672" w:rsidP="00900F2C">
            <w:pPr>
              <w:rPr>
                <w:rFonts w:ascii="Arial" w:hAnsi="Arial" w:cs="Arial"/>
                <w:sz w:val="16"/>
                <w:szCs w:val="16"/>
              </w:rPr>
            </w:pPr>
            <w:r>
              <w:rPr>
                <w:rFonts w:ascii="Arial" w:hAnsi="Arial" w:cs="Arial"/>
                <w:sz w:val="16"/>
                <w:szCs w:val="16"/>
              </w:rPr>
              <w:t>(28.1,</w:t>
            </w:r>
            <w:r w:rsidRPr="00926F43">
              <w:rPr>
                <w:rFonts w:ascii="Arial" w:hAnsi="Arial" w:cs="Arial"/>
                <w:sz w:val="16"/>
                <w:szCs w:val="16"/>
              </w:rPr>
              <w:t>43.0)</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30.0</w:t>
            </w:r>
          </w:p>
          <w:p w:rsidR="00453672" w:rsidRPr="00926F43" w:rsidRDefault="00453672" w:rsidP="00900F2C">
            <w:pPr>
              <w:rPr>
                <w:rFonts w:ascii="Arial" w:hAnsi="Arial" w:cs="Arial"/>
                <w:sz w:val="16"/>
                <w:szCs w:val="16"/>
              </w:rPr>
            </w:pPr>
            <w:r>
              <w:rPr>
                <w:rFonts w:ascii="Arial" w:hAnsi="Arial" w:cs="Arial"/>
                <w:sz w:val="16"/>
                <w:szCs w:val="16"/>
              </w:rPr>
              <w:t>(23.2,</w:t>
            </w:r>
            <w:r w:rsidRPr="00926F43">
              <w:rPr>
                <w:rFonts w:ascii="Arial" w:hAnsi="Arial" w:cs="Arial"/>
                <w:sz w:val="16"/>
                <w:szCs w:val="16"/>
              </w:rPr>
              <w:t>38.7)</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26.6</w:t>
            </w:r>
          </w:p>
          <w:p w:rsidR="00453672" w:rsidRPr="00926F43" w:rsidRDefault="00453672" w:rsidP="00900F2C">
            <w:pPr>
              <w:rPr>
                <w:rFonts w:ascii="Arial" w:hAnsi="Arial" w:cs="Arial"/>
                <w:sz w:val="16"/>
                <w:szCs w:val="16"/>
              </w:rPr>
            </w:pPr>
            <w:r>
              <w:rPr>
                <w:rFonts w:ascii="Arial" w:hAnsi="Arial" w:cs="Arial"/>
                <w:sz w:val="16"/>
                <w:szCs w:val="16"/>
              </w:rPr>
              <w:t>(21.2,</w:t>
            </w:r>
            <w:r w:rsidRPr="00926F43">
              <w:rPr>
                <w:rFonts w:ascii="Arial" w:hAnsi="Arial" w:cs="Arial"/>
                <w:sz w:val="16"/>
                <w:szCs w:val="16"/>
              </w:rPr>
              <w:t>33.4)</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25.7</w:t>
            </w:r>
          </w:p>
          <w:p w:rsidR="00453672" w:rsidRPr="00926F43" w:rsidRDefault="00453672" w:rsidP="00900F2C">
            <w:pPr>
              <w:rPr>
                <w:rFonts w:ascii="Arial" w:hAnsi="Arial" w:cs="Arial"/>
                <w:sz w:val="16"/>
                <w:szCs w:val="16"/>
              </w:rPr>
            </w:pPr>
            <w:r w:rsidRPr="00926F43">
              <w:rPr>
                <w:rFonts w:ascii="Arial" w:hAnsi="Arial" w:cs="Arial"/>
                <w:sz w:val="16"/>
                <w:szCs w:val="16"/>
              </w:rPr>
              <w:t>(20.8,31.8)</w:t>
            </w:r>
          </w:p>
        </w:tc>
        <w:tc>
          <w:tcPr>
            <w:tcW w:w="935" w:type="dxa"/>
            <w:vAlign w:val="center"/>
          </w:tcPr>
          <w:p w:rsidR="00453672" w:rsidRPr="00926F43" w:rsidRDefault="00453672" w:rsidP="00900F2C">
            <w:pPr>
              <w:rPr>
                <w:rFonts w:ascii="Arial" w:hAnsi="Arial" w:cs="Arial"/>
                <w:sz w:val="16"/>
                <w:szCs w:val="16"/>
              </w:rPr>
            </w:pPr>
            <w:r w:rsidRPr="00926F43">
              <w:rPr>
                <w:rFonts w:ascii="Arial" w:hAnsi="Arial" w:cs="Arial"/>
                <w:sz w:val="16"/>
                <w:szCs w:val="16"/>
              </w:rPr>
              <w:t>26.9</w:t>
            </w:r>
          </w:p>
          <w:p w:rsidR="00453672" w:rsidRPr="00926F43" w:rsidRDefault="00453672" w:rsidP="00900F2C">
            <w:pPr>
              <w:rPr>
                <w:rFonts w:ascii="Arial" w:hAnsi="Arial" w:cs="Arial"/>
                <w:sz w:val="16"/>
                <w:szCs w:val="16"/>
              </w:rPr>
            </w:pPr>
            <w:r>
              <w:rPr>
                <w:rFonts w:ascii="Arial" w:hAnsi="Arial" w:cs="Arial"/>
                <w:sz w:val="16"/>
                <w:szCs w:val="16"/>
              </w:rPr>
              <w:t>(21.2,</w:t>
            </w:r>
            <w:r w:rsidRPr="00926F43">
              <w:rPr>
                <w:rFonts w:ascii="Arial" w:hAnsi="Arial" w:cs="Arial"/>
                <w:sz w:val="16"/>
                <w:szCs w:val="16"/>
              </w:rPr>
              <w:t>34.3)</w:t>
            </w:r>
          </w:p>
        </w:tc>
      </w:tr>
      <w:tr w:rsidR="003F0A8B" w:rsidRPr="00926F43" w:rsidTr="003F0A8B">
        <w:trPr>
          <w:trHeight w:val="428"/>
        </w:trPr>
        <w:tc>
          <w:tcPr>
            <w:tcW w:w="1286" w:type="dxa"/>
            <w:vAlign w:val="center"/>
          </w:tcPr>
          <w:p w:rsidR="00453672" w:rsidRDefault="00453672" w:rsidP="00900F2C">
            <w:pPr>
              <w:rPr>
                <w:rFonts w:ascii="Arial" w:hAnsi="Arial" w:cs="Arial"/>
                <w:sz w:val="16"/>
                <w:szCs w:val="16"/>
              </w:rPr>
            </w:pPr>
            <w:r>
              <w:rPr>
                <w:rFonts w:ascii="Arial" w:hAnsi="Arial" w:cs="Arial"/>
                <w:sz w:val="16"/>
                <w:szCs w:val="16"/>
              </w:rPr>
              <w:t>Osteopenic</w:t>
            </w:r>
          </w:p>
          <w:p w:rsidR="00FA3666" w:rsidRPr="00926F43" w:rsidRDefault="00453672" w:rsidP="00900F2C">
            <w:pPr>
              <w:rPr>
                <w:rFonts w:ascii="Arial" w:hAnsi="Arial" w:cs="Arial"/>
                <w:sz w:val="16"/>
                <w:szCs w:val="16"/>
              </w:rPr>
            </w:pPr>
            <w:r>
              <w:rPr>
                <w:rFonts w:ascii="Arial" w:hAnsi="Arial" w:cs="Arial"/>
                <w:sz w:val="16"/>
                <w:szCs w:val="16"/>
              </w:rPr>
              <w:t>(No treatment)</w:t>
            </w:r>
          </w:p>
        </w:tc>
        <w:tc>
          <w:tcPr>
            <w:tcW w:w="935"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42.0</w:t>
            </w:r>
          </w:p>
          <w:p w:rsidR="00FA3666" w:rsidRPr="00926F43" w:rsidRDefault="00FA3666" w:rsidP="00900F2C">
            <w:pPr>
              <w:rPr>
                <w:rFonts w:ascii="Arial" w:hAnsi="Arial" w:cs="Arial"/>
                <w:sz w:val="16"/>
                <w:szCs w:val="16"/>
              </w:rPr>
            </w:pPr>
            <w:r>
              <w:rPr>
                <w:rFonts w:ascii="Arial" w:hAnsi="Arial" w:cs="Arial"/>
                <w:sz w:val="16"/>
                <w:szCs w:val="16"/>
              </w:rPr>
              <w:t>(34.8,</w:t>
            </w:r>
            <w:r w:rsidRPr="00926F43">
              <w:rPr>
                <w:rFonts w:ascii="Arial" w:hAnsi="Arial" w:cs="Arial"/>
                <w:sz w:val="16"/>
                <w:szCs w:val="16"/>
              </w:rPr>
              <w:t>50.7)</w:t>
            </w:r>
          </w:p>
        </w:tc>
        <w:tc>
          <w:tcPr>
            <w:tcW w:w="935" w:type="dxa"/>
            <w:vAlign w:val="center"/>
          </w:tcPr>
          <w:p w:rsidR="00FA3666" w:rsidRPr="00926F43" w:rsidRDefault="00FA3666" w:rsidP="00900F2C">
            <w:pPr>
              <w:rPr>
                <w:rFonts w:ascii="Arial" w:hAnsi="Arial" w:cs="Arial"/>
                <w:sz w:val="16"/>
                <w:szCs w:val="16"/>
              </w:rPr>
            </w:pPr>
          </w:p>
        </w:tc>
        <w:tc>
          <w:tcPr>
            <w:tcW w:w="935" w:type="dxa"/>
            <w:vAlign w:val="center"/>
          </w:tcPr>
          <w:p w:rsidR="00FA3666" w:rsidRPr="00926F43" w:rsidRDefault="00FA3666" w:rsidP="00900F2C">
            <w:pPr>
              <w:rPr>
                <w:rFonts w:ascii="Arial" w:hAnsi="Arial" w:cs="Arial"/>
                <w:sz w:val="16"/>
                <w:szCs w:val="16"/>
              </w:rPr>
            </w:pPr>
          </w:p>
        </w:tc>
        <w:tc>
          <w:tcPr>
            <w:tcW w:w="935" w:type="dxa"/>
            <w:vAlign w:val="center"/>
          </w:tcPr>
          <w:p w:rsidR="00FA3666" w:rsidRPr="00926F43" w:rsidRDefault="00FA3666" w:rsidP="00900F2C">
            <w:pPr>
              <w:rPr>
                <w:rFonts w:ascii="Arial" w:hAnsi="Arial" w:cs="Arial"/>
                <w:sz w:val="16"/>
                <w:szCs w:val="16"/>
              </w:rPr>
            </w:pPr>
          </w:p>
        </w:tc>
        <w:tc>
          <w:tcPr>
            <w:tcW w:w="935" w:type="dxa"/>
            <w:vAlign w:val="center"/>
          </w:tcPr>
          <w:p w:rsidR="00FA3666" w:rsidRPr="00926F43" w:rsidRDefault="00FA3666" w:rsidP="00900F2C">
            <w:pPr>
              <w:rPr>
                <w:rFonts w:ascii="Arial" w:hAnsi="Arial" w:cs="Arial"/>
                <w:sz w:val="16"/>
                <w:szCs w:val="16"/>
              </w:rPr>
            </w:pPr>
          </w:p>
        </w:tc>
        <w:tc>
          <w:tcPr>
            <w:tcW w:w="935"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40.8</w:t>
            </w:r>
          </w:p>
          <w:p w:rsidR="00FA3666" w:rsidRPr="00926F43" w:rsidRDefault="00FA3666" w:rsidP="00900F2C">
            <w:pPr>
              <w:rPr>
                <w:rFonts w:ascii="Arial" w:hAnsi="Arial" w:cs="Arial"/>
                <w:sz w:val="16"/>
                <w:szCs w:val="16"/>
              </w:rPr>
            </w:pPr>
            <w:r>
              <w:rPr>
                <w:rFonts w:ascii="Arial" w:hAnsi="Arial" w:cs="Arial"/>
                <w:sz w:val="16"/>
                <w:szCs w:val="16"/>
              </w:rPr>
              <w:t>(34.1,</w:t>
            </w:r>
            <w:r w:rsidRPr="00926F43">
              <w:rPr>
                <w:rFonts w:ascii="Arial" w:hAnsi="Arial" w:cs="Arial"/>
                <w:sz w:val="16"/>
                <w:szCs w:val="16"/>
              </w:rPr>
              <w:t>48.8)</w:t>
            </w:r>
          </w:p>
        </w:tc>
        <w:tc>
          <w:tcPr>
            <w:tcW w:w="935"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42.5</w:t>
            </w:r>
          </w:p>
          <w:p w:rsidR="00FA3666" w:rsidRPr="00926F43" w:rsidRDefault="00FA3666" w:rsidP="00900F2C">
            <w:pPr>
              <w:rPr>
                <w:rFonts w:ascii="Arial" w:hAnsi="Arial" w:cs="Arial"/>
                <w:sz w:val="16"/>
                <w:szCs w:val="16"/>
              </w:rPr>
            </w:pPr>
            <w:r>
              <w:rPr>
                <w:rFonts w:ascii="Arial" w:hAnsi="Arial" w:cs="Arial"/>
                <w:sz w:val="16"/>
                <w:szCs w:val="16"/>
              </w:rPr>
              <w:t>(35.3,</w:t>
            </w:r>
            <w:r w:rsidRPr="00926F43">
              <w:rPr>
                <w:rFonts w:ascii="Arial" w:hAnsi="Arial" w:cs="Arial"/>
                <w:sz w:val="16"/>
                <w:szCs w:val="16"/>
              </w:rPr>
              <w:t>51.1)</w:t>
            </w:r>
          </w:p>
        </w:tc>
        <w:tc>
          <w:tcPr>
            <w:tcW w:w="935"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43.2</w:t>
            </w:r>
          </w:p>
          <w:p w:rsidR="00FA3666" w:rsidRPr="00926F43" w:rsidRDefault="00FA3666" w:rsidP="00900F2C">
            <w:pPr>
              <w:rPr>
                <w:rFonts w:ascii="Arial" w:hAnsi="Arial" w:cs="Arial"/>
                <w:sz w:val="16"/>
                <w:szCs w:val="16"/>
              </w:rPr>
            </w:pPr>
            <w:r>
              <w:rPr>
                <w:rFonts w:ascii="Arial" w:hAnsi="Arial" w:cs="Arial"/>
                <w:sz w:val="16"/>
                <w:szCs w:val="16"/>
              </w:rPr>
              <w:t>(34.5,</w:t>
            </w:r>
            <w:r w:rsidRPr="00926F43">
              <w:rPr>
                <w:rFonts w:ascii="Arial" w:hAnsi="Arial" w:cs="Arial"/>
                <w:sz w:val="16"/>
                <w:szCs w:val="16"/>
              </w:rPr>
              <w:t>54.1)</w:t>
            </w:r>
          </w:p>
        </w:tc>
        <w:tc>
          <w:tcPr>
            <w:tcW w:w="935" w:type="dxa"/>
            <w:vAlign w:val="center"/>
          </w:tcPr>
          <w:p w:rsidR="00FA3666" w:rsidRPr="00926F43" w:rsidRDefault="00FA3666" w:rsidP="00900F2C">
            <w:pPr>
              <w:rPr>
                <w:rFonts w:ascii="Arial" w:hAnsi="Arial" w:cs="Arial"/>
                <w:sz w:val="16"/>
                <w:szCs w:val="16"/>
              </w:rPr>
            </w:pPr>
            <w:r w:rsidRPr="00926F43">
              <w:rPr>
                <w:rFonts w:ascii="Arial" w:hAnsi="Arial" w:cs="Arial"/>
                <w:sz w:val="16"/>
                <w:szCs w:val="16"/>
              </w:rPr>
              <w:t>46.0</w:t>
            </w:r>
          </w:p>
          <w:p w:rsidR="00FA3666" w:rsidRPr="00926F43" w:rsidRDefault="00FA3666" w:rsidP="00900F2C">
            <w:pPr>
              <w:rPr>
                <w:rFonts w:ascii="Arial" w:hAnsi="Arial" w:cs="Arial"/>
                <w:sz w:val="16"/>
                <w:szCs w:val="16"/>
              </w:rPr>
            </w:pPr>
            <w:r>
              <w:rPr>
                <w:rFonts w:ascii="Arial" w:hAnsi="Arial" w:cs="Arial"/>
                <w:sz w:val="16"/>
                <w:szCs w:val="16"/>
              </w:rPr>
              <w:t>(37.1,</w:t>
            </w:r>
            <w:r w:rsidRPr="00926F43">
              <w:rPr>
                <w:rFonts w:ascii="Arial" w:hAnsi="Arial" w:cs="Arial"/>
                <w:sz w:val="16"/>
                <w:szCs w:val="16"/>
              </w:rPr>
              <w:t>56.9)</w:t>
            </w:r>
          </w:p>
        </w:tc>
      </w:tr>
    </w:tbl>
    <w:p w:rsidR="003F0A8B" w:rsidRDefault="003F0A8B" w:rsidP="00900F2C">
      <w:pPr>
        <w:spacing w:line="360" w:lineRule="auto"/>
        <w:rPr>
          <w:rFonts w:ascii="Arial" w:hAnsi="Arial" w:cs="Arial"/>
        </w:rPr>
      </w:pPr>
    </w:p>
    <w:p w:rsidR="0027234C" w:rsidRPr="002A48DB" w:rsidRDefault="00D85EDA" w:rsidP="00AD2E23">
      <w:pPr>
        <w:spacing w:line="360" w:lineRule="auto"/>
        <w:jc w:val="both"/>
        <w:rPr>
          <w:rFonts w:ascii="Arial" w:hAnsi="Arial" w:cs="Arial"/>
        </w:rPr>
      </w:pPr>
      <w:r>
        <w:rPr>
          <w:rFonts w:ascii="Arial" w:hAnsi="Arial" w:cs="Arial"/>
        </w:rPr>
        <w:t>The T</w:t>
      </w:r>
      <w:r w:rsidR="00997E0F" w:rsidRPr="002A48DB">
        <w:rPr>
          <w:rFonts w:ascii="Arial" w:hAnsi="Arial" w:cs="Arial"/>
        </w:rPr>
        <w:t xml:space="preserve">-score for CTX and PINP were used to calculate </w:t>
      </w:r>
      <w:r w:rsidR="0027234C" w:rsidRPr="002A48DB">
        <w:rPr>
          <w:rFonts w:ascii="Arial" w:hAnsi="Arial" w:cs="Arial"/>
        </w:rPr>
        <w:t xml:space="preserve">and plot the </w:t>
      </w:r>
      <w:r w:rsidR="00997E0F" w:rsidRPr="002A48DB">
        <w:rPr>
          <w:rFonts w:ascii="Arial" w:hAnsi="Arial" w:cs="Arial"/>
        </w:rPr>
        <w:t xml:space="preserve">bone turnover and bone balance for the postmenopausal women </w:t>
      </w:r>
      <w:r w:rsidR="00AF6332">
        <w:rPr>
          <w:rFonts w:ascii="Arial" w:hAnsi="Arial" w:cs="Arial"/>
        </w:rPr>
        <w:t>receiving raloxifene, (</w:t>
      </w:r>
      <w:r w:rsidR="003F0A8B">
        <w:rPr>
          <w:rFonts w:ascii="Arial" w:hAnsi="Arial" w:cs="Arial"/>
        </w:rPr>
        <w:t>Figure 72</w:t>
      </w:r>
      <w:r w:rsidR="00997E0F" w:rsidRPr="002A48DB">
        <w:rPr>
          <w:rFonts w:ascii="Arial" w:hAnsi="Arial" w:cs="Arial"/>
        </w:rPr>
        <w:t>).</w:t>
      </w:r>
      <w:r w:rsidR="0027234C" w:rsidRPr="002A48DB">
        <w:rPr>
          <w:rFonts w:ascii="Arial" w:hAnsi="Arial" w:cs="Arial"/>
        </w:rPr>
        <w:t xml:space="preserve"> The mean levels of bone balance and bone turnover and change in these from</w:t>
      </w:r>
      <w:r w:rsidR="00D43137">
        <w:rPr>
          <w:rFonts w:ascii="Arial" w:hAnsi="Arial" w:cs="Arial"/>
        </w:rPr>
        <w:t xml:space="preserve"> baseline are shown in tables 32 and 33</w:t>
      </w:r>
      <w:r w:rsidR="0027234C" w:rsidRPr="002A48DB">
        <w:rPr>
          <w:rFonts w:ascii="Arial" w:hAnsi="Arial" w:cs="Arial"/>
        </w:rPr>
        <w:t>, respectively.</w:t>
      </w:r>
    </w:p>
    <w:p w:rsidR="00997E0F" w:rsidRPr="002A48DB" w:rsidRDefault="0027234C" w:rsidP="00AD2E23">
      <w:pPr>
        <w:spacing w:line="360" w:lineRule="auto"/>
        <w:jc w:val="both"/>
        <w:rPr>
          <w:rFonts w:ascii="Arial" w:hAnsi="Arial" w:cs="Arial"/>
        </w:rPr>
      </w:pPr>
      <w:r w:rsidRPr="002A48DB">
        <w:rPr>
          <w:rFonts w:ascii="Arial" w:hAnsi="Arial" w:cs="Arial"/>
        </w:rPr>
        <w:t>At baseline prior to raloxifene treatment, mean levels of bone turnover and bone balance were 1.344 and -</w:t>
      </w:r>
      <w:r w:rsidR="004A1336" w:rsidRPr="002A48DB">
        <w:rPr>
          <w:rFonts w:ascii="Arial" w:hAnsi="Arial" w:cs="Arial"/>
        </w:rPr>
        <w:t xml:space="preserve">0.045 SD units above and below the premenopausal mean, </w:t>
      </w:r>
      <w:r w:rsidR="004A1336" w:rsidRPr="002A48DB">
        <w:rPr>
          <w:rFonts w:ascii="Arial" w:hAnsi="Arial" w:cs="Arial"/>
        </w:rPr>
        <w:lastRenderedPageBreak/>
        <w:t xml:space="preserve">respectively. Mean levels of bone turnover were significantly greater that the premenopausal mean, (p&lt;0.001) but not bone balance. After 1 week of treatment with raloxifene </w:t>
      </w:r>
      <w:r w:rsidR="00AB3FFB" w:rsidRPr="002A48DB">
        <w:rPr>
          <w:rFonts w:ascii="Arial" w:hAnsi="Arial" w:cs="Arial"/>
        </w:rPr>
        <w:t>bone turnover</w:t>
      </w:r>
      <w:r w:rsidR="004A1336" w:rsidRPr="002A48DB">
        <w:rPr>
          <w:rFonts w:ascii="Arial" w:hAnsi="Arial" w:cs="Arial"/>
        </w:rPr>
        <w:t xml:space="preserve"> decreased from baseline b</w:t>
      </w:r>
      <w:r w:rsidR="00AB3FFB" w:rsidRPr="002A48DB">
        <w:rPr>
          <w:rFonts w:ascii="Arial" w:hAnsi="Arial" w:cs="Arial"/>
        </w:rPr>
        <w:t>y -0.413 to 0.931 SD unit and bone balance increased by 0.218 to 0.172 SD units ab</w:t>
      </w:r>
      <w:r w:rsidR="00BC7782">
        <w:rPr>
          <w:rFonts w:ascii="Arial" w:hAnsi="Arial" w:cs="Arial"/>
        </w:rPr>
        <w:t>ove the premenopausal mean, these</w:t>
      </w:r>
      <w:r w:rsidR="00AB3FFB" w:rsidRPr="002A48DB">
        <w:rPr>
          <w:rFonts w:ascii="Arial" w:hAnsi="Arial" w:cs="Arial"/>
        </w:rPr>
        <w:t xml:space="preserve"> change</w:t>
      </w:r>
      <w:r w:rsidR="00BC7782">
        <w:rPr>
          <w:rFonts w:ascii="Arial" w:hAnsi="Arial" w:cs="Arial"/>
        </w:rPr>
        <w:t>s were</w:t>
      </w:r>
      <w:r w:rsidR="00AB3FFB" w:rsidRPr="002A48DB">
        <w:rPr>
          <w:rFonts w:ascii="Arial" w:hAnsi="Arial" w:cs="Arial"/>
        </w:rPr>
        <w:t xml:space="preserve"> not significant</w:t>
      </w:r>
      <w:r w:rsidR="00BC7782">
        <w:rPr>
          <w:rFonts w:ascii="Arial" w:hAnsi="Arial" w:cs="Arial"/>
        </w:rPr>
        <w:t>, (p&gt;0.05)</w:t>
      </w:r>
      <w:r w:rsidR="00AB3FFB" w:rsidRPr="002A48DB">
        <w:rPr>
          <w:rFonts w:ascii="Arial" w:hAnsi="Arial" w:cs="Arial"/>
        </w:rPr>
        <w:t>.</w:t>
      </w:r>
      <w:r w:rsidR="006E1C3B" w:rsidRPr="002A48DB">
        <w:rPr>
          <w:rFonts w:ascii="Arial" w:hAnsi="Arial" w:cs="Arial"/>
        </w:rPr>
        <w:t xml:space="preserve"> After week 4 levels of bone turnover decreased from baseline significantly to 0.568 SD units but this remained above the premenopausal mean (p&lt;0.05). At the subsequent time points until week 48 bone turnover continued to decrease significantly from baseline to -0.092 SD units below the premenopausal mean (p&lt;0.001). </w:t>
      </w:r>
      <w:r w:rsidR="00C862EA" w:rsidRPr="002A48DB">
        <w:rPr>
          <w:rFonts w:ascii="Arial" w:hAnsi="Arial" w:cs="Arial"/>
        </w:rPr>
        <w:t>At baseline mean levels of bone turnover were significantly higher than the premenopausal control group, (p&lt;0.001) and remained so until week 8 of treatment, (p&lt;0.05). After 8 weeks mean levels of bone turnover were not significantly different from those in the premenopausal control group, (p&gt;0.05). Mean levels of bone balance were significantly more positive compared to the prem</w:t>
      </w:r>
      <w:r w:rsidR="00532E25" w:rsidRPr="002A48DB">
        <w:rPr>
          <w:rFonts w:ascii="Arial" w:hAnsi="Arial" w:cs="Arial"/>
        </w:rPr>
        <w:t>enopausal control group only at</w:t>
      </w:r>
      <w:r w:rsidR="00C862EA" w:rsidRPr="002A48DB">
        <w:rPr>
          <w:rFonts w:ascii="Arial" w:hAnsi="Arial" w:cs="Arial"/>
        </w:rPr>
        <w:t xml:space="preserve"> week 2 (p&lt;0.0</w:t>
      </w:r>
      <w:r w:rsidR="00AF6332">
        <w:rPr>
          <w:rFonts w:ascii="Arial" w:hAnsi="Arial" w:cs="Arial"/>
        </w:rPr>
        <w:t>1</w:t>
      </w:r>
      <w:r w:rsidR="00C862EA" w:rsidRPr="002A48DB">
        <w:rPr>
          <w:rFonts w:ascii="Arial" w:hAnsi="Arial" w:cs="Arial"/>
        </w:rPr>
        <w:t xml:space="preserve">) and not at any other time points. </w:t>
      </w:r>
      <w:r w:rsidR="006E1C3B" w:rsidRPr="002A48DB">
        <w:rPr>
          <w:rFonts w:ascii="Arial" w:hAnsi="Arial" w:cs="Arial"/>
        </w:rPr>
        <w:t xml:space="preserve">  </w:t>
      </w:r>
    </w:p>
    <w:p w:rsidR="00926F43" w:rsidRPr="00AD2E23" w:rsidRDefault="00E41A28" w:rsidP="00AD2E23">
      <w:pPr>
        <w:pStyle w:val="Caption"/>
      </w:pPr>
      <w:r>
        <w:rPr>
          <w:noProof/>
          <w:lang w:eastAsia="zh-CN"/>
        </w:rPr>
        <w:drawing>
          <wp:inline distT="0" distB="0" distL="0" distR="0" wp14:anchorId="1345C993" wp14:editId="7752C02D">
            <wp:extent cx="5295900" cy="3806428"/>
            <wp:effectExtent l="0" t="0" r="0" b="3810"/>
            <wp:docPr id="18773" name="Picture 1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95900" cy="3806428"/>
                    </a:xfrm>
                    <a:prstGeom prst="rect">
                      <a:avLst/>
                    </a:prstGeom>
                    <a:noFill/>
                  </pic:spPr>
                </pic:pic>
              </a:graphicData>
            </a:graphic>
          </wp:inline>
        </w:drawing>
      </w:r>
    </w:p>
    <w:p w:rsidR="00D57691" w:rsidRDefault="00E41A28" w:rsidP="00900F2C">
      <w:pPr>
        <w:keepNext/>
      </w:pPr>
      <w:r>
        <w:rPr>
          <w:noProof/>
          <w:lang w:eastAsia="zh-CN"/>
        </w:rPr>
        <w:lastRenderedPageBreak/>
        <w:drawing>
          <wp:inline distT="0" distB="0" distL="0" distR="0" wp14:anchorId="646EF93F" wp14:editId="105CC38D">
            <wp:extent cx="5463540" cy="3992880"/>
            <wp:effectExtent l="0" t="0" r="3810" b="7620"/>
            <wp:docPr id="18774" name="Picture 1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63540" cy="3992880"/>
                    </a:xfrm>
                    <a:prstGeom prst="rect">
                      <a:avLst/>
                    </a:prstGeom>
                    <a:noFill/>
                  </pic:spPr>
                </pic:pic>
              </a:graphicData>
            </a:graphic>
          </wp:inline>
        </w:drawing>
      </w:r>
    </w:p>
    <w:p w:rsidR="00D57691" w:rsidRPr="00F9406A" w:rsidRDefault="00D57691" w:rsidP="00900F2C">
      <w:pPr>
        <w:pStyle w:val="Caption"/>
        <w:rPr>
          <w:rFonts w:ascii="Arial" w:hAnsi="Arial" w:cs="Arial"/>
          <w:b w:val="0"/>
          <w:color w:val="auto"/>
        </w:rPr>
      </w:pPr>
      <w:bookmarkStart w:id="241" w:name="_Toc425419555"/>
      <w:r w:rsidRPr="00D57691">
        <w:rPr>
          <w:rFonts w:ascii="Arial" w:hAnsi="Arial" w:cs="Arial"/>
          <w:b w:val="0"/>
          <w:color w:val="auto"/>
        </w:rPr>
        <w:t xml:space="preserve">Figure </w:t>
      </w:r>
      <w:r w:rsidRPr="00D57691">
        <w:rPr>
          <w:rFonts w:ascii="Arial" w:hAnsi="Arial" w:cs="Arial"/>
          <w:b w:val="0"/>
          <w:color w:val="auto"/>
        </w:rPr>
        <w:fldChar w:fldCharType="begin"/>
      </w:r>
      <w:r w:rsidRPr="00D57691">
        <w:rPr>
          <w:rFonts w:ascii="Arial" w:hAnsi="Arial" w:cs="Arial"/>
          <w:b w:val="0"/>
          <w:color w:val="auto"/>
        </w:rPr>
        <w:instrText xml:space="preserve"> SEQ Figure \* ARABIC </w:instrText>
      </w:r>
      <w:r w:rsidRPr="00D57691">
        <w:rPr>
          <w:rFonts w:ascii="Arial" w:hAnsi="Arial" w:cs="Arial"/>
          <w:b w:val="0"/>
          <w:color w:val="auto"/>
        </w:rPr>
        <w:fldChar w:fldCharType="separate"/>
      </w:r>
      <w:r w:rsidR="0040369A">
        <w:rPr>
          <w:rFonts w:ascii="Arial" w:hAnsi="Arial" w:cs="Arial"/>
          <w:b w:val="0"/>
          <w:noProof/>
          <w:color w:val="auto"/>
        </w:rPr>
        <w:t>66</w:t>
      </w:r>
      <w:r w:rsidRPr="00D57691">
        <w:rPr>
          <w:rFonts w:ascii="Arial" w:hAnsi="Arial" w:cs="Arial"/>
          <w:b w:val="0"/>
          <w:color w:val="auto"/>
        </w:rPr>
        <w:fldChar w:fldCharType="end"/>
      </w:r>
      <w:r w:rsidRPr="00D57691">
        <w:rPr>
          <w:rFonts w:ascii="Arial" w:hAnsi="Arial" w:cs="Arial"/>
          <w:b w:val="0"/>
          <w:color w:val="auto"/>
        </w:rPr>
        <w:t xml:space="preserve">: </w:t>
      </w:r>
      <w:r w:rsidR="003F0A8B">
        <w:rPr>
          <w:rFonts w:ascii="Arial" w:hAnsi="Arial" w:cs="Arial"/>
          <w:b w:val="0"/>
          <w:color w:val="auto"/>
        </w:rPr>
        <w:t xml:space="preserve">The </w:t>
      </w:r>
      <w:r w:rsidRPr="00D57691">
        <w:rPr>
          <w:rFonts w:ascii="Arial" w:hAnsi="Arial" w:cs="Arial"/>
          <w:b w:val="0"/>
          <w:color w:val="auto"/>
        </w:rPr>
        <w:t xml:space="preserve">mean and 95% confidence intervals of bone turnover (top) and bone balance (bottom) (calculated using the </w:t>
      </w:r>
      <w:r w:rsidR="00BF1330">
        <w:rPr>
          <w:rFonts w:ascii="Arial" w:hAnsi="Arial" w:cs="Arial"/>
          <w:b w:val="0"/>
          <w:color w:val="auto"/>
        </w:rPr>
        <w:t>T</w:t>
      </w:r>
      <w:r w:rsidRPr="00D57691">
        <w:rPr>
          <w:rFonts w:ascii="Arial" w:hAnsi="Arial" w:cs="Arial"/>
          <w:b w:val="0"/>
          <w:color w:val="auto"/>
        </w:rPr>
        <w:t>-scores of PINP and CTX) in postmenopausal women with osteopenia receiving raloxifene treatment over 48 weeks. The dashed line at Y = 0 represents the mean of the healthy premenopausal women.</w:t>
      </w:r>
      <w:bookmarkEnd w:id="241"/>
    </w:p>
    <w:p w:rsidR="00D57691" w:rsidRPr="00D57691" w:rsidRDefault="00D57691" w:rsidP="00900F2C">
      <w:pPr>
        <w:pStyle w:val="Caption"/>
        <w:keepNext/>
        <w:rPr>
          <w:rFonts w:ascii="Arial" w:hAnsi="Arial" w:cs="Arial"/>
          <w:b w:val="0"/>
          <w:color w:val="auto"/>
        </w:rPr>
      </w:pPr>
      <w:bookmarkStart w:id="242" w:name="_Toc424043706"/>
      <w:r w:rsidRPr="00D57691">
        <w:rPr>
          <w:rFonts w:ascii="Arial" w:hAnsi="Arial" w:cs="Arial"/>
          <w:b w:val="0"/>
          <w:color w:val="auto"/>
        </w:rPr>
        <w:t xml:space="preserve">Table </w:t>
      </w:r>
      <w:r w:rsidRPr="00D57691">
        <w:rPr>
          <w:rFonts w:ascii="Arial" w:hAnsi="Arial" w:cs="Arial"/>
          <w:b w:val="0"/>
          <w:color w:val="auto"/>
        </w:rPr>
        <w:fldChar w:fldCharType="begin"/>
      </w:r>
      <w:r w:rsidRPr="00D57691">
        <w:rPr>
          <w:rFonts w:ascii="Arial" w:hAnsi="Arial" w:cs="Arial"/>
          <w:b w:val="0"/>
          <w:color w:val="auto"/>
        </w:rPr>
        <w:instrText xml:space="preserve"> SEQ Table \* ARABIC </w:instrText>
      </w:r>
      <w:r w:rsidRPr="00D57691">
        <w:rPr>
          <w:rFonts w:ascii="Arial" w:hAnsi="Arial" w:cs="Arial"/>
          <w:b w:val="0"/>
          <w:color w:val="auto"/>
        </w:rPr>
        <w:fldChar w:fldCharType="separate"/>
      </w:r>
      <w:r w:rsidR="00DD116A">
        <w:rPr>
          <w:rFonts w:ascii="Arial" w:hAnsi="Arial" w:cs="Arial"/>
          <w:b w:val="0"/>
          <w:noProof/>
          <w:color w:val="auto"/>
        </w:rPr>
        <w:t>32</w:t>
      </w:r>
      <w:r w:rsidRPr="00D57691">
        <w:rPr>
          <w:rFonts w:ascii="Arial" w:hAnsi="Arial" w:cs="Arial"/>
          <w:b w:val="0"/>
          <w:color w:val="auto"/>
        </w:rPr>
        <w:fldChar w:fldCharType="end"/>
      </w:r>
      <w:r w:rsidRPr="00D57691">
        <w:rPr>
          <w:rFonts w:ascii="Arial" w:hAnsi="Arial" w:cs="Arial"/>
          <w:b w:val="0"/>
          <w:color w:val="auto"/>
        </w:rPr>
        <w:t>: The mean values and 95% confidence intervals of bone turnover and bone balance in postmenopausal women</w:t>
      </w:r>
      <w:r>
        <w:rPr>
          <w:rFonts w:ascii="Arial" w:hAnsi="Arial" w:cs="Arial"/>
          <w:b w:val="0"/>
          <w:color w:val="auto"/>
        </w:rPr>
        <w:t xml:space="preserve"> with osteopenia</w:t>
      </w:r>
      <w:r w:rsidRPr="00D57691">
        <w:rPr>
          <w:rFonts w:ascii="Arial" w:hAnsi="Arial" w:cs="Arial"/>
          <w:b w:val="0"/>
          <w:color w:val="auto"/>
        </w:rPr>
        <w:t xml:space="preserve"> receiving</w:t>
      </w:r>
      <w:r>
        <w:rPr>
          <w:rFonts w:ascii="Arial" w:hAnsi="Arial" w:cs="Arial"/>
          <w:b w:val="0"/>
          <w:color w:val="auto"/>
        </w:rPr>
        <w:t xml:space="preserve"> raloxifene</w:t>
      </w:r>
      <w:r w:rsidRPr="00D57691">
        <w:rPr>
          <w:rFonts w:ascii="Arial" w:hAnsi="Arial" w:cs="Arial"/>
          <w:b w:val="0"/>
          <w:color w:val="auto"/>
        </w:rPr>
        <w:t xml:space="preserve"> treatment </w:t>
      </w:r>
      <w:r>
        <w:rPr>
          <w:rFonts w:ascii="Arial" w:hAnsi="Arial" w:cs="Arial"/>
          <w:b w:val="0"/>
          <w:color w:val="auto"/>
        </w:rPr>
        <w:t>over 48</w:t>
      </w:r>
      <w:r w:rsidRPr="00D57691">
        <w:rPr>
          <w:rFonts w:ascii="Arial" w:hAnsi="Arial" w:cs="Arial"/>
          <w:b w:val="0"/>
          <w:color w:val="auto"/>
        </w:rPr>
        <w:t xml:space="preserve"> weeks. N is the number of women at each visit.</w:t>
      </w:r>
      <w:bookmarkEnd w:id="242"/>
    </w:p>
    <w:tbl>
      <w:tblPr>
        <w:tblStyle w:val="TableGrid"/>
        <w:tblW w:w="0" w:type="auto"/>
        <w:jc w:val="center"/>
        <w:tblLook w:val="04A0" w:firstRow="1" w:lastRow="0" w:firstColumn="1" w:lastColumn="0" w:noHBand="0" w:noVBand="1"/>
      </w:tblPr>
      <w:tblGrid>
        <w:gridCol w:w="1004"/>
        <w:gridCol w:w="440"/>
        <w:gridCol w:w="785"/>
        <w:gridCol w:w="1525"/>
        <w:gridCol w:w="830"/>
        <w:gridCol w:w="1525"/>
      </w:tblGrid>
      <w:tr w:rsidR="004D19ED" w:rsidTr="004D19ED">
        <w:trPr>
          <w:jc w:val="center"/>
        </w:trPr>
        <w:tc>
          <w:tcPr>
            <w:tcW w:w="0" w:type="auto"/>
            <w:vMerge w:val="restart"/>
          </w:tcPr>
          <w:p w:rsidR="004D19ED" w:rsidRDefault="004D19ED" w:rsidP="00900F2C"/>
        </w:tc>
        <w:tc>
          <w:tcPr>
            <w:tcW w:w="0" w:type="auto"/>
            <w:vMerge w:val="restart"/>
          </w:tcPr>
          <w:p w:rsidR="004D19ED" w:rsidRDefault="004D19ED" w:rsidP="00900F2C">
            <w:r>
              <w:t>N</w:t>
            </w:r>
          </w:p>
        </w:tc>
        <w:tc>
          <w:tcPr>
            <w:tcW w:w="0" w:type="auto"/>
            <w:gridSpan w:val="2"/>
          </w:tcPr>
          <w:p w:rsidR="004D19ED" w:rsidRDefault="004D19ED" w:rsidP="00900F2C">
            <w:r>
              <w:t>Balance</w:t>
            </w:r>
          </w:p>
        </w:tc>
        <w:tc>
          <w:tcPr>
            <w:tcW w:w="0" w:type="auto"/>
            <w:gridSpan w:val="2"/>
          </w:tcPr>
          <w:p w:rsidR="004D19ED" w:rsidRDefault="004D19ED" w:rsidP="00900F2C">
            <w:r>
              <w:t>Turnover</w:t>
            </w:r>
          </w:p>
        </w:tc>
      </w:tr>
      <w:tr w:rsidR="004D19ED" w:rsidTr="004D19ED">
        <w:trPr>
          <w:jc w:val="center"/>
        </w:trPr>
        <w:tc>
          <w:tcPr>
            <w:tcW w:w="0" w:type="auto"/>
            <w:vMerge/>
          </w:tcPr>
          <w:p w:rsidR="004D19ED" w:rsidRDefault="004D19ED" w:rsidP="00900F2C"/>
        </w:tc>
        <w:tc>
          <w:tcPr>
            <w:tcW w:w="0" w:type="auto"/>
            <w:vMerge/>
          </w:tcPr>
          <w:p w:rsidR="004D19ED" w:rsidRDefault="004D19ED" w:rsidP="00900F2C"/>
        </w:tc>
        <w:tc>
          <w:tcPr>
            <w:tcW w:w="0" w:type="auto"/>
          </w:tcPr>
          <w:p w:rsidR="004D19ED" w:rsidRDefault="004D19ED" w:rsidP="00900F2C">
            <w:r>
              <w:t>Mean</w:t>
            </w:r>
          </w:p>
        </w:tc>
        <w:tc>
          <w:tcPr>
            <w:tcW w:w="0" w:type="auto"/>
          </w:tcPr>
          <w:p w:rsidR="004D19ED" w:rsidRDefault="004D19ED" w:rsidP="00900F2C">
            <w:r>
              <w:t>95% CI</w:t>
            </w:r>
          </w:p>
        </w:tc>
        <w:tc>
          <w:tcPr>
            <w:tcW w:w="0" w:type="auto"/>
          </w:tcPr>
          <w:p w:rsidR="004D19ED" w:rsidRDefault="004D19ED" w:rsidP="00900F2C">
            <w:r>
              <w:t>Mean</w:t>
            </w:r>
          </w:p>
        </w:tc>
        <w:tc>
          <w:tcPr>
            <w:tcW w:w="0" w:type="auto"/>
          </w:tcPr>
          <w:p w:rsidR="004D19ED" w:rsidRDefault="004D19ED" w:rsidP="00900F2C">
            <w:r>
              <w:t>95% CI</w:t>
            </w:r>
          </w:p>
        </w:tc>
      </w:tr>
      <w:tr w:rsidR="004D19ED" w:rsidTr="004D19ED">
        <w:trPr>
          <w:jc w:val="center"/>
        </w:trPr>
        <w:tc>
          <w:tcPr>
            <w:tcW w:w="0" w:type="auto"/>
          </w:tcPr>
          <w:p w:rsidR="004D19ED" w:rsidRDefault="004D19ED" w:rsidP="00900F2C">
            <w:r>
              <w:t>Baseline</w:t>
            </w:r>
          </w:p>
        </w:tc>
        <w:tc>
          <w:tcPr>
            <w:tcW w:w="0" w:type="auto"/>
          </w:tcPr>
          <w:p w:rsidR="004D19ED" w:rsidRDefault="004D19ED" w:rsidP="00900F2C">
            <w:r>
              <w:t>21</w:t>
            </w:r>
          </w:p>
        </w:tc>
        <w:tc>
          <w:tcPr>
            <w:tcW w:w="0" w:type="auto"/>
          </w:tcPr>
          <w:p w:rsidR="004D19ED" w:rsidRDefault="004D19ED" w:rsidP="00900F2C">
            <w:r>
              <w:t>-0.045</w:t>
            </w:r>
          </w:p>
        </w:tc>
        <w:tc>
          <w:tcPr>
            <w:tcW w:w="0" w:type="auto"/>
          </w:tcPr>
          <w:p w:rsidR="004D19ED" w:rsidRDefault="004D19ED" w:rsidP="00900F2C">
            <w:r>
              <w:t>(-0.534, 0.443)</w:t>
            </w:r>
          </w:p>
        </w:tc>
        <w:tc>
          <w:tcPr>
            <w:tcW w:w="0" w:type="auto"/>
          </w:tcPr>
          <w:p w:rsidR="004D19ED" w:rsidRDefault="004D19ED" w:rsidP="00900F2C">
            <w:r>
              <w:t>1.344</w:t>
            </w:r>
          </w:p>
        </w:tc>
        <w:tc>
          <w:tcPr>
            <w:tcW w:w="0" w:type="auto"/>
          </w:tcPr>
          <w:p w:rsidR="004D19ED" w:rsidRDefault="004D19ED" w:rsidP="00900F2C">
            <w:r>
              <w:t>(0.987, 1.701)</w:t>
            </w:r>
          </w:p>
        </w:tc>
      </w:tr>
      <w:tr w:rsidR="004D19ED" w:rsidTr="004D19ED">
        <w:trPr>
          <w:jc w:val="center"/>
        </w:trPr>
        <w:tc>
          <w:tcPr>
            <w:tcW w:w="0" w:type="auto"/>
          </w:tcPr>
          <w:p w:rsidR="004D19ED" w:rsidRDefault="004D19ED" w:rsidP="00900F2C">
            <w:r>
              <w:t>Week 1</w:t>
            </w:r>
          </w:p>
        </w:tc>
        <w:tc>
          <w:tcPr>
            <w:tcW w:w="0" w:type="auto"/>
          </w:tcPr>
          <w:p w:rsidR="004D19ED" w:rsidRDefault="004D19ED" w:rsidP="00900F2C">
            <w:r w:rsidRPr="001473B4">
              <w:t>21</w:t>
            </w:r>
          </w:p>
        </w:tc>
        <w:tc>
          <w:tcPr>
            <w:tcW w:w="0" w:type="auto"/>
          </w:tcPr>
          <w:p w:rsidR="004D19ED" w:rsidRDefault="004D19ED" w:rsidP="00900F2C">
            <w:r>
              <w:t>0.172</w:t>
            </w:r>
          </w:p>
        </w:tc>
        <w:tc>
          <w:tcPr>
            <w:tcW w:w="0" w:type="auto"/>
          </w:tcPr>
          <w:p w:rsidR="004D19ED" w:rsidRDefault="004D19ED" w:rsidP="00900F2C">
            <w:r>
              <w:t>(-0.443, 0.787)</w:t>
            </w:r>
          </w:p>
        </w:tc>
        <w:tc>
          <w:tcPr>
            <w:tcW w:w="0" w:type="auto"/>
          </w:tcPr>
          <w:p w:rsidR="004D19ED" w:rsidRDefault="004D19ED" w:rsidP="00900F2C">
            <w:r>
              <w:t>0.931</w:t>
            </w:r>
          </w:p>
        </w:tc>
        <w:tc>
          <w:tcPr>
            <w:tcW w:w="0" w:type="auto"/>
          </w:tcPr>
          <w:p w:rsidR="004D19ED" w:rsidRDefault="004D19ED" w:rsidP="00900F2C">
            <w:r>
              <w:t>(0.483, 1.379)</w:t>
            </w:r>
          </w:p>
        </w:tc>
      </w:tr>
      <w:tr w:rsidR="004D19ED" w:rsidTr="004D19ED">
        <w:trPr>
          <w:jc w:val="center"/>
        </w:trPr>
        <w:tc>
          <w:tcPr>
            <w:tcW w:w="0" w:type="auto"/>
          </w:tcPr>
          <w:p w:rsidR="004D19ED" w:rsidRDefault="004D19ED" w:rsidP="00900F2C">
            <w:r>
              <w:t>Week 2</w:t>
            </w:r>
          </w:p>
        </w:tc>
        <w:tc>
          <w:tcPr>
            <w:tcW w:w="0" w:type="auto"/>
          </w:tcPr>
          <w:p w:rsidR="004D19ED" w:rsidRDefault="004D19ED" w:rsidP="00900F2C">
            <w:r w:rsidRPr="001473B4">
              <w:t>21</w:t>
            </w:r>
          </w:p>
        </w:tc>
        <w:tc>
          <w:tcPr>
            <w:tcW w:w="0" w:type="auto"/>
          </w:tcPr>
          <w:p w:rsidR="004D19ED" w:rsidRDefault="004D19ED" w:rsidP="00900F2C">
            <w:r>
              <w:t>0.493</w:t>
            </w:r>
          </w:p>
        </w:tc>
        <w:tc>
          <w:tcPr>
            <w:tcW w:w="0" w:type="auto"/>
          </w:tcPr>
          <w:p w:rsidR="004D19ED" w:rsidRDefault="004D19ED" w:rsidP="00900F2C">
            <w:r>
              <w:t>(-0.075, 1.061)</w:t>
            </w:r>
          </w:p>
        </w:tc>
        <w:tc>
          <w:tcPr>
            <w:tcW w:w="0" w:type="auto"/>
          </w:tcPr>
          <w:p w:rsidR="004D19ED" w:rsidRDefault="004D19ED" w:rsidP="00900F2C">
            <w:r>
              <w:t>0.899</w:t>
            </w:r>
          </w:p>
        </w:tc>
        <w:tc>
          <w:tcPr>
            <w:tcW w:w="0" w:type="auto"/>
          </w:tcPr>
          <w:p w:rsidR="004D19ED" w:rsidRDefault="004D19ED" w:rsidP="00900F2C">
            <w:r>
              <w:t>(0.452, 1.345)</w:t>
            </w:r>
          </w:p>
        </w:tc>
      </w:tr>
      <w:tr w:rsidR="004D19ED" w:rsidTr="004D19ED">
        <w:trPr>
          <w:jc w:val="center"/>
        </w:trPr>
        <w:tc>
          <w:tcPr>
            <w:tcW w:w="0" w:type="auto"/>
          </w:tcPr>
          <w:p w:rsidR="004D19ED" w:rsidRDefault="004D19ED" w:rsidP="00900F2C">
            <w:r>
              <w:t>Week 4</w:t>
            </w:r>
          </w:p>
        </w:tc>
        <w:tc>
          <w:tcPr>
            <w:tcW w:w="0" w:type="auto"/>
          </w:tcPr>
          <w:p w:rsidR="004D19ED" w:rsidRDefault="004D19ED" w:rsidP="00900F2C">
            <w:r w:rsidRPr="001473B4">
              <w:t>21</w:t>
            </w:r>
          </w:p>
        </w:tc>
        <w:tc>
          <w:tcPr>
            <w:tcW w:w="0" w:type="auto"/>
          </w:tcPr>
          <w:p w:rsidR="004D19ED" w:rsidRDefault="004D19ED" w:rsidP="00900F2C">
            <w:r>
              <w:t>0.414</w:t>
            </w:r>
          </w:p>
        </w:tc>
        <w:tc>
          <w:tcPr>
            <w:tcW w:w="0" w:type="auto"/>
          </w:tcPr>
          <w:p w:rsidR="004D19ED" w:rsidRDefault="004D19ED" w:rsidP="00900F2C">
            <w:r>
              <w:t>(-0.160, 0.989)</w:t>
            </w:r>
          </w:p>
        </w:tc>
        <w:tc>
          <w:tcPr>
            <w:tcW w:w="0" w:type="auto"/>
          </w:tcPr>
          <w:p w:rsidR="004D19ED" w:rsidRDefault="004D19ED" w:rsidP="00900F2C">
            <w:r>
              <w:t>0.568</w:t>
            </w:r>
          </w:p>
        </w:tc>
        <w:tc>
          <w:tcPr>
            <w:tcW w:w="0" w:type="auto"/>
          </w:tcPr>
          <w:p w:rsidR="004D19ED" w:rsidRDefault="004D19ED" w:rsidP="00900F2C">
            <w:r>
              <w:t>(0.033, 1.103)</w:t>
            </w:r>
          </w:p>
        </w:tc>
      </w:tr>
      <w:tr w:rsidR="004D19ED" w:rsidTr="004D19ED">
        <w:trPr>
          <w:jc w:val="center"/>
        </w:trPr>
        <w:tc>
          <w:tcPr>
            <w:tcW w:w="0" w:type="auto"/>
          </w:tcPr>
          <w:p w:rsidR="004D19ED" w:rsidRDefault="004D19ED" w:rsidP="00900F2C">
            <w:r>
              <w:t>Week 8</w:t>
            </w:r>
          </w:p>
        </w:tc>
        <w:tc>
          <w:tcPr>
            <w:tcW w:w="0" w:type="auto"/>
          </w:tcPr>
          <w:p w:rsidR="004D19ED" w:rsidRDefault="004D19ED" w:rsidP="00900F2C">
            <w:r w:rsidRPr="001473B4">
              <w:t>21</w:t>
            </w:r>
          </w:p>
        </w:tc>
        <w:tc>
          <w:tcPr>
            <w:tcW w:w="0" w:type="auto"/>
          </w:tcPr>
          <w:p w:rsidR="004D19ED" w:rsidRDefault="004D19ED" w:rsidP="00900F2C">
            <w:r>
              <w:t>0.232</w:t>
            </w:r>
          </w:p>
        </w:tc>
        <w:tc>
          <w:tcPr>
            <w:tcW w:w="0" w:type="auto"/>
          </w:tcPr>
          <w:p w:rsidR="004D19ED" w:rsidRDefault="004D19ED" w:rsidP="00900F2C">
            <w:r>
              <w:t>(-0.257, 0.722)</w:t>
            </w:r>
          </w:p>
        </w:tc>
        <w:tc>
          <w:tcPr>
            <w:tcW w:w="0" w:type="auto"/>
          </w:tcPr>
          <w:p w:rsidR="004D19ED" w:rsidRDefault="004D19ED" w:rsidP="00900F2C">
            <w:r>
              <w:t>0.4932</w:t>
            </w:r>
          </w:p>
        </w:tc>
        <w:tc>
          <w:tcPr>
            <w:tcW w:w="0" w:type="auto"/>
          </w:tcPr>
          <w:p w:rsidR="004D19ED" w:rsidRDefault="004D19ED" w:rsidP="00900F2C">
            <w:r>
              <w:t>(-0.033, 1.019)</w:t>
            </w:r>
          </w:p>
        </w:tc>
      </w:tr>
      <w:tr w:rsidR="004D19ED" w:rsidTr="004D19ED">
        <w:trPr>
          <w:jc w:val="center"/>
        </w:trPr>
        <w:tc>
          <w:tcPr>
            <w:tcW w:w="0" w:type="auto"/>
          </w:tcPr>
          <w:p w:rsidR="004D19ED" w:rsidRDefault="004D19ED" w:rsidP="00900F2C">
            <w:r>
              <w:t>Week 12</w:t>
            </w:r>
          </w:p>
        </w:tc>
        <w:tc>
          <w:tcPr>
            <w:tcW w:w="0" w:type="auto"/>
          </w:tcPr>
          <w:p w:rsidR="004D19ED" w:rsidRDefault="004D19ED" w:rsidP="00900F2C">
            <w:r w:rsidRPr="001473B4">
              <w:t>21</w:t>
            </w:r>
          </w:p>
        </w:tc>
        <w:tc>
          <w:tcPr>
            <w:tcW w:w="0" w:type="auto"/>
          </w:tcPr>
          <w:p w:rsidR="004D19ED" w:rsidRDefault="004D19ED" w:rsidP="00900F2C">
            <w:r>
              <w:t>-0.140</w:t>
            </w:r>
          </w:p>
        </w:tc>
        <w:tc>
          <w:tcPr>
            <w:tcW w:w="0" w:type="auto"/>
          </w:tcPr>
          <w:p w:rsidR="004D19ED" w:rsidRDefault="004D19ED" w:rsidP="00900F2C">
            <w:r>
              <w:t>(-0.669, 0.388)</w:t>
            </w:r>
          </w:p>
        </w:tc>
        <w:tc>
          <w:tcPr>
            <w:tcW w:w="0" w:type="auto"/>
          </w:tcPr>
          <w:p w:rsidR="004D19ED" w:rsidRDefault="004D19ED" w:rsidP="00900F2C">
            <w:r>
              <w:t>0.239</w:t>
            </w:r>
          </w:p>
        </w:tc>
        <w:tc>
          <w:tcPr>
            <w:tcW w:w="0" w:type="auto"/>
          </w:tcPr>
          <w:p w:rsidR="004D19ED" w:rsidRDefault="004D19ED" w:rsidP="00900F2C">
            <w:r>
              <w:t>(-0.343, 0.820)</w:t>
            </w:r>
          </w:p>
        </w:tc>
      </w:tr>
      <w:tr w:rsidR="004D19ED" w:rsidTr="004D19ED">
        <w:trPr>
          <w:jc w:val="center"/>
        </w:trPr>
        <w:tc>
          <w:tcPr>
            <w:tcW w:w="0" w:type="auto"/>
          </w:tcPr>
          <w:p w:rsidR="004D19ED" w:rsidRDefault="004D19ED" w:rsidP="00900F2C">
            <w:r>
              <w:t>Week 24</w:t>
            </w:r>
          </w:p>
        </w:tc>
        <w:tc>
          <w:tcPr>
            <w:tcW w:w="0" w:type="auto"/>
          </w:tcPr>
          <w:p w:rsidR="004D19ED" w:rsidRDefault="004D19ED" w:rsidP="00900F2C">
            <w:r w:rsidRPr="001473B4">
              <w:t>21</w:t>
            </w:r>
          </w:p>
        </w:tc>
        <w:tc>
          <w:tcPr>
            <w:tcW w:w="0" w:type="auto"/>
          </w:tcPr>
          <w:p w:rsidR="004D19ED" w:rsidRDefault="004D19ED" w:rsidP="00900F2C">
            <w:r>
              <w:t>-0.301</w:t>
            </w:r>
          </w:p>
        </w:tc>
        <w:tc>
          <w:tcPr>
            <w:tcW w:w="0" w:type="auto"/>
          </w:tcPr>
          <w:p w:rsidR="004D19ED" w:rsidRDefault="004D19ED" w:rsidP="00900F2C">
            <w:r>
              <w:t>(-0.689, 0.087)</w:t>
            </w:r>
          </w:p>
        </w:tc>
        <w:tc>
          <w:tcPr>
            <w:tcW w:w="0" w:type="auto"/>
          </w:tcPr>
          <w:p w:rsidR="004D19ED" w:rsidRDefault="004D19ED" w:rsidP="00900F2C">
            <w:r>
              <w:t>-0.035</w:t>
            </w:r>
          </w:p>
        </w:tc>
        <w:tc>
          <w:tcPr>
            <w:tcW w:w="0" w:type="auto"/>
          </w:tcPr>
          <w:p w:rsidR="004D19ED" w:rsidRDefault="004D19ED" w:rsidP="00900F2C">
            <w:r>
              <w:t>(-0.639, 0.569)</w:t>
            </w:r>
          </w:p>
        </w:tc>
      </w:tr>
      <w:tr w:rsidR="004D19ED" w:rsidTr="004D19ED">
        <w:trPr>
          <w:jc w:val="center"/>
        </w:trPr>
        <w:tc>
          <w:tcPr>
            <w:tcW w:w="0" w:type="auto"/>
          </w:tcPr>
          <w:p w:rsidR="004D19ED" w:rsidRDefault="004D19ED" w:rsidP="00900F2C">
            <w:r>
              <w:t>Week 36</w:t>
            </w:r>
          </w:p>
        </w:tc>
        <w:tc>
          <w:tcPr>
            <w:tcW w:w="0" w:type="auto"/>
          </w:tcPr>
          <w:p w:rsidR="004D19ED" w:rsidRDefault="004D19ED" w:rsidP="00900F2C">
            <w:r w:rsidRPr="001473B4">
              <w:t>21</w:t>
            </w:r>
          </w:p>
        </w:tc>
        <w:tc>
          <w:tcPr>
            <w:tcW w:w="0" w:type="auto"/>
          </w:tcPr>
          <w:p w:rsidR="004D19ED" w:rsidRDefault="004D19ED" w:rsidP="00900F2C">
            <w:r>
              <w:t>-0.256</w:t>
            </w:r>
          </w:p>
        </w:tc>
        <w:tc>
          <w:tcPr>
            <w:tcW w:w="0" w:type="auto"/>
          </w:tcPr>
          <w:p w:rsidR="004D19ED" w:rsidRDefault="004D19ED" w:rsidP="00900F2C">
            <w:r>
              <w:t>(-0.679, 0.168)</w:t>
            </w:r>
          </w:p>
        </w:tc>
        <w:tc>
          <w:tcPr>
            <w:tcW w:w="0" w:type="auto"/>
          </w:tcPr>
          <w:p w:rsidR="004D19ED" w:rsidRDefault="004D19ED" w:rsidP="00900F2C">
            <w:r>
              <w:t>-0.156</w:t>
            </w:r>
          </w:p>
        </w:tc>
        <w:tc>
          <w:tcPr>
            <w:tcW w:w="0" w:type="auto"/>
          </w:tcPr>
          <w:p w:rsidR="004D19ED" w:rsidRDefault="004D19ED" w:rsidP="00900F2C">
            <w:r>
              <w:t>(-0.694, 0.383)</w:t>
            </w:r>
          </w:p>
        </w:tc>
      </w:tr>
      <w:tr w:rsidR="004D19ED" w:rsidTr="004D19ED">
        <w:trPr>
          <w:jc w:val="center"/>
        </w:trPr>
        <w:tc>
          <w:tcPr>
            <w:tcW w:w="0" w:type="auto"/>
          </w:tcPr>
          <w:p w:rsidR="004D19ED" w:rsidRDefault="004D19ED" w:rsidP="00900F2C">
            <w:r>
              <w:t>Week 48</w:t>
            </w:r>
          </w:p>
        </w:tc>
        <w:tc>
          <w:tcPr>
            <w:tcW w:w="0" w:type="auto"/>
          </w:tcPr>
          <w:p w:rsidR="004D19ED" w:rsidRDefault="004D19ED" w:rsidP="00900F2C">
            <w:r w:rsidRPr="001473B4">
              <w:t>21</w:t>
            </w:r>
          </w:p>
        </w:tc>
        <w:tc>
          <w:tcPr>
            <w:tcW w:w="0" w:type="auto"/>
          </w:tcPr>
          <w:p w:rsidR="004D19ED" w:rsidRDefault="004D19ED" w:rsidP="00900F2C">
            <w:r>
              <w:t>-0.108</w:t>
            </w:r>
          </w:p>
        </w:tc>
        <w:tc>
          <w:tcPr>
            <w:tcW w:w="0" w:type="auto"/>
          </w:tcPr>
          <w:p w:rsidR="004D19ED" w:rsidRDefault="004D19ED" w:rsidP="00900F2C">
            <w:r>
              <w:t>(-0.510, 0.294)</w:t>
            </w:r>
          </w:p>
        </w:tc>
        <w:tc>
          <w:tcPr>
            <w:tcW w:w="0" w:type="auto"/>
          </w:tcPr>
          <w:p w:rsidR="004D19ED" w:rsidRDefault="004D19ED" w:rsidP="00900F2C">
            <w:r>
              <w:t>-0.092</w:t>
            </w:r>
          </w:p>
        </w:tc>
        <w:tc>
          <w:tcPr>
            <w:tcW w:w="0" w:type="auto"/>
          </w:tcPr>
          <w:p w:rsidR="004D19ED" w:rsidRDefault="004D19ED" w:rsidP="00900F2C">
            <w:r>
              <w:t>(-0.756, 0.571)</w:t>
            </w:r>
          </w:p>
        </w:tc>
      </w:tr>
    </w:tbl>
    <w:p w:rsidR="004D19ED" w:rsidRDefault="004D19ED" w:rsidP="00900F2C"/>
    <w:p w:rsidR="00685609" w:rsidRDefault="00685609" w:rsidP="00900F2C"/>
    <w:p w:rsidR="00685609" w:rsidRDefault="00685609" w:rsidP="00900F2C"/>
    <w:p w:rsidR="00685609" w:rsidRDefault="00685609" w:rsidP="00900F2C"/>
    <w:p w:rsidR="00685609" w:rsidRDefault="00685609" w:rsidP="00900F2C"/>
    <w:p w:rsidR="00D57691" w:rsidRPr="00F1233F" w:rsidRDefault="00D57691" w:rsidP="00900F2C">
      <w:pPr>
        <w:pStyle w:val="Caption"/>
        <w:keepNext/>
        <w:rPr>
          <w:rFonts w:ascii="Arial" w:hAnsi="Arial" w:cs="Arial"/>
          <w:b w:val="0"/>
          <w:color w:val="auto"/>
        </w:rPr>
      </w:pPr>
      <w:bookmarkStart w:id="243" w:name="_Toc424043707"/>
      <w:r w:rsidRPr="00F1233F">
        <w:rPr>
          <w:rFonts w:ascii="Arial" w:hAnsi="Arial" w:cs="Arial"/>
          <w:b w:val="0"/>
          <w:color w:val="auto"/>
        </w:rPr>
        <w:lastRenderedPageBreak/>
        <w:t xml:space="preserve">Table </w:t>
      </w:r>
      <w:r w:rsidRPr="00F1233F">
        <w:rPr>
          <w:rFonts w:ascii="Arial" w:hAnsi="Arial" w:cs="Arial"/>
          <w:b w:val="0"/>
          <w:color w:val="auto"/>
        </w:rPr>
        <w:fldChar w:fldCharType="begin"/>
      </w:r>
      <w:r w:rsidRPr="00F1233F">
        <w:rPr>
          <w:rFonts w:ascii="Arial" w:hAnsi="Arial" w:cs="Arial"/>
          <w:b w:val="0"/>
          <w:color w:val="auto"/>
        </w:rPr>
        <w:instrText xml:space="preserve"> SEQ Table \* ARABIC </w:instrText>
      </w:r>
      <w:r w:rsidRPr="00F1233F">
        <w:rPr>
          <w:rFonts w:ascii="Arial" w:hAnsi="Arial" w:cs="Arial"/>
          <w:b w:val="0"/>
          <w:color w:val="auto"/>
        </w:rPr>
        <w:fldChar w:fldCharType="separate"/>
      </w:r>
      <w:r w:rsidR="00DD116A">
        <w:rPr>
          <w:rFonts w:ascii="Arial" w:hAnsi="Arial" w:cs="Arial"/>
          <w:b w:val="0"/>
          <w:noProof/>
          <w:color w:val="auto"/>
        </w:rPr>
        <w:t>33</w:t>
      </w:r>
      <w:r w:rsidRPr="00F1233F">
        <w:rPr>
          <w:rFonts w:ascii="Arial" w:hAnsi="Arial" w:cs="Arial"/>
          <w:b w:val="0"/>
          <w:color w:val="auto"/>
        </w:rPr>
        <w:fldChar w:fldCharType="end"/>
      </w:r>
      <w:r w:rsidR="00F1233F">
        <w:rPr>
          <w:rFonts w:ascii="Arial" w:hAnsi="Arial" w:cs="Arial"/>
          <w:b w:val="0"/>
          <w:color w:val="auto"/>
        </w:rPr>
        <w:t xml:space="preserve">: </w:t>
      </w:r>
      <w:r w:rsidRPr="00F1233F">
        <w:rPr>
          <w:rFonts w:ascii="Arial" w:hAnsi="Arial" w:cs="Arial"/>
          <w:b w:val="0"/>
          <w:color w:val="auto"/>
        </w:rPr>
        <w:t xml:space="preserve">The mean change and 95% confidence intervals in bone turnover and bone balance in postmenopausal women receiving </w:t>
      </w:r>
      <w:r w:rsidR="00FC2875">
        <w:rPr>
          <w:rFonts w:ascii="Arial" w:hAnsi="Arial" w:cs="Arial"/>
          <w:b w:val="0"/>
          <w:color w:val="auto"/>
        </w:rPr>
        <w:t>raloxifene treatment</w:t>
      </w:r>
      <w:r w:rsidRPr="00F1233F">
        <w:rPr>
          <w:rFonts w:ascii="Arial" w:hAnsi="Arial" w:cs="Arial"/>
          <w:b w:val="0"/>
          <w:color w:val="auto"/>
        </w:rPr>
        <w:t xml:space="preserve">. Significance from baseline was tested using </w:t>
      </w:r>
      <w:r w:rsidR="00685609" w:rsidRPr="00F1233F">
        <w:rPr>
          <w:rFonts w:ascii="Arial" w:hAnsi="Arial" w:cs="Arial"/>
          <w:b w:val="0"/>
          <w:color w:val="auto"/>
        </w:rPr>
        <w:t>Dunn’s</w:t>
      </w:r>
      <w:r w:rsidRPr="00F1233F">
        <w:rPr>
          <w:rFonts w:ascii="Arial" w:hAnsi="Arial" w:cs="Arial"/>
          <w:b w:val="0"/>
          <w:color w:val="auto"/>
        </w:rPr>
        <w:t xml:space="preserve"> post hoc test.</w:t>
      </w:r>
      <w:bookmarkEnd w:id="243"/>
    </w:p>
    <w:tbl>
      <w:tblPr>
        <w:tblStyle w:val="TableGrid"/>
        <w:tblW w:w="0" w:type="auto"/>
        <w:jc w:val="center"/>
        <w:tblLook w:val="04A0" w:firstRow="1" w:lastRow="0" w:firstColumn="1" w:lastColumn="0" w:noHBand="0" w:noVBand="1"/>
      </w:tblPr>
      <w:tblGrid>
        <w:gridCol w:w="1004"/>
        <w:gridCol w:w="785"/>
        <w:gridCol w:w="1525"/>
        <w:gridCol w:w="903"/>
        <w:gridCol w:w="785"/>
        <w:gridCol w:w="1592"/>
        <w:gridCol w:w="903"/>
      </w:tblGrid>
      <w:tr w:rsidR="004D19ED" w:rsidTr="004D19ED">
        <w:trPr>
          <w:jc w:val="center"/>
        </w:trPr>
        <w:tc>
          <w:tcPr>
            <w:tcW w:w="0" w:type="auto"/>
          </w:tcPr>
          <w:p w:rsidR="004D19ED" w:rsidRDefault="004D19ED" w:rsidP="00900F2C"/>
        </w:tc>
        <w:tc>
          <w:tcPr>
            <w:tcW w:w="0" w:type="auto"/>
            <w:gridSpan w:val="3"/>
          </w:tcPr>
          <w:p w:rsidR="004D19ED" w:rsidRDefault="004D19ED" w:rsidP="00900F2C">
            <w:r>
              <w:t>Balance</w:t>
            </w:r>
          </w:p>
        </w:tc>
        <w:tc>
          <w:tcPr>
            <w:tcW w:w="0" w:type="auto"/>
            <w:gridSpan w:val="3"/>
          </w:tcPr>
          <w:p w:rsidR="004D19ED" w:rsidRDefault="004D19ED" w:rsidP="00900F2C">
            <w:r>
              <w:t>Turnover</w:t>
            </w:r>
          </w:p>
        </w:tc>
      </w:tr>
      <w:tr w:rsidR="004D19ED" w:rsidTr="004D19ED">
        <w:trPr>
          <w:jc w:val="center"/>
        </w:trPr>
        <w:tc>
          <w:tcPr>
            <w:tcW w:w="0" w:type="auto"/>
          </w:tcPr>
          <w:p w:rsidR="004D19ED" w:rsidRDefault="004D19ED" w:rsidP="00900F2C"/>
        </w:tc>
        <w:tc>
          <w:tcPr>
            <w:tcW w:w="0" w:type="auto"/>
          </w:tcPr>
          <w:p w:rsidR="004D19ED" w:rsidRDefault="004D19ED" w:rsidP="00900F2C">
            <w:r>
              <w:t>Mean</w:t>
            </w:r>
          </w:p>
        </w:tc>
        <w:tc>
          <w:tcPr>
            <w:tcW w:w="0" w:type="auto"/>
          </w:tcPr>
          <w:p w:rsidR="004D19ED" w:rsidRDefault="004D19ED" w:rsidP="00900F2C">
            <w:r>
              <w:t>95% CI</w:t>
            </w:r>
          </w:p>
        </w:tc>
        <w:tc>
          <w:tcPr>
            <w:tcW w:w="0" w:type="auto"/>
          </w:tcPr>
          <w:p w:rsidR="004D19ED" w:rsidRDefault="004D19ED" w:rsidP="00900F2C">
            <w:r>
              <w:t>P-Value</w:t>
            </w:r>
          </w:p>
        </w:tc>
        <w:tc>
          <w:tcPr>
            <w:tcW w:w="0" w:type="auto"/>
          </w:tcPr>
          <w:p w:rsidR="004D19ED" w:rsidRDefault="004D19ED" w:rsidP="00900F2C">
            <w:r>
              <w:t>Mean</w:t>
            </w:r>
          </w:p>
        </w:tc>
        <w:tc>
          <w:tcPr>
            <w:tcW w:w="0" w:type="auto"/>
          </w:tcPr>
          <w:p w:rsidR="004D19ED" w:rsidRDefault="004D19ED" w:rsidP="00900F2C">
            <w:r>
              <w:t>95% CI</w:t>
            </w:r>
          </w:p>
        </w:tc>
        <w:tc>
          <w:tcPr>
            <w:tcW w:w="0" w:type="auto"/>
          </w:tcPr>
          <w:p w:rsidR="004D19ED" w:rsidRDefault="004D19ED" w:rsidP="00900F2C">
            <w:r>
              <w:t>P-Value</w:t>
            </w:r>
          </w:p>
        </w:tc>
      </w:tr>
      <w:tr w:rsidR="004D19ED" w:rsidTr="004D19ED">
        <w:trPr>
          <w:jc w:val="center"/>
        </w:trPr>
        <w:tc>
          <w:tcPr>
            <w:tcW w:w="0" w:type="auto"/>
          </w:tcPr>
          <w:p w:rsidR="004D19ED" w:rsidRDefault="004D19ED" w:rsidP="00900F2C">
            <w:r>
              <w:t>Week 1</w:t>
            </w:r>
          </w:p>
        </w:tc>
        <w:tc>
          <w:tcPr>
            <w:tcW w:w="0" w:type="auto"/>
          </w:tcPr>
          <w:p w:rsidR="004D19ED" w:rsidRDefault="004D19ED" w:rsidP="00900F2C">
            <w:r>
              <w:t>0.218</w:t>
            </w:r>
          </w:p>
        </w:tc>
        <w:tc>
          <w:tcPr>
            <w:tcW w:w="0" w:type="auto"/>
          </w:tcPr>
          <w:p w:rsidR="004D19ED" w:rsidRDefault="004D19ED" w:rsidP="00900F2C">
            <w:r>
              <w:t>(-0.544, 0.980)</w:t>
            </w:r>
          </w:p>
        </w:tc>
        <w:tc>
          <w:tcPr>
            <w:tcW w:w="0" w:type="auto"/>
          </w:tcPr>
          <w:p w:rsidR="004D19ED" w:rsidRDefault="004D19ED" w:rsidP="00900F2C">
            <w:r>
              <w:t>0.566</w:t>
            </w:r>
          </w:p>
        </w:tc>
        <w:tc>
          <w:tcPr>
            <w:tcW w:w="0" w:type="auto"/>
          </w:tcPr>
          <w:p w:rsidR="004D19ED" w:rsidRDefault="004D19ED" w:rsidP="00900F2C">
            <w:r>
              <w:t>-0.413</w:t>
            </w:r>
          </w:p>
        </w:tc>
        <w:tc>
          <w:tcPr>
            <w:tcW w:w="0" w:type="auto"/>
          </w:tcPr>
          <w:p w:rsidR="004D19ED" w:rsidRDefault="004D19ED" w:rsidP="00900F2C">
            <w:r>
              <w:t>(-0.969, 0.142)</w:t>
            </w:r>
          </w:p>
        </w:tc>
        <w:tc>
          <w:tcPr>
            <w:tcW w:w="0" w:type="auto"/>
          </w:tcPr>
          <w:p w:rsidR="004D19ED" w:rsidRDefault="004D19ED" w:rsidP="00900F2C">
            <w:r>
              <w:t>0.140</w:t>
            </w:r>
          </w:p>
        </w:tc>
      </w:tr>
      <w:tr w:rsidR="004D19ED" w:rsidTr="004D19ED">
        <w:trPr>
          <w:jc w:val="center"/>
        </w:trPr>
        <w:tc>
          <w:tcPr>
            <w:tcW w:w="0" w:type="auto"/>
          </w:tcPr>
          <w:p w:rsidR="004D19ED" w:rsidRDefault="004D19ED" w:rsidP="00900F2C">
            <w:r>
              <w:t>Week 2</w:t>
            </w:r>
          </w:p>
        </w:tc>
        <w:tc>
          <w:tcPr>
            <w:tcW w:w="0" w:type="auto"/>
          </w:tcPr>
          <w:p w:rsidR="004D19ED" w:rsidRDefault="004D19ED" w:rsidP="00900F2C">
            <w:r>
              <w:t>0.538</w:t>
            </w:r>
          </w:p>
        </w:tc>
        <w:tc>
          <w:tcPr>
            <w:tcW w:w="0" w:type="auto"/>
          </w:tcPr>
          <w:p w:rsidR="004D19ED" w:rsidRDefault="004D19ED" w:rsidP="00900F2C">
            <w:r>
              <w:t>(-0.188, 1.265)</w:t>
            </w:r>
          </w:p>
        </w:tc>
        <w:tc>
          <w:tcPr>
            <w:tcW w:w="0" w:type="auto"/>
          </w:tcPr>
          <w:p w:rsidR="004D19ED" w:rsidRDefault="004D19ED" w:rsidP="00900F2C">
            <w:r>
              <w:t>0.142</w:t>
            </w:r>
          </w:p>
        </w:tc>
        <w:tc>
          <w:tcPr>
            <w:tcW w:w="0" w:type="auto"/>
          </w:tcPr>
          <w:p w:rsidR="004D19ED" w:rsidRDefault="004D19ED" w:rsidP="00900F2C">
            <w:r>
              <w:t>-0.445</w:t>
            </w:r>
          </w:p>
        </w:tc>
        <w:tc>
          <w:tcPr>
            <w:tcW w:w="0" w:type="auto"/>
          </w:tcPr>
          <w:p w:rsidR="004D19ED" w:rsidRDefault="004D19ED" w:rsidP="00900F2C">
            <w:r>
              <w:t>(-1.000, 0.109)</w:t>
            </w:r>
          </w:p>
        </w:tc>
        <w:tc>
          <w:tcPr>
            <w:tcW w:w="0" w:type="auto"/>
          </w:tcPr>
          <w:p w:rsidR="004D19ED" w:rsidRDefault="004D19ED" w:rsidP="00900F2C">
            <w:r>
              <w:t>0.112</w:t>
            </w:r>
          </w:p>
        </w:tc>
      </w:tr>
      <w:tr w:rsidR="004D19ED" w:rsidTr="004D19ED">
        <w:trPr>
          <w:jc w:val="center"/>
        </w:trPr>
        <w:tc>
          <w:tcPr>
            <w:tcW w:w="0" w:type="auto"/>
          </w:tcPr>
          <w:p w:rsidR="004D19ED" w:rsidRDefault="004D19ED" w:rsidP="00900F2C">
            <w:r>
              <w:t>Week 4</w:t>
            </w:r>
          </w:p>
        </w:tc>
        <w:tc>
          <w:tcPr>
            <w:tcW w:w="0" w:type="auto"/>
          </w:tcPr>
          <w:p w:rsidR="004D19ED" w:rsidRDefault="004D19ED" w:rsidP="00900F2C">
            <w:r>
              <w:t>0.460</w:t>
            </w:r>
          </w:p>
        </w:tc>
        <w:tc>
          <w:tcPr>
            <w:tcW w:w="0" w:type="auto"/>
          </w:tcPr>
          <w:p w:rsidR="004D19ED" w:rsidRDefault="004D19ED" w:rsidP="00900F2C">
            <w:r>
              <w:t>(-0.271, 1.191)</w:t>
            </w:r>
          </w:p>
        </w:tc>
        <w:tc>
          <w:tcPr>
            <w:tcW w:w="0" w:type="auto"/>
          </w:tcPr>
          <w:p w:rsidR="004D19ED" w:rsidRDefault="004D19ED" w:rsidP="00900F2C">
            <w:r>
              <w:t>0.211</w:t>
            </w:r>
          </w:p>
        </w:tc>
        <w:tc>
          <w:tcPr>
            <w:tcW w:w="0" w:type="auto"/>
          </w:tcPr>
          <w:p w:rsidR="004D19ED" w:rsidRDefault="004D19ED" w:rsidP="00900F2C">
            <w:r>
              <w:t>-0.776</w:t>
            </w:r>
          </w:p>
        </w:tc>
        <w:tc>
          <w:tcPr>
            <w:tcW w:w="0" w:type="auto"/>
          </w:tcPr>
          <w:p w:rsidR="004D19ED" w:rsidRDefault="004D19ED" w:rsidP="00900F2C">
            <w:r>
              <w:t>(-1.402, -0.150)</w:t>
            </w:r>
          </w:p>
        </w:tc>
        <w:tc>
          <w:tcPr>
            <w:tcW w:w="0" w:type="auto"/>
          </w:tcPr>
          <w:p w:rsidR="004D19ED" w:rsidRDefault="004D19ED" w:rsidP="00900F2C">
            <w:r>
              <w:t>0.017</w:t>
            </w:r>
          </w:p>
        </w:tc>
      </w:tr>
      <w:tr w:rsidR="004D19ED" w:rsidTr="004D19ED">
        <w:trPr>
          <w:jc w:val="center"/>
        </w:trPr>
        <w:tc>
          <w:tcPr>
            <w:tcW w:w="0" w:type="auto"/>
          </w:tcPr>
          <w:p w:rsidR="004D19ED" w:rsidRDefault="004D19ED" w:rsidP="00900F2C">
            <w:r>
              <w:t>Week 8</w:t>
            </w:r>
          </w:p>
        </w:tc>
        <w:tc>
          <w:tcPr>
            <w:tcW w:w="0" w:type="auto"/>
          </w:tcPr>
          <w:p w:rsidR="004D19ED" w:rsidRDefault="004D19ED" w:rsidP="00900F2C">
            <w:r>
              <w:t>0.278</w:t>
            </w:r>
          </w:p>
        </w:tc>
        <w:tc>
          <w:tcPr>
            <w:tcW w:w="0" w:type="auto"/>
          </w:tcPr>
          <w:p w:rsidR="004D19ED" w:rsidRDefault="004D19ED" w:rsidP="00900F2C">
            <w:r>
              <w:t>(-0.392, 0.948)</w:t>
            </w:r>
          </w:p>
        </w:tc>
        <w:tc>
          <w:tcPr>
            <w:tcW w:w="0" w:type="auto"/>
          </w:tcPr>
          <w:p w:rsidR="004D19ED" w:rsidRDefault="004D19ED" w:rsidP="00900F2C">
            <w:r>
              <w:t>0.407</w:t>
            </w:r>
          </w:p>
        </w:tc>
        <w:tc>
          <w:tcPr>
            <w:tcW w:w="0" w:type="auto"/>
          </w:tcPr>
          <w:p w:rsidR="004D19ED" w:rsidRDefault="004D19ED" w:rsidP="00900F2C">
            <w:r>
              <w:t>-0.851</w:t>
            </w:r>
          </w:p>
        </w:tc>
        <w:tc>
          <w:tcPr>
            <w:tcW w:w="0" w:type="auto"/>
          </w:tcPr>
          <w:p w:rsidR="004D19ED" w:rsidRDefault="004D19ED" w:rsidP="00900F2C">
            <w:r>
              <w:t>(-1.470, -0.232)</w:t>
            </w:r>
          </w:p>
        </w:tc>
        <w:tc>
          <w:tcPr>
            <w:tcW w:w="0" w:type="auto"/>
          </w:tcPr>
          <w:p w:rsidR="004D19ED" w:rsidRDefault="004D19ED" w:rsidP="00900F2C">
            <w:r>
              <w:t>0.008</w:t>
            </w:r>
          </w:p>
        </w:tc>
      </w:tr>
      <w:tr w:rsidR="004D19ED" w:rsidTr="004D19ED">
        <w:trPr>
          <w:jc w:val="center"/>
        </w:trPr>
        <w:tc>
          <w:tcPr>
            <w:tcW w:w="0" w:type="auto"/>
          </w:tcPr>
          <w:p w:rsidR="004D19ED" w:rsidRDefault="004D19ED" w:rsidP="00900F2C">
            <w:r>
              <w:t>Week 12</w:t>
            </w:r>
          </w:p>
        </w:tc>
        <w:tc>
          <w:tcPr>
            <w:tcW w:w="0" w:type="auto"/>
          </w:tcPr>
          <w:p w:rsidR="004D19ED" w:rsidRDefault="004D19ED" w:rsidP="00900F2C">
            <w:r>
              <w:t>-0.095</w:t>
            </w:r>
          </w:p>
        </w:tc>
        <w:tc>
          <w:tcPr>
            <w:tcW w:w="0" w:type="auto"/>
          </w:tcPr>
          <w:p w:rsidR="004D19ED" w:rsidRDefault="004D19ED" w:rsidP="00900F2C">
            <w:r>
              <w:t>(-0.792, 0.603)</w:t>
            </w:r>
          </w:p>
        </w:tc>
        <w:tc>
          <w:tcPr>
            <w:tcW w:w="0" w:type="auto"/>
          </w:tcPr>
          <w:p w:rsidR="004D19ED" w:rsidRDefault="004D19ED" w:rsidP="00900F2C">
            <w:r>
              <w:t>0.785</w:t>
            </w:r>
          </w:p>
        </w:tc>
        <w:tc>
          <w:tcPr>
            <w:tcW w:w="0" w:type="auto"/>
          </w:tcPr>
          <w:p w:rsidR="004D19ED" w:rsidRDefault="004D19ED" w:rsidP="00900F2C">
            <w:r>
              <w:t>-1.106</w:t>
            </w:r>
          </w:p>
        </w:tc>
        <w:tc>
          <w:tcPr>
            <w:tcW w:w="0" w:type="auto"/>
          </w:tcPr>
          <w:p w:rsidR="004D19ED" w:rsidRDefault="004D19ED" w:rsidP="00900F2C">
            <w:r>
              <w:t>(-1.771, -0.440)</w:t>
            </w:r>
          </w:p>
        </w:tc>
        <w:tc>
          <w:tcPr>
            <w:tcW w:w="0" w:type="auto"/>
          </w:tcPr>
          <w:p w:rsidR="004D19ED" w:rsidRDefault="004D19ED" w:rsidP="00900F2C">
            <w:r>
              <w:t>0.002</w:t>
            </w:r>
          </w:p>
        </w:tc>
      </w:tr>
      <w:tr w:rsidR="004D19ED" w:rsidTr="004D19ED">
        <w:trPr>
          <w:jc w:val="center"/>
        </w:trPr>
        <w:tc>
          <w:tcPr>
            <w:tcW w:w="0" w:type="auto"/>
          </w:tcPr>
          <w:p w:rsidR="004D19ED" w:rsidRDefault="004D19ED" w:rsidP="00900F2C">
            <w:r>
              <w:t>Week 24</w:t>
            </w:r>
          </w:p>
        </w:tc>
        <w:tc>
          <w:tcPr>
            <w:tcW w:w="0" w:type="auto"/>
          </w:tcPr>
          <w:p w:rsidR="004D19ED" w:rsidRDefault="004D19ED" w:rsidP="00900F2C">
            <w:r>
              <w:t>-0.255</w:t>
            </w:r>
          </w:p>
        </w:tc>
        <w:tc>
          <w:tcPr>
            <w:tcW w:w="0" w:type="auto"/>
          </w:tcPr>
          <w:p w:rsidR="004D19ED" w:rsidRDefault="004D19ED" w:rsidP="00900F2C">
            <w:r>
              <w:t>(-0.861, 0.350)</w:t>
            </w:r>
          </w:p>
        </w:tc>
        <w:tc>
          <w:tcPr>
            <w:tcW w:w="0" w:type="auto"/>
          </w:tcPr>
          <w:p w:rsidR="004D19ED" w:rsidRDefault="004D19ED" w:rsidP="00900F2C">
            <w:r>
              <w:t>0.393</w:t>
            </w:r>
          </w:p>
        </w:tc>
        <w:tc>
          <w:tcPr>
            <w:tcW w:w="0" w:type="auto"/>
          </w:tcPr>
          <w:p w:rsidR="004D19ED" w:rsidRDefault="004D19ED" w:rsidP="00900F2C">
            <w:r>
              <w:t>-1.379</w:t>
            </w:r>
          </w:p>
        </w:tc>
        <w:tc>
          <w:tcPr>
            <w:tcW w:w="0" w:type="auto"/>
          </w:tcPr>
          <w:p w:rsidR="004D19ED" w:rsidRDefault="004D19ED" w:rsidP="00900F2C">
            <w:r>
              <w:t>(-2.064, -0.694)</w:t>
            </w:r>
          </w:p>
        </w:tc>
        <w:tc>
          <w:tcPr>
            <w:tcW w:w="0" w:type="auto"/>
          </w:tcPr>
          <w:p w:rsidR="004D19ED" w:rsidRDefault="004D19ED" w:rsidP="00900F2C">
            <w:r>
              <w:t>&lt;0.001</w:t>
            </w:r>
          </w:p>
        </w:tc>
      </w:tr>
      <w:tr w:rsidR="004D19ED" w:rsidTr="004D19ED">
        <w:trPr>
          <w:jc w:val="center"/>
        </w:trPr>
        <w:tc>
          <w:tcPr>
            <w:tcW w:w="0" w:type="auto"/>
          </w:tcPr>
          <w:p w:rsidR="004D19ED" w:rsidRDefault="004D19ED" w:rsidP="00900F2C">
            <w:r>
              <w:t>Week 36</w:t>
            </w:r>
          </w:p>
        </w:tc>
        <w:tc>
          <w:tcPr>
            <w:tcW w:w="0" w:type="auto"/>
          </w:tcPr>
          <w:p w:rsidR="004D19ED" w:rsidRDefault="004D19ED" w:rsidP="00900F2C">
            <w:r>
              <w:t>-0.210</w:t>
            </w:r>
          </w:p>
        </w:tc>
        <w:tc>
          <w:tcPr>
            <w:tcW w:w="0" w:type="auto"/>
          </w:tcPr>
          <w:p w:rsidR="004D19ED" w:rsidRDefault="004D19ED" w:rsidP="00900F2C">
            <w:r>
              <w:t>(-0.837, 0.416)</w:t>
            </w:r>
          </w:p>
        </w:tc>
        <w:tc>
          <w:tcPr>
            <w:tcW w:w="0" w:type="auto"/>
          </w:tcPr>
          <w:p w:rsidR="004D19ED" w:rsidRDefault="004D19ED" w:rsidP="00900F2C">
            <w:r>
              <w:t>0.501</w:t>
            </w:r>
          </w:p>
        </w:tc>
        <w:tc>
          <w:tcPr>
            <w:tcW w:w="0" w:type="auto"/>
          </w:tcPr>
          <w:p w:rsidR="004D19ED" w:rsidRDefault="004D19ED" w:rsidP="00900F2C">
            <w:r>
              <w:t>-1.500</w:t>
            </w:r>
          </w:p>
        </w:tc>
        <w:tc>
          <w:tcPr>
            <w:tcW w:w="0" w:type="auto"/>
          </w:tcPr>
          <w:p w:rsidR="004D19ED" w:rsidRDefault="004D19ED" w:rsidP="00900F2C">
            <w:r>
              <w:t>(-2.129, -0.871)</w:t>
            </w:r>
          </w:p>
        </w:tc>
        <w:tc>
          <w:tcPr>
            <w:tcW w:w="0" w:type="auto"/>
          </w:tcPr>
          <w:p w:rsidR="004D19ED" w:rsidRDefault="004D19ED" w:rsidP="00900F2C">
            <w:r>
              <w:t>&lt;0.001</w:t>
            </w:r>
          </w:p>
        </w:tc>
      </w:tr>
      <w:tr w:rsidR="004D19ED" w:rsidTr="004D19ED">
        <w:trPr>
          <w:jc w:val="center"/>
        </w:trPr>
        <w:tc>
          <w:tcPr>
            <w:tcW w:w="0" w:type="auto"/>
          </w:tcPr>
          <w:p w:rsidR="004D19ED" w:rsidRDefault="004D19ED" w:rsidP="00900F2C">
            <w:r>
              <w:t>Week 48</w:t>
            </w:r>
          </w:p>
        </w:tc>
        <w:tc>
          <w:tcPr>
            <w:tcW w:w="0" w:type="auto"/>
          </w:tcPr>
          <w:p w:rsidR="004D19ED" w:rsidRDefault="004D19ED" w:rsidP="00900F2C">
            <w:r>
              <w:t>-0.062</w:t>
            </w:r>
          </w:p>
        </w:tc>
        <w:tc>
          <w:tcPr>
            <w:tcW w:w="0" w:type="auto"/>
          </w:tcPr>
          <w:p w:rsidR="004D19ED" w:rsidRDefault="004D19ED" w:rsidP="00900F2C">
            <w:r>
              <w:t>(-0.676, 0.551)</w:t>
            </w:r>
          </w:p>
        </w:tc>
        <w:tc>
          <w:tcPr>
            <w:tcW w:w="0" w:type="auto"/>
          </w:tcPr>
          <w:p w:rsidR="004D19ED" w:rsidRDefault="004D19ED" w:rsidP="00900F2C">
            <w:r>
              <w:t>0.838</w:t>
            </w:r>
          </w:p>
        </w:tc>
        <w:tc>
          <w:tcPr>
            <w:tcW w:w="0" w:type="auto"/>
          </w:tcPr>
          <w:p w:rsidR="004D19ED" w:rsidRDefault="004D19ED" w:rsidP="00900F2C">
            <w:r>
              <w:t>-1.436</w:t>
            </w:r>
          </w:p>
        </w:tc>
        <w:tc>
          <w:tcPr>
            <w:tcW w:w="0" w:type="auto"/>
          </w:tcPr>
          <w:p w:rsidR="004D19ED" w:rsidRDefault="004D19ED" w:rsidP="00900F2C">
            <w:r>
              <w:t>(-2.173, -0.699)</w:t>
            </w:r>
          </w:p>
        </w:tc>
        <w:tc>
          <w:tcPr>
            <w:tcW w:w="0" w:type="auto"/>
          </w:tcPr>
          <w:p w:rsidR="004D19ED" w:rsidRDefault="004D19ED" w:rsidP="00900F2C">
            <w:r>
              <w:t>&lt;0.001</w:t>
            </w:r>
          </w:p>
        </w:tc>
      </w:tr>
    </w:tbl>
    <w:p w:rsidR="004D19ED" w:rsidRDefault="004D19ED" w:rsidP="00900F2C"/>
    <w:p w:rsidR="00532E25" w:rsidRDefault="002B7CB5" w:rsidP="00AD2E23">
      <w:pPr>
        <w:spacing w:line="360" w:lineRule="auto"/>
        <w:jc w:val="both"/>
        <w:rPr>
          <w:rFonts w:ascii="Arial" w:hAnsi="Arial" w:cs="Arial"/>
        </w:rPr>
      </w:pPr>
      <w:r>
        <w:rPr>
          <w:rFonts w:ascii="Arial" w:hAnsi="Arial" w:cs="Arial"/>
        </w:rPr>
        <w:t>The T</w:t>
      </w:r>
      <w:r w:rsidR="00532E25" w:rsidRPr="004C3CEB">
        <w:rPr>
          <w:rFonts w:ascii="Arial" w:hAnsi="Arial" w:cs="Arial"/>
        </w:rPr>
        <w:t>-sco</w:t>
      </w:r>
      <w:r w:rsidR="003F0A8B">
        <w:rPr>
          <w:rFonts w:ascii="Arial" w:hAnsi="Arial" w:cs="Arial"/>
        </w:rPr>
        <w:t>re bone marker plot in figure 73</w:t>
      </w:r>
      <w:r w:rsidR="00532E25" w:rsidRPr="004C3CEB">
        <w:rPr>
          <w:rFonts w:ascii="Arial" w:hAnsi="Arial" w:cs="Arial"/>
        </w:rPr>
        <w:t xml:space="preserve"> shows how bone turnover and bone balance changes over 48 weeks of raloxifene treatment relative to premenopausal women.</w:t>
      </w:r>
      <w:r w:rsidR="003673D9" w:rsidRPr="004C3CEB">
        <w:rPr>
          <w:rFonts w:ascii="Arial" w:hAnsi="Arial" w:cs="Arial"/>
        </w:rPr>
        <w:t xml:space="preserve"> </w:t>
      </w:r>
      <w:r w:rsidR="0002677F" w:rsidRPr="004C3CEB">
        <w:rPr>
          <w:rFonts w:ascii="Arial" w:hAnsi="Arial" w:cs="Arial"/>
        </w:rPr>
        <w:t>Prior to treatment (at baseline) postmenopausal women with osteopenia have a high bone turnover and a normal bone balance relative t</w:t>
      </w:r>
      <w:r w:rsidR="00453C2A">
        <w:rPr>
          <w:rFonts w:ascii="Arial" w:hAnsi="Arial" w:cs="Arial"/>
        </w:rPr>
        <w:t>o healthy premenopausal women</w:t>
      </w:r>
      <w:r w:rsidR="0002677F" w:rsidRPr="004C3CEB">
        <w:rPr>
          <w:rFonts w:ascii="Arial" w:hAnsi="Arial" w:cs="Arial"/>
        </w:rPr>
        <w:t>. After 48 weeks of treatment the women are in a st</w:t>
      </w:r>
      <w:r w:rsidR="004C3CEB" w:rsidRPr="004C3CEB">
        <w:rPr>
          <w:rFonts w:ascii="Arial" w:hAnsi="Arial" w:cs="Arial"/>
        </w:rPr>
        <w:t>ate of low bone turnover and bone balance remained unch</w:t>
      </w:r>
      <w:r w:rsidR="00453C2A">
        <w:rPr>
          <w:rFonts w:ascii="Arial" w:hAnsi="Arial" w:cs="Arial"/>
        </w:rPr>
        <w:t>anged.</w:t>
      </w:r>
    </w:p>
    <w:p w:rsidR="00F1233F" w:rsidRPr="002B7CB5" w:rsidRDefault="00685609" w:rsidP="00406169">
      <w:pPr>
        <w:spacing w:line="360" w:lineRule="auto"/>
        <w:jc w:val="center"/>
        <w:rPr>
          <w:rFonts w:ascii="Arial" w:hAnsi="Arial" w:cs="Arial"/>
        </w:rPr>
      </w:pPr>
      <w:r w:rsidRPr="00212439">
        <w:rPr>
          <w:noProof/>
          <w:lang w:eastAsia="zh-CN"/>
        </w:rPr>
        <mc:AlternateContent>
          <mc:Choice Requires="wps">
            <w:drawing>
              <wp:anchor distT="0" distB="0" distL="114300" distR="114300" simplePos="0" relativeHeight="252344832" behindDoc="0" locked="0" layoutInCell="1" allowOverlap="1" wp14:anchorId="429F8B6F" wp14:editId="7DB50713">
                <wp:simplePos x="0" y="0"/>
                <wp:positionH relativeFrom="column">
                  <wp:posOffset>2855595</wp:posOffset>
                </wp:positionH>
                <wp:positionV relativeFrom="paragraph">
                  <wp:posOffset>1977390</wp:posOffset>
                </wp:positionV>
                <wp:extent cx="1538605" cy="522605"/>
                <wp:effectExtent l="0" t="0" r="0" b="0"/>
                <wp:wrapNone/>
                <wp:docPr id="18697"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48 </w:t>
                            </w:r>
                          </w:p>
                        </w:txbxContent>
                      </wps:txbx>
                      <wps:bodyPr wrap="none" rtlCol="0">
                        <a:spAutoFit/>
                      </wps:bodyPr>
                    </wps:wsp>
                  </a:graphicData>
                </a:graphic>
              </wp:anchor>
            </w:drawing>
          </mc:Choice>
          <mc:Fallback>
            <w:pict>
              <v:shape w14:anchorId="429F8B6F" id="_x0000_s1179" type="#_x0000_t202" style="position:absolute;left:0;text-align:left;margin-left:224.85pt;margin-top:155.7pt;width:121.15pt;height:41.15pt;z-index:252344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48 </w:t>
                      </w:r>
                    </w:p>
                  </w:txbxContent>
                </v:textbox>
              </v:shape>
            </w:pict>
          </mc:Fallback>
        </mc:AlternateContent>
      </w:r>
      <w:r w:rsidRPr="00212439">
        <w:rPr>
          <w:noProof/>
          <w:lang w:eastAsia="zh-CN"/>
        </w:rPr>
        <mc:AlternateContent>
          <mc:Choice Requires="wps">
            <w:drawing>
              <wp:anchor distT="0" distB="0" distL="114300" distR="114300" simplePos="0" relativeHeight="252148224" behindDoc="0" locked="0" layoutInCell="1" allowOverlap="1" wp14:anchorId="4A2B2C3E" wp14:editId="754D2C59">
                <wp:simplePos x="0" y="0"/>
                <wp:positionH relativeFrom="column">
                  <wp:posOffset>2781300</wp:posOffset>
                </wp:positionH>
                <wp:positionV relativeFrom="paragraph">
                  <wp:posOffset>2059305</wp:posOffset>
                </wp:positionV>
                <wp:extent cx="1538605" cy="522605"/>
                <wp:effectExtent l="0" t="0" r="0" b="0"/>
                <wp:wrapNone/>
                <wp:docPr id="18695"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36 </w:t>
                            </w:r>
                          </w:p>
                        </w:txbxContent>
                      </wps:txbx>
                      <wps:bodyPr wrap="none" rtlCol="0">
                        <a:spAutoFit/>
                      </wps:bodyPr>
                    </wps:wsp>
                  </a:graphicData>
                </a:graphic>
              </wp:anchor>
            </w:drawing>
          </mc:Choice>
          <mc:Fallback>
            <w:pict>
              <v:shape w14:anchorId="4A2B2C3E" id="_x0000_s1180" type="#_x0000_t202" style="position:absolute;left:0;text-align:left;margin-left:219pt;margin-top:162.15pt;width:121.15pt;height:41.15pt;z-index:25214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36 </w:t>
                      </w:r>
                    </w:p>
                  </w:txbxContent>
                </v:textbox>
              </v:shape>
            </w:pict>
          </mc:Fallback>
        </mc:AlternateContent>
      </w:r>
      <w:r w:rsidRPr="00212439">
        <w:rPr>
          <w:noProof/>
          <w:lang w:eastAsia="zh-CN"/>
        </w:rPr>
        <mc:AlternateContent>
          <mc:Choice Requires="wps">
            <w:drawing>
              <wp:anchor distT="0" distB="0" distL="114300" distR="114300" simplePos="0" relativeHeight="251653632" behindDoc="0" locked="0" layoutInCell="1" allowOverlap="1" wp14:anchorId="520E403D" wp14:editId="07C34665">
                <wp:simplePos x="0" y="0"/>
                <wp:positionH relativeFrom="column">
                  <wp:posOffset>2338705</wp:posOffset>
                </wp:positionH>
                <wp:positionV relativeFrom="paragraph">
                  <wp:posOffset>2054860</wp:posOffset>
                </wp:positionV>
                <wp:extent cx="1538605" cy="522605"/>
                <wp:effectExtent l="0" t="0" r="0" b="0"/>
                <wp:wrapNone/>
                <wp:docPr id="18693"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24 </w:t>
                            </w:r>
                          </w:p>
                        </w:txbxContent>
                      </wps:txbx>
                      <wps:bodyPr wrap="none" rtlCol="0">
                        <a:spAutoFit/>
                      </wps:bodyPr>
                    </wps:wsp>
                  </a:graphicData>
                </a:graphic>
              </wp:anchor>
            </w:drawing>
          </mc:Choice>
          <mc:Fallback>
            <w:pict>
              <v:shape w14:anchorId="520E403D" id="_x0000_s1181" type="#_x0000_t202" style="position:absolute;left:0;text-align:left;margin-left:184.15pt;margin-top:161.8pt;width:121.15pt;height:41.15pt;z-index:25165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24 </w:t>
                      </w:r>
                    </w:p>
                  </w:txbxContent>
                </v:textbox>
              </v:shape>
            </w:pict>
          </mc:Fallback>
        </mc:AlternateContent>
      </w:r>
      <w:r w:rsidRPr="00212439">
        <w:rPr>
          <w:noProof/>
          <w:lang w:eastAsia="zh-CN"/>
        </w:rPr>
        <mc:AlternateContent>
          <mc:Choice Requires="wps">
            <w:drawing>
              <wp:anchor distT="0" distB="0" distL="114300" distR="114300" simplePos="0" relativeHeight="251913728" behindDoc="0" locked="0" layoutInCell="1" allowOverlap="1" wp14:anchorId="6970492F" wp14:editId="13B48EA2">
                <wp:simplePos x="0" y="0"/>
                <wp:positionH relativeFrom="column">
                  <wp:posOffset>2303145</wp:posOffset>
                </wp:positionH>
                <wp:positionV relativeFrom="paragraph">
                  <wp:posOffset>1858645</wp:posOffset>
                </wp:positionV>
                <wp:extent cx="1538605" cy="200025"/>
                <wp:effectExtent l="0" t="0" r="0" b="0"/>
                <wp:wrapNone/>
                <wp:docPr id="18694" name="TextBox 24"/>
                <wp:cNvGraphicFramePr/>
                <a:graphic xmlns:a="http://schemas.openxmlformats.org/drawingml/2006/main">
                  <a:graphicData uri="http://schemas.microsoft.com/office/word/2010/wordprocessingShape">
                    <wps:wsp>
                      <wps:cNvSpPr txBox="1"/>
                      <wps:spPr>
                        <a:xfrm>
                          <a:off x="0" y="0"/>
                          <a:ext cx="1538605" cy="20002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12 </w:t>
                            </w:r>
                          </w:p>
                        </w:txbxContent>
                      </wps:txbx>
                      <wps:bodyPr wrap="none" rtlCol="0">
                        <a:noAutofit/>
                      </wps:bodyPr>
                    </wps:wsp>
                  </a:graphicData>
                </a:graphic>
                <wp14:sizeRelV relativeFrom="margin">
                  <wp14:pctHeight>0</wp14:pctHeight>
                </wp14:sizeRelV>
              </wp:anchor>
            </w:drawing>
          </mc:Choice>
          <mc:Fallback>
            <w:pict>
              <v:shape w14:anchorId="6970492F" id="_x0000_s1182" type="#_x0000_t202" style="position:absolute;left:0;text-align:left;margin-left:181.35pt;margin-top:146.35pt;width:121.15pt;height:15.75pt;z-index:251913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" filled="f" stroked="f">
                <v:textbo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12 </w:t>
                      </w:r>
                    </w:p>
                  </w:txbxContent>
                </v:textbox>
              </v:shape>
            </w:pict>
          </mc:Fallback>
        </mc:AlternateContent>
      </w:r>
      <w:r w:rsidRPr="00212439">
        <w:rPr>
          <w:noProof/>
          <w:lang w:eastAsia="zh-CN"/>
        </w:rPr>
        <mc:AlternateContent>
          <mc:Choice Requires="wps">
            <w:drawing>
              <wp:anchor distT="0" distB="0" distL="114300" distR="114300" simplePos="0" relativeHeight="251482624" behindDoc="0" locked="0" layoutInCell="1" allowOverlap="1" wp14:anchorId="10D08850" wp14:editId="2B0A2607">
                <wp:simplePos x="0" y="0"/>
                <wp:positionH relativeFrom="column">
                  <wp:posOffset>2823210</wp:posOffset>
                </wp:positionH>
                <wp:positionV relativeFrom="paragraph">
                  <wp:posOffset>1854835</wp:posOffset>
                </wp:positionV>
                <wp:extent cx="1538605" cy="522605"/>
                <wp:effectExtent l="0" t="0" r="0" b="0"/>
                <wp:wrapNone/>
                <wp:docPr id="18692"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Week 8</w:t>
                            </w:r>
                          </w:p>
                        </w:txbxContent>
                      </wps:txbx>
                      <wps:bodyPr wrap="none" rtlCol="0">
                        <a:spAutoFit/>
                      </wps:bodyPr>
                    </wps:wsp>
                  </a:graphicData>
                </a:graphic>
              </wp:anchor>
            </w:drawing>
          </mc:Choice>
          <mc:Fallback>
            <w:pict>
              <v:shape w14:anchorId="10D08850" id="_x0000_s1183" type="#_x0000_t202" style="position:absolute;left:0;text-align:left;margin-left:222.3pt;margin-top:146.05pt;width:121.15pt;height:41.15pt;z-index:251482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Week 8</w:t>
                      </w:r>
                    </w:p>
                  </w:txbxContent>
                </v:textbox>
              </v:shape>
            </w:pict>
          </mc:Fallback>
        </mc:AlternateContent>
      </w:r>
      <w:r w:rsidRPr="00212439">
        <w:rPr>
          <w:noProof/>
          <w:lang w:eastAsia="zh-CN"/>
        </w:rPr>
        <mc:AlternateContent>
          <mc:Choice Requires="wps">
            <w:drawing>
              <wp:anchor distT="0" distB="0" distL="114300" distR="114300" simplePos="0" relativeHeight="252579328" behindDoc="0" locked="0" layoutInCell="1" allowOverlap="1" wp14:anchorId="3F61A087" wp14:editId="1F58278C">
                <wp:simplePos x="0" y="0"/>
                <wp:positionH relativeFrom="column">
                  <wp:posOffset>2924175</wp:posOffset>
                </wp:positionH>
                <wp:positionV relativeFrom="paragraph">
                  <wp:posOffset>1783715</wp:posOffset>
                </wp:positionV>
                <wp:extent cx="1538605" cy="522605"/>
                <wp:effectExtent l="0" t="0" r="0" b="0"/>
                <wp:wrapNone/>
                <wp:docPr id="18583"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B7CB5">
                            <w:pPr>
                              <w:spacing w:after="0"/>
                              <w:textAlignment w:val="baseline"/>
                              <w:rPr>
                                <w:b/>
                                <w:sz w:val="12"/>
                                <w:szCs w:val="12"/>
                              </w:rPr>
                            </w:pPr>
                            <w:r>
                              <w:rPr>
                                <w:rFonts w:ascii="Arial" w:hAnsi="Arial" w:cs="Arial"/>
                                <w:b/>
                                <w:color w:val="333D47"/>
                                <w:kern w:val="24"/>
                                <w:sz w:val="12"/>
                                <w:szCs w:val="12"/>
                              </w:rPr>
                              <w:t>Week 4</w:t>
                            </w:r>
                            <w:r w:rsidRPr="0075240B">
                              <w:rPr>
                                <w:rFonts w:ascii="Arial" w:hAnsi="Arial" w:cs="Arial"/>
                                <w:b/>
                                <w:color w:val="333D47"/>
                                <w:kern w:val="24"/>
                                <w:sz w:val="12"/>
                                <w:szCs w:val="12"/>
                              </w:rPr>
                              <w:t xml:space="preserve"> </w:t>
                            </w:r>
                          </w:p>
                        </w:txbxContent>
                      </wps:txbx>
                      <wps:bodyPr wrap="none" rtlCol="0">
                        <a:spAutoFit/>
                      </wps:bodyPr>
                    </wps:wsp>
                  </a:graphicData>
                </a:graphic>
              </wp:anchor>
            </w:drawing>
          </mc:Choice>
          <mc:Fallback>
            <w:pict>
              <v:shape w14:anchorId="3F61A087" id="_x0000_s1184" type="#_x0000_t202" style="position:absolute;left:0;text-align:left;margin-left:230.25pt;margin-top:140.45pt;width:121.15pt;height:41.15pt;z-index:252579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" filled="f" stroked="f">
                <v:textbox style="mso-fit-shape-to-text:t">
                  <w:txbxContent>
                    <w:p w:rsidR="004166BC" w:rsidRPr="0075240B" w:rsidRDefault="004166BC" w:rsidP="002B7CB5">
                      <w:pPr>
                        <w:spacing w:after="0"/>
                        <w:textAlignment w:val="baseline"/>
                        <w:rPr>
                          <w:b/>
                          <w:sz w:val="12"/>
                          <w:szCs w:val="12"/>
                        </w:rPr>
                      </w:pPr>
                      <w:r>
                        <w:rPr>
                          <w:rFonts w:ascii="Arial" w:hAnsi="Arial" w:cs="Arial"/>
                          <w:b/>
                          <w:color w:val="333D47"/>
                          <w:kern w:val="24"/>
                          <w:sz w:val="12"/>
                          <w:szCs w:val="12"/>
                        </w:rPr>
                        <w:t>Week 4</w:t>
                      </w:r>
                      <w:r w:rsidRPr="0075240B">
                        <w:rPr>
                          <w:rFonts w:ascii="Arial" w:hAnsi="Arial" w:cs="Arial"/>
                          <w:b/>
                          <w:color w:val="333D47"/>
                          <w:kern w:val="24"/>
                          <w:sz w:val="12"/>
                          <w:szCs w:val="12"/>
                        </w:rPr>
                        <w:t xml:space="preserve"> </w:t>
                      </w:r>
                    </w:p>
                  </w:txbxContent>
                </v:textbox>
              </v:shape>
            </w:pict>
          </mc:Fallback>
        </mc:AlternateContent>
      </w:r>
      <w:r w:rsidRPr="00212439">
        <w:rPr>
          <w:noProof/>
          <w:lang w:eastAsia="zh-CN"/>
        </w:rPr>
        <mc:AlternateContent>
          <mc:Choice Requires="wps">
            <w:drawing>
              <wp:anchor distT="0" distB="0" distL="114300" distR="114300" simplePos="0" relativeHeight="251241984" behindDoc="0" locked="0" layoutInCell="1" allowOverlap="1" wp14:anchorId="74FBC199" wp14:editId="793EF8CC">
                <wp:simplePos x="0" y="0"/>
                <wp:positionH relativeFrom="column">
                  <wp:posOffset>3035300</wp:posOffset>
                </wp:positionH>
                <wp:positionV relativeFrom="paragraph">
                  <wp:posOffset>1662430</wp:posOffset>
                </wp:positionV>
                <wp:extent cx="1538605" cy="522605"/>
                <wp:effectExtent l="0" t="0" r="0" b="0"/>
                <wp:wrapNone/>
                <wp:docPr id="18690"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2 </w:t>
                            </w:r>
                          </w:p>
                        </w:txbxContent>
                      </wps:txbx>
                      <wps:bodyPr wrap="none" rtlCol="0">
                        <a:spAutoFit/>
                      </wps:bodyPr>
                    </wps:wsp>
                  </a:graphicData>
                </a:graphic>
              </wp:anchor>
            </w:drawing>
          </mc:Choice>
          <mc:Fallback>
            <w:pict>
              <v:shape w14:anchorId="74FBC199" id="_x0000_s1185" type="#_x0000_t202" style="position:absolute;left:0;text-align:left;margin-left:239pt;margin-top:130.9pt;width:121.15pt;height:41.15pt;z-index:251241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2 </w:t>
                      </w:r>
                    </w:p>
                  </w:txbxContent>
                </v:textbox>
              </v:shape>
            </w:pict>
          </mc:Fallback>
        </mc:AlternateContent>
      </w:r>
      <w:r w:rsidRPr="00212439">
        <w:rPr>
          <w:noProof/>
          <w:lang w:eastAsia="zh-CN"/>
        </w:rPr>
        <mc:AlternateContent>
          <mc:Choice Requires="wps">
            <w:drawing>
              <wp:anchor distT="0" distB="0" distL="114300" distR="114300" simplePos="0" relativeHeight="251095552" behindDoc="0" locked="0" layoutInCell="1" allowOverlap="1" wp14:anchorId="7FDBB1CD" wp14:editId="2A4103E1">
                <wp:simplePos x="0" y="0"/>
                <wp:positionH relativeFrom="column">
                  <wp:posOffset>2933700</wp:posOffset>
                </wp:positionH>
                <wp:positionV relativeFrom="paragraph">
                  <wp:posOffset>1473835</wp:posOffset>
                </wp:positionV>
                <wp:extent cx="1538605" cy="522605"/>
                <wp:effectExtent l="0" t="0" r="0" b="0"/>
                <wp:wrapNone/>
                <wp:docPr id="18689"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1 </w:t>
                            </w:r>
                          </w:p>
                        </w:txbxContent>
                      </wps:txbx>
                      <wps:bodyPr wrap="none" rtlCol="0">
                        <a:spAutoFit/>
                      </wps:bodyPr>
                    </wps:wsp>
                  </a:graphicData>
                </a:graphic>
              </wp:anchor>
            </w:drawing>
          </mc:Choice>
          <mc:Fallback>
            <w:pict>
              <v:shape w14:anchorId="7FDBB1CD" id="_x0000_s1186" type="#_x0000_t202" style="position:absolute;left:0;text-align:left;margin-left:231pt;margin-top:116.05pt;width:121.15pt;height:41.15pt;z-index:251095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Week 1 </w:t>
                      </w:r>
                    </w:p>
                  </w:txbxContent>
                </v:textbox>
              </v:shape>
            </w:pict>
          </mc:Fallback>
        </mc:AlternateContent>
      </w:r>
      <w:r w:rsidRPr="00212439">
        <w:rPr>
          <w:noProof/>
          <w:lang w:eastAsia="zh-CN"/>
        </w:rPr>
        <mc:AlternateContent>
          <mc:Choice Requires="wps">
            <w:drawing>
              <wp:anchor distT="0" distB="0" distL="114300" distR="114300" simplePos="0" relativeHeight="250909184" behindDoc="0" locked="0" layoutInCell="1" allowOverlap="1" wp14:anchorId="1B3E92B3" wp14:editId="4A8EAD33">
                <wp:simplePos x="0" y="0"/>
                <wp:positionH relativeFrom="column">
                  <wp:posOffset>2873375</wp:posOffset>
                </wp:positionH>
                <wp:positionV relativeFrom="paragraph">
                  <wp:posOffset>1311910</wp:posOffset>
                </wp:positionV>
                <wp:extent cx="1538605" cy="522605"/>
                <wp:effectExtent l="0" t="0" r="0" b="0"/>
                <wp:wrapNone/>
                <wp:docPr id="18688"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BL1 </w:t>
                            </w:r>
                          </w:p>
                        </w:txbxContent>
                      </wps:txbx>
                      <wps:bodyPr wrap="none" rtlCol="0">
                        <a:spAutoFit/>
                      </wps:bodyPr>
                    </wps:wsp>
                  </a:graphicData>
                </a:graphic>
              </wp:anchor>
            </w:drawing>
          </mc:Choice>
          <mc:Fallback>
            <w:pict>
              <v:shape w14:anchorId="1B3E92B3" id="_x0000_s1187" type="#_x0000_t202" style="position:absolute;left:0;text-align:left;margin-left:226.25pt;margin-top:103.3pt;width:121.15pt;height:41.15pt;z-index:25090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" filled="f" stroked="f">
                <v:textbox style="mso-fit-shape-to-text:t">
                  <w:txbxContent>
                    <w:p w:rsidR="004166BC" w:rsidRPr="0075240B" w:rsidRDefault="004166BC" w:rsidP="00212439">
                      <w:pPr>
                        <w:spacing w:after="0"/>
                        <w:textAlignment w:val="baseline"/>
                        <w:rPr>
                          <w:b/>
                          <w:sz w:val="12"/>
                          <w:szCs w:val="12"/>
                        </w:rPr>
                      </w:pPr>
                      <w:r w:rsidRPr="0075240B">
                        <w:rPr>
                          <w:rFonts w:ascii="Arial" w:hAnsi="Arial" w:cs="Arial"/>
                          <w:b/>
                          <w:color w:val="333D47"/>
                          <w:kern w:val="24"/>
                          <w:sz w:val="12"/>
                          <w:szCs w:val="12"/>
                        </w:rPr>
                        <w:t xml:space="preserve">BL1 </w:t>
                      </w:r>
                    </w:p>
                  </w:txbxContent>
                </v:textbox>
              </v:shape>
            </w:pict>
          </mc:Fallback>
        </mc:AlternateContent>
      </w:r>
      <w:r w:rsidR="00AE1AEA">
        <w:rPr>
          <w:rFonts w:ascii="Arial" w:hAnsi="Arial" w:cs="Arial"/>
          <w:noProof/>
          <w:lang w:eastAsia="zh-CN"/>
        </w:rPr>
        <w:drawing>
          <wp:inline distT="0" distB="0" distL="0" distR="0" wp14:anchorId="741ECEB0" wp14:editId="5CEC30F8">
            <wp:extent cx="4419600" cy="4427220"/>
            <wp:effectExtent l="0" t="0" r="0" b="0"/>
            <wp:docPr id="18556" name="Picture 1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19600" cy="4427220"/>
                    </a:xfrm>
                    <a:prstGeom prst="rect">
                      <a:avLst/>
                    </a:prstGeom>
                    <a:noFill/>
                  </pic:spPr>
                </pic:pic>
              </a:graphicData>
            </a:graphic>
          </wp:inline>
        </w:drawing>
      </w:r>
      <w:r w:rsidR="0075240B" w:rsidRPr="00212439">
        <w:rPr>
          <w:noProof/>
          <w:lang w:eastAsia="zh-CN"/>
        </w:rPr>
        <mc:AlternateContent>
          <mc:Choice Requires="wps">
            <w:drawing>
              <wp:anchor distT="0" distB="0" distL="114300" distR="114300" simplePos="0" relativeHeight="251301376" behindDoc="0" locked="0" layoutInCell="1" allowOverlap="1" wp14:anchorId="6C1F7DD2" wp14:editId="0F2AD86E">
                <wp:simplePos x="0" y="0"/>
                <wp:positionH relativeFrom="column">
                  <wp:posOffset>3038475</wp:posOffset>
                </wp:positionH>
                <wp:positionV relativeFrom="paragraph">
                  <wp:posOffset>1800225</wp:posOffset>
                </wp:positionV>
                <wp:extent cx="1538605" cy="522605"/>
                <wp:effectExtent l="0" t="0" r="0" b="0"/>
                <wp:wrapNone/>
                <wp:docPr id="18691" name="TextBox 24"/>
                <wp:cNvGraphicFramePr/>
                <a:graphic xmlns:a="http://schemas.openxmlformats.org/drawingml/2006/main">
                  <a:graphicData uri="http://schemas.microsoft.com/office/word/2010/wordprocessingShape">
                    <wps:wsp>
                      <wps:cNvSpPr txBox="1"/>
                      <wps:spPr>
                        <a:xfrm>
                          <a:off x="0" y="0"/>
                          <a:ext cx="1538605" cy="522605"/>
                        </a:xfrm>
                        <a:prstGeom prst="rect">
                          <a:avLst/>
                        </a:prstGeom>
                        <a:noFill/>
                      </wps:spPr>
                      <wps:txbx>
                        <w:txbxContent>
                          <w:p w:rsidR="004166BC" w:rsidRPr="0075240B" w:rsidRDefault="004166BC" w:rsidP="00212439">
                            <w:pPr>
                              <w:spacing w:after="0"/>
                              <w:textAlignment w:val="baseline"/>
                              <w:rPr>
                                <w:b/>
                                <w:sz w:val="12"/>
                                <w:szCs w:val="12"/>
                              </w:rPr>
                            </w:pPr>
                          </w:p>
                        </w:txbxContent>
                      </wps:txbx>
                      <wps:bodyPr wrap="none" rtlCol="0">
                        <a:spAutoFit/>
                      </wps:bodyPr>
                    </wps:wsp>
                  </a:graphicData>
                </a:graphic>
              </wp:anchor>
            </w:drawing>
          </mc:Choice>
          <mc:Fallback>
            <w:pict>
              <v:shape w14:anchorId="6C1F7DD2" id="_x0000_s1188" type="#_x0000_t202" style="position:absolute;left:0;text-align:left;margin-left:239.25pt;margin-top:141.75pt;width:121.15pt;height:41.15pt;z-index:251301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" filled="f" stroked="f">
                <v:textbox style="mso-fit-shape-to-text:t">
                  <w:txbxContent>
                    <w:p w:rsidR="004166BC" w:rsidRPr="0075240B" w:rsidRDefault="004166BC" w:rsidP="00212439">
                      <w:pPr>
                        <w:spacing w:after="0"/>
                        <w:textAlignment w:val="baseline"/>
                        <w:rPr>
                          <w:b/>
                          <w:sz w:val="12"/>
                          <w:szCs w:val="12"/>
                        </w:rPr>
                      </w:pPr>
                    </w:p>
                  </w:txbxContent>
                </v:textbox>
              </v:shape>
            </w:pict>
          </mc:Fallback>
        </mc:AlternateContent>
      </w:r>
    </w:p>
    <w:p w:rsidR="00FA3666" w:rsidRPr="0075240B" w:rsidRDefault="00F1233F" w:rsidP="00AD2E23">
      <w:pPr>
        <w:pStyle w:val="Caption"/>
        <w:jc w:val="both"/>
        <w:rPr>
          <w:rFonts w:ascii="Arial" w:hAnsi="Arial" w:cs="Arial"/>
          <w:b w:val="0"/>
          <w:color w:val="000000" w:themeColor="text1"/>
        </w:rPr>
      </w:pPr>
      <w:bookmarkStart w:id="244" w:name="_Toc425419556"/>
      <w:r w:rsidRPr="0075240B">
        <w:rPr>
          <w:rFonts w:ascii="Arial" w:hAnsi="Arial" w:cs="Arial"/>
          <w:b w:val="0"/>
          <w:color w:val="000000" w:themeColor="text1"/>
        </w:rPr>
        <w:t xml:space="preserve">Figure </w:t>
      </w:r>
      <w:r w:rsidR="00212439" w:rsidRPr="0075240B">
        <w:rPr>
          <w:rFonts w:ascii="Arial" w:hAnsi="Arial" w:cs="Arial"/>
          <w:b w:val="0"/>
          <w:color w:val="000000" w:themeColor="text1"/>
        </w:rPr>
        <w:fldChar w:fldCharType="begin"/>
      </w:r>
      <w:r w:rsidR="00212439" w:rsidRPr="0075240B">
        <w:rPr>
          <w:rFonts w:ascii="Arial" w:hAnsi="Arial" w:cs="Arial"/>
          <w:b w:val="0"/>
          <w:color w:val="000000" w:themeColor="text1"/>
        </w:rPr>
        <w:instrText xml:space="preserve"> SEQ Figure \* ARABIC </w:instrText>
      </w:r>
      <w:r w:rsidR="00212439" w:rsidRPr="0075240B">
        <w:rPr>
          <w:rFonts w:ascii="Arial" w:hAnsi="Arial" w:cs="Arial"/>
          <w:b w:val="0"/>
          <w:color w:val="000000" w:themeColor="text1"/>
        </w:rPr>
        <w:fldChar w:fldCharType="separate"/>
      </w:r>
      <w:r w:rsidR="0040369A">
        <w:rPr>
          <w:rFonts w:ascii="Arial" w:hAnsi="Arial" w:cs="Arial"/>
          <w:b w:val="0"/>
          <w:noProof/>
          <w:color w:val="000000" w:themeColor="text1"/>
        </w:rPr>
        <w:t>67</w:t>
      </w:r>
      <w:r w:rsidR="00212439" w:rsidRPr="0075240B">
        <w:rPr>
          <w:rFonts w:ascii="Arial" w:hAnsi="Arial" w:cs="Arial"/>
          <w:b w:val="0"/>
          <w:noProof/>
          <w:color w:val="000000" w:themeColor="text1"/>
        </w:rPr>
        <w:fldChar w:fldCharType="end"/>
      </w:r>
      <w:r w:rsidR="002B7CB5">
        <w:rPr>
          <w:rFonts w:ascii="Arial" w:hAnsi="Arial" w:cs="Arial"/>
          <w:b w:val="0"/>
          <w:color w:val="000000" w:themeColor="text1"/>
        </w:rPr>
        <w:t>: The T</w:t>
      </w:r>
      <w:r w:rsidRPr="0075240B">
        <w:rPr>
          <w:rFonts w:ascii="Arial" w:hAnsi="Arial" w:cs="Arial"/>
          <w:b w:val="0"/>
          <w:color w:val="000000" w:themeColor="text1"/>
        </w:rPr>
        <w:t>-score bone marker plots for postmenopausal women receiving raloxifene throughout the</w:t>
      </w:r>
      <w:r w:rsidR="00212439" w:rsidRPr="0075240B">
        <w:rPr>
          <w:rFonts w:ascii="Arial" w:hAnsi="Arial" w:cs="Arial"/>
          <w:b w:val="0"/>
          <w:color w:val="000000" w:themeColor="text1"/>
        </w:rPr>
        <w:t xml:space="preserve"> 48 week study period. The blue</w:t>
      </w:r>
      <w:r w:rsidRPr="0075240B">
        <w:rPr>
          <w:rFonts w:ascii="Arial" w:hAnsi="Arial" w:cs="Arial"/>
          <w:b w:val="0"/>
          <w:color w:val="000000" w:themeColor="text1"/>
        </w:rPr>
        <w:t xml:space="preserve"> line represents the change in bone balance and bone turnover f</w:t>
      </w:r>
      <w:r w:rsidR="00212439" w:rsidRPr="0075240B">
        <w:rPr>
          <w:rFonts w:ascii="Arial" w:hAnsi="Arial" w:cs="Arial"/>
          <w:b w:val="0"/>
          <w:color w:val="000000" w:themeColor="text1"/>
        </w:rPr>
        <w:t>rom baseline</w:t>
      </w:r>
      <w:r w:rsidRPr="0075240B">
        <w:rPr>
          <w:rFonts w:ascii="Arial" w:hAnsi="Arial" w:cs="Arial"/>
          <w:b w:val="0"/>
          <w:color w:val="000000" w:themeColor="text1"/>
        </w:rPr>
        <w:t xml:space="preserve"> through to 48 weeks. The red ellipse represents premenopausal women. </w:t>
      </w:r>
      <w:bookmarkEnd w:id="244"/>
    </w:p>
    <w:p w:rsidR="004726D9" w:rsidRDefault="004726D9" w:rsidP="00AD2E23">
      <w:pPr>
        <w:pStyle w:val="Heading3"/>
        <w:jc w:val="both"/>
      </w:pPr>
      <w:bookmarkStart w:id="245" w:name="_Toc425418973"/>
      <w:r>
        <w:lastRenderedPageBreak/>
        <w:t>The effect of raloxifene on levels of circulating sclerostin</w:t>
      </w:r>
      <w:bookmarkEnd w:id="245"/>
    </w:p>
    <w:p w:rsidR="00A8586A" w:rsidRPr="003505A2" w:rsidRDefault="004726D9" w:rsidP="00AD2E23">
      <w:pPr>
        <w:spacing w:line="360" w:lineRule="auto"/>
        <w:jc w:val="both"/>
        <w:rPr>
          <w:rFonts w:ascii="Arial" w:hAnsi="Arial" w:cs="Arial"/>
        </w:rPr>
      </w:pPr>
      <w:r w:rsidRPr="00437702">
        <w:rPr>
          <w:rFonts w:ascii="Arial" w:hAnsi="Arial" w:cs="Arial"/>
        </w:rPr>
        <w:t xml:space="preserve">The median levels of circulating sclerostin were significantly higher in postmenopausal women with osteopenia compared to healthy premenopausal, </w:t>
      </w:r>
      <w:r w:rsidR="00A8586A" w:rsidRPr="00437702">
        <w:rPr>
          <w:rFonts w:ascii="Arial" w:hAnsi="Arial" w:cs="Arial"/>
        </w:rPr>
        <w:t>0.64 ng/ml and 0.48 ng/ml respectively (p&lt;0.001), (Fi</w:t>
      </w:r>
      <w:r w:rsidR="003F0A8B">
        <w:rPr>
          <w:rFonts w:ascii="Arial" w:hAnsi="Arial" w:cs="Arial"/>
        </w:rPr>
        <w:t>gure 74</w:t>
      </w:r>
      <w:r w:rsidR="00A8586A" w:rsidRPr="00437702">
        <w:rPr>
          <w:rFonts w:ascii="Arial" w:hAnsi="Arial" w:cs="Arial"/>
        </w:rPr>
        <w:t>).</w:t>
      </w:r>
    </w:p>
    <w:p w:rsidR="00A8586A" w:rsidRDefault="00A8586A" w:rsidP="00406169">
      <w:pPr>
        <w:keepNext/>
        <w:jc w:val="center"/>
      </w:pPr>
      <w:r w:rsidRPr="00A8586A">
        <w:rPr>
          <w:noProof/>
          <w:lang w:eastAsia="zh-CN"/>
        </w:rPr>
        <w:drawing>
          <wp:inline distT="0" distB="0" distL="0" distR="0" wp14:anchorId="79BDA03E" wp14:editId="7AB951C5">
            <wp:extent cx="4104653" cy="2847975"/>
            <wp:effectExtent l="0" t="0" r="0" b="0"/>
            <wp:docPr id="18564" name="Picture 1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61177" cy="2887194"/>
                    </a:xfrm>
                    <a:prstGeom prst="rect">
                      <a:avLst/>
                    </a:prstGeom>
                    <a:noFill/>
                    <a:ln>
                      <a:noFill/>
                    </a:ln>
                  </pic:spPr>
                </pic:pic>
              </a:graphicData>
            </a:graphic>
          </wp:inline>
        </w:drawing>
      </w:r>
    </w:p>
    <w:p w:rsidR="00E339B0" w:rsidRDefault="00A8586A" w:rsidP="00AD2E23">
      <w:pPr>
        <w:pStyle w:val="Caption"/>
        <w:jc w:val="both"/>
        <w:rPr>
          <w:rFonts w:ascii="Arial" w:hAnsi="Arial" w:cs="Arial"/>
          <w:b w:val="0"/>
          <w:color w:val="auto"/>
        </w:rPr>
      </w:pPr>
      <w:bookmarkStart w:id="246" w:name="_Toc425419557"/>
      <w:r w:rsidRPr="00A8586A">
        <w:rPr>
          <w:rFonts w:ascii="Arial" w:hAnsi="Arial" w:cs="Arial"/>
          <w:b w:val="0"/>
          <w:color w:val="auto"/>
        </w:rPr>
        <w:t xml:space="preserve">Figure </w:t>
      </w:r>
      <w:r w:rsidRPr="00A8586A">
        <w:rPr>
          <w:rFonts w:ascii="Arial" w:hAnsi="Arial" w:cs="Arial"/>
          <w:b w:val="0"/>
          <w:color w:val="auto"/>
        </w:rPr>
        <w:fldChar w:fldCharType="begin"/>
      </w:r>
      <w:r w:rsidRPr="00A8586A">
        <w:rPr>
          <w:rFonts w:ascii="Arial" w:hAnsi="Arial" w:cs="Arial"/>
          <w:b w:val="0"/>
          <w:color w:val="auto"/>
        </w:rPr>
        <w:instrText xml:space="preserve"> SEQ Figure \* ARABIC </w:instrText>
      </w:r>
      <w:r w:rsidRPr="00A8586A">
        <w:rPr>
          <w:rFonts w:ascii="Arial" w:hAnsi="Arial" w:cs="Arial"/>
          <w:b w:val="0"/>
          <w:color w:val="auto"/>
        </w:rPr>
        <w:fldChar w:fldCharType="separate"/>
      </w:r>
      <w:r w:rsidR="0040369A">
        <w:rPr>
          <w:rFonts w:ascii="Arial" w:hAnsi="Arial" w:cs="Arial"/>
          <w:b w:val="0"/>
          <w:noProof/>
          <w:color w:val="auto"/>
        </w:rPr>
        <w:t>68</w:t>
      </w:r>
      <w:r w:rsidRPr="00A8586A">
        <w:rPr>
          <w:rFonts w:ascii="Arial" w:hAnsi="Arial" w:cs="Arial"/>
          <w:b w:val="0"/>
          <w:color w:val="auto"/>
        </w:rPr>
        <w:fldChar w:fldCharType="end"/>
      </w:r>
      <w:r w:rsidRPr="00A8586A">
        <w:rPr>
          <w:rFonts w:ascii="Arial" w:hAnsi="Arial" w:cs="Arial"/>
          <w:b w:val="0"/>
          <w:color w:val="auto"/>
        </w:rPr>
        <w:t>: Levels of circulating sclerostin</w:t>
      </w:r>
      <w:r w:rsidR="003505A2">
        <w:rPr>
          <w:rFonts w:ascii="Arial" w:hAnsi="Arial" w:cs="Arial"/>
          <w:b w:val="0"/>
          <w:color w:val="auto"/>
        </w:rPr>
        <w:t xml:space="preserve"> (showing the median and 95% CI</w:t>
      </w:r>
      <w:r w:rsidRPr="00A8586A">
        <w:rPr>
          <w:rFonts w:ascii="Arial" w:hAnsi="Arial" w:cs="Arial"/>
          <w:b w:val="0"/>
          <w:color w:val="auto"/>
        </w:rPr>
        <w:t xml:space="preserve">) in postmenopausal women with osteopenia and healthy premenopausal women. Significance between the medians were tested using the </w:t>
      </w:r>
      <w:r w:rsidR="00437702">
        <w:rPr>
          <w:rFonts w:ascii="Arial" w:hAnsi="Arial" w:cs="Arial"/>
          <w:b w:val="0"/>
          <w:color w:val="auto"/>
        </w:rPr>
        <w:t>Wilcoxon signed ranked test.</w:t>
      </w:r>
      <w:bookmarkEnd w:id="246"/>
    </w:p>
    <w:p w:rsidR="004512A9" w:rsidRPr="004512A9" w:rsidRDefault="004512A9" w:rsidP="00AD2E23">
      <w:pPr>
        <w:jc w:val="both"/>
      </w:pPr>
    </w:p>
    <w:p w:rsidR="00E339B0" w:rsidRPr="00E339B0" w:rsidRDefault="00A8586A" w:rsidP="00AD2E23">
      <w:pPr>
        <w:spacing w:line="360" w:lineRule="auto"/>
        <w:jc w:val="both"/>
        <w:rPr>
          <w:rFonts w:ascii="Arial" w:hAnsi="Arial" w:cs="Arial"/>
        </w:rPr>
      </w:pPr>
      <w:r w:rsidRPr="00E339B0">
        <w:rPr>
          <w:rFonts w:ascii="Arial" w:hAnsi="Arial" w:cs="Arial"/>
        </w:rPr>
        <w:t xml:space="preserve">Mean serum sclerostin levels over 48 weeks of treatment with raloxifene </w:t>
      </w:r>
      <w:r w:rsidR="00D61358">
        <w:rPr>
          <w:rFonts w:ascii="Arial" w:hAnsi="Arial" w:cs="Arial"/>
        </w:rPr>
        <w:t xml:space="preserve">compared to </w:t>
      </w:r>
      <w:r w:rsidR="002A48DB">
        <w:rPr>
          <w:rFonts w:ascii="Arial" w:hAnsi="Arial" w:cs="Arial"/>
        </w:rPr>
        <w:t xml:space="preserve">osteopenic and </w:t>
      </w:r>
      <w:r w:rsidR="00D61358">
        <w:rPr>
          <w:rFonts w:ascii="Arial" w:hAnsi="Arial" w:cs="Arial"/>
        </w:rPr>
        <w:t xml:space="preserve">no treatment </w:t>
      </w:r>
      <w:r w:rsidRPr="00E339B0">
        <w:rPr>
          <w:rFonts w:ascii="Arial" w:hAnsi="Arial" w:cs="Arial"/>
        </w:rPr>
        <w:t xml:space="preserve">are shown </w:t>
      </w:r>
      <w:r w:rsidR="002B7CB5">
        <w:rPr>
          <w:rFonts w:ascii="Arial" w:hAnsi="Arial" w:cs="Arial"/>
        </w:rPr>
        <w:t>in table 33</w:t>
      </w:r>
      <w:r w:rsidR="00E339B0" w:rsidRPr="00E339B0">
        <w:rPr>
          <w:rFonts w:ascii="Arial" w:hAnsi="Arial" w:cs="Arial"/>
        </w:rPr>
        <w:t xml:space="preserve"> and the percentage ch</w:t>
      </w:r>
      <w:r w:rsidR="00493D83">
        <w:rPr>
          <w:rFonts w:ascii="Arial" w:hAnsi="Arial" w:cs="Arial"/>
        </w:rPr>
        <w:t>ange from baseline in figure 75</w:t>
      </w:r>
      <w:r w:rsidR="00D61358">
        <w:rPr>
          <w:rFonts w:ascii="Arial" w:hAnsi="Arial" w:cs="Arial"/>
        </w:rPr>
        <w:t xml:space="preserve">. </w:t>
      </w:r>
      <w:r w:rsidR="0032797C">
        <w:rPr>
          <w:rFonts w:ascii="Arial" w:hAnsi="Arial" w:cs="Arial"/>
        </w:rPr>
        <w:t>In the women receiving raloxifene sclerostin levels were overall significantly lower compared to those not receiving treatment, (p&lt;0.001). Within one week of treatment the difference in sclerostin levels between the groups was significant at every subsequent time point (p&lt;0.001)</w:t>
      </w:r>
      <w:r w:rsidR="00774BD8">
        <w:rPr>
          <w:rFonts w:ascii="Arial" w:hAnsi="Arial" w:cs="Arial"/>
        </w:rPr>
        <w:t xml:space="preserve">. After 2 weeks of treatment sclerostin levels significantly decreased from baseline by -9%, (p&lt;0.01). Levels of sclerostin continued to decrease significantly throughout the treatment period and by 13% at week 48, (p&lt;0.001). </w:t>
      </w:r>
    </w:p>
    <w:p w:rsidR="00A8586A" w:rsidRPr="001F5B40" w:rsidRDefault="00A8586A" w:rsidP="00AD2E23">
      <w:pPr>
        <w:pStyle w:val="Caption"/>
        <w:keepNext/>
        <w:jc w:val="both"/>
        <w:rPr>
          <w:rFonts w:ascii="Arial" w:hAnsi="Arial" w:cs="Arial"/>
          <w:b w:val="0"/>
          <w:color w:val="auto"/>
        </w:rPr>
      </w:pPr>
      <w:bookmarkStart w:id="247" w:name="_Toc424043708"/>
      <w:r w:rsidRPr="001F5B40">
        <w:rPr>
          <w:rFonts w:ascii="Arial" w:hAnsi="Arial" w:cs="Arial"/>
          <w:b w:val="0"/>
          <w:color w:val="auto"/>
        </w:rPr>
        <w:t xml:space="preserve">Table </w:t>
      </w:r>
      <w:r w:rsidRPr="001F5B40">
        <w:rPr>
          <w:rFonts w:ascii="Arial" w:hAnsi="Arial" w:cs="Arial"/>
          <w:b w:val="0"/>
          <w:color w:val="auto"/>
        </w:rPr>
        <w:fldChar w:fldCharType="begin"/>
      </w:r>
      <w:r w:rsidRPr="001F5B40">
        <w:rPr>
          <w:rFonts w:ascii="Arial" w:hAnsi="Arial" w:cs="Arial"/>
          <w:b w:val="0"/>
          <w:color w:val="auto"/>
        </w:rPr>
        <w:instrText xml:space="preserve"> SEQ Table \* ARABIC </w:instrText>
      </w:r>
      <w:r w:rsidRPr="001F5B40">
        <w:rPr>
          <w:rFonts w:ascii="Arial" w:hAnsi="Arial" w:cs="Arial"/>
          <w:b w:val="0"/>
          <w:color w:val="auto"/>
        </w:rPr>
        <w:fldChar w:fldCharType="separate"/>
      </w:r>
      <w:r w:rsidR="00DD116A">
        <w:rPr>
          <w:rFonts w:ascii="Arial" w:hAnsi="Arial" w:cs="Arial"/>
          <w:b w:val="0"/>
          <w:noProof/>
          <w:color w:val="auto"/>
        </w:rPr>
        <w:t>34</w:t>
      </w:r>
      <w:r w:rsidRPr="001F5B40">
        <w:rPr>
          <w:rFonts w:ascii="Arial" w:hAnsi="Arial" w:cs="Arial"/>
          <w:b w:val="0"/>
          <w:color w:val="auto"/>
        </w:rPr>
        <w:fldChar w:fldCharType="end"/>
      </w:r>
      <w:r w:rsidRPr="001F5B40">
        <w:rPr>
          <w:rFonts w:ascii="Arial" w:hAnsi="Arial" w:cs="Arial"/>
          <w:b w:val="0"/>
          <w:color w:val="auto"/>
        </w:rPr>
        <w:t>: The geometric mean and (95% confidence intervals) of circ</w:t>
      </w:r>
      <w:r w:rsidR="00774BD8">
        <w:rPr>
          <w:rFonts w:ascii="Arial" w:hAnsi="Arial" w:cs="Arial"/>
          <w:b w:val="0"/>
          <w:color w:val="auto"/>
        </w:rPr>
        <w:t>ulating sclerostin</w:t>
      </w:r>
      <w:r w:rsidR="0075240B">
        <w:rPr>
          <w:rFonts w:ascii="Arial" w:hAnsi="Arial" w:cs="Arial"/>
          <w:b w:val="0"/>
          <w:color w:val="auto"/>
        </w:rPr>
        <w:t xml:space="preserve"> (ng/ml)</w:t>
      </w:r>
      <w:r w:rsidR="00774BD8">
        <w:rPr>
          <w:rFonts w:ascii="Arial" w:hAnsi="Arial" w:cs="Arial"/>
          <w:b w:val="0"/>
          <w:color w:val="auto"/>
        </w:rPr>
        <w:t xml:space="preserve"> in women with osteopenia</w:t>
      </w:r>
      <w:r w:rsidRPr="001F5B40">
        <w:rPr>
          <w:rFonts w:ascii="Arial" w:hAnsi="Arial" w:cs="Arial"/>
          <w:b w:val="0"/>
          <w:color w:val="auto"/>
        </w:rPr>
        <w:t xml:space="preserve"> receiving no</w:t>
      </w:r>
      <w:r w:rsidR="00774BD8">
        <w:rPr>
          <w:rFonts w:ascii="Arial" w:hAnsi="Arial" w:cs="Arial"/>
          <w:b w:val="0"/>
          <w:color w:val="auto"/>
        </w:rPr>
        <w:t xml:space="preserve"> treatment</w:t>
      </w:r>
      <w:r w:rsidRPr="001F5B40">
        <w:rPr>
          <w:rFonts w:ascii="Arial" w:hAnsi="Arial" w:cs="Arial"/>
          <w:b w:val="0"/>
          <w:color w:val="auto"/>
        </w:rPr>
        <w:t xml:space="preserve"> </w:t>
      </w:r>
      <w:r>
        <w:rPr>
          <w:rFonts w:ascii="Arial" w:hAnsi="Arial" w:cs="Arial"/>
          <w:b w:val="0"/>
          <w:color w:val="auto"/>
        </w:rPr>
        <w:t xml:space="preserve">(N = 23) </w:t>
      </w:r>
      <w:r w:rsidR="00774BD8">
        <w:rPr>
          <w:rFonts w:ascii="Arial" w:hAnsi="Arial" w:cs="Arial"/>
          <w:b w:val="0"/>
          <w:color w:val="auto"/>
        </w:rPr>
        <w:t>and receiving raloxifene</w:t>
      </w:r>
      <w:r>
        <w:rPr>
          <w:rFonts w:ascii="Arial" w:hAnsi="Arial" w:cs="Arial"/>
          <w:b w:val="0"/>
          <w:color w:val="auto"/>
        </w:rPr>
        <w:t xml:space="preserve"> (N = 21)</w:t>
      </w:r>
      <w:bookmarkEnd w:id="247"/>
    </w:p>
    <w:tbl>
      <w:tblPr>
        <w:tblStyle w:val="TableGrid"/>
        <w:tblW w:w="9749" w:type="dxa"/>
        <w:tblInd w:w="-459" w:type="dxa"/>
        <w:tblLook w:val="04A0" w:firstRow="1" w:lastRow="0" w:firstColumn="1" w:lastColumn="0" w:noHBand="0" w:noVBand="1"/>
      </w:tblPr>
      <w:tblGrid>
        <w:gridCol w:w="1079"/>
        <w:gridCol w:w="990"/>
        <w:gridCol w:w="990"/>
        <w:gridCol w:w="990"/>
        <w:gridCol w:w="990"/>
        <w:gridCol w:w="990"/>
        <w:gridCol w:w="990"/>
        <w:gridCol w:w="990"/>
        <w:gridCol w:w="990"/>
        <w:gridCol w:w="990"/>
      </w:tblGrid>
      <w:tr w:rsidR="004512A9" w:rsidRPr="00926F43" w:rsidTr="004512A9">
        <w:trPr>
          <w:trHeight w:val="146"/>
        </w:trPr>
        <w:tc>
          <w:tcPr>
            <w:tcW w:w="299" w:type="dxa"/>
            <w:vAlign w:val="center"/>
          </w:tcPr>
          <w:p w:rsidR="00A8586A" w:rsidRPr="00926F43" w:rsidRDefault="00A8586A" w:rsidP="00900F2C">
            <w:pPr>
              <w:rPr>
                <w:rFonts w:ascii="Arial" w:hAnsi="Arial" w:cs="Arial"/>
                <w:sz w:val="16"/>
                <w:szCs w:val="16"/>
              </w:rPr>
            </w:pP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0</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1</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2</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4</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8</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12</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24</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36</w:t>
            </w:r>
          </w:p>
        </w:tc>
        <w:tc>
          <w:tcPr>
            <w:tcW w:w="1050" w:type="dxa"/>
            <w:vAlign w:val="center"/>
          </w:tcPr>
          <w:p w:rsidR="00A8586A" w:rsidRPr="00926F43" w:rsidRDefault="00A8586A" w:rsidP="00900F2C">
            <w:pPr>
              <w:rPr>
                <w:rFonts w:ascii="Arial" w:hAnsi="Arial" w:cs="Arial"/>
                <w:sz w:val="16"/>
                <w:szCs w:val="16"/>
              </w:rPr>
            </w:pPr>
            <w:r w:rsidRPr="00926F43">
              <w:rPr>
                <w:rFonts w:ascii="Arial" w:hAnsi="Arial" w:cs="Arial"/>
                <w:sz w:val="16"/>
                <w:szCs w:val="16"/>
              </w:rPr>
              <w:t>Week 48</w:t>
            </w:r>
          </w:p>
        </w:tc>
      </w:tr>
      <w:tr w:rsidR="004512A9" w:rsidRPr="00926F43" w:rsidTr="004512A9">
        <w:trPr>
          <w:trHeight w:val="432"/>
        </w:trPr>
        <w:tc>
          <w:tcPr>
            <w:tcW w:w="299" w:type="dxa"/>
            <w:vAlign w:val="center"/>
          </w:tcPr>
          <w:p w:rsidR="00AF6332" w:rsidRDefault="00AF6332" w:rsidP="00900F2C">
            <w:pPr>
              <w:rPr>
                <w:rFonts w:ascii="Arial" w:hAnsi="Arial" w:cs="Arial"/>
                <w:sz w:val="16"/>
                <w:szCs w:val="16"/>
              </w:rPr>
            </w:pPr>
            <w:r>
              <w:rPr>
                <w:rFonts w:ascii="Arial" w:hAnsi="Arial" w:cs="Arial"/>
                <w:sz w:val="16"/>
                <w:szCs w:val="16"/>
              </w:rPr>
              <w:t>Osteopenic)</w:t>
            </w:r>
          </w:p>
          <w:p w:rsidR="00AF6332" w:rsidRPr="00926F43" w:rsidRDefault="00AF6332" w:rsidP="00900F2C">
            <w:pPr>
              <w:rPr>
                <w:rFonts w:ascii="Arial" w:hAnsi="Arial" w:cs="Arial"/>
                <w:sz w:val="16"/>
                <w:szCs w:val="16"/>
              </w:rPr>
            </w:pPr>
            <w:r>
              <w:rPr>
                <w:rFonts w:ascii="Arial" w:hAnsi="Arial" w:cs="Arial"/>
                <w:sz w:val="16"/>
                <w:szCs w:val="16"/>
              </w:rPr>
              <w:t>(</w:t>
            </w:r>
            <w:r w:rsidRPr="00926F43">
              <w:rPr>
                <w:rFonts w:ascii="Arial" w:hAnsi="Arial" w:cs="Arial"/>
                <w:sz w:val="16"/>
                <w:szCs w:val="16"/>
              </w:rPr>
              <w:t>Raloxifene</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0.58</w:t>
            </w:r>
          </w:p>
          <w:p w:rsidR="00AF6332" w:rsidRPr="001108BE" w:rsidRDefault="00AF6332" w:rsidP="00900F2C">
            <w:pPr>
              <w:rPr>
                <w:rFonts w:ascii="Arial" w:hAnsi="Arial" w:cs="Arial"/>
                <w:sz w:val="16"/>
                <w:szCs w:val="16"/>
              </w:rPr>
            </w:pPr>
            <w:r>
              <w:rPr>
                <w:rFonts w:ascii="Arial" w:hAnsi="Arial" w:cs="Arial"/>
                <w:sz w:val="16"/>
                <w:szCs w:val="16"/>
              </w:rPr>
              <w:t>(0.51,0.65</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0.57</w:t>
            </w:r>
          </w:p>
          <w:p w:rsidR="00AF6332" w:rsidRPr="001108BE" w:rsidRDefault="00AF6332" w:rsidP="00900F2C">
            <w:pPr>
              <w:rPr>
                <w:rFonts w:ascii="Arial" w:hAnsi="Arial" w:cs="Arial"/>
                <w:sz w:val="16"/>
                <w:szCs w:val="16"/>
              </w:rPr>
            </w:pPr>
            <w:r>
              <w:rPr>
                <w:rFonts w:ascii="Arial" w:hAnsi="Arial" w:cs="Arial"/>
                <w:sz w:val="16"/>
                <w:szCs w:val="16"/>
              </w:rPr>
              <w:t>(0.51,0.65</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0.53</w:t>
            </w:r>
          </w:p>
          <w:p w:rsidR="00AF6332" w:rsidRPr="001108BE" w:rsidRDefault="00AF6332" w:rsidP="00900F2C">
            <w:pPr>
              <w:rPr>
                <w:rFonts w:ascii="Arial" w:hAnsi="Arial" w:cs="Arial"/>
                <w:sz w:val="16"/>
                <w:szCs w:val="16"/>
              </w:rPr>
            </w:pPr>
            <w:r>
              <w:rPr>
                <w:rFonts w:ascii="Arial" w:hAnsi="Arial" w:cs="Arial"/>
                <w:sz w:val="16"/>
                <w:szCs w:val="16"/>
              </w:rPr>
              <w:t>(0.47,0.60</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0.53</w:t>
            </w:r>
          </w:p>
          <w:p w:rsidR="00AF6332" w:rsidRPr="001108BE" w:rsidRDefault="00AF6332" w:rsidP="00900F2C">
            <w:pPr>
              <w:rPr>
                <w:rFonts w:ascii="Arial" w:hAnsi="Arial" w:cs="Arial"/>
                <w:sz w:val="16"/>
                <w:szCs w:val="16"/>
              </w:rPr>
            </w:pPr>
            <w:r>
              <w:rPr>
                <w:rFonts w:ascii="Arial" w:hAnsi="Arial" w:cs="Arial"/>
                <w:sz w:val="16"/>
                <w:szCs w:val="16"/>
              </w:rPr>
              <w:t>(0.47,0.60</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0.51</w:t>
            </w:r>
          </w:p>
          <w:p w:rsidR="00AF6332" w:rsidRPr="001108BE" w:rsidRDefault="00AF6332" w:rsidP="00900F2C">
            <w:pPr>
              <w:rPr>
                <w:rFonts w:ascii="Arial" w:hAnsi="Arial" w:cs="Arial"/>
                <w:sz w:val="16"/>
                <w:szCs w:val="16"/>
              </w:rPr>
            </w:pPr>
            <w:r>
              <w:rPr>
                <w:rFonts w:ascii="Arial" w:hAnsi="Arial" w:cs="Arial"/>
                <w:sz w:val="16"/>
                <w:szCs w:val="16"/>
              </w:rPr>
              <w:t>(0.45,0.59</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sidRPr="001108BE">
              <w:rPr>
                <w:rFonts w:ascii="Arial" w:hAnsi="Arial" w:cs="Arial"/>
                <w:sz w:val="16"/>
                <w:szCs w:val="16"/>
              </w:rPr>
              <w:t>0.506</w:t>
            </w:r>
          </w:p>
          <w:p w:rsidR="00AF6332" w:rsidRPr="001108BE" w:rsidRDefault="00AF6332" w:rsidP="00900F2C">
            <w:pPr>
              <w:rPr>
                <w:rFonts w:ascii="Arial" w:hAnsi="Arial" w:cs="Arial"/>
                <w:sz w:val="16"/>
                <w:szCs w:val="16"/>
              </w:rPr>
            </w:pPr>
            <w:r>
              <w:rPr>
                <w:rFonts w:ascii="Arial" w:hAnsi="Arial" w:cs="Arial"/>
                <w:sz w:val="16"/>
                <w:szCs w:val="16"/>
              </w:rPr>
              <w:t>(0.45,0.57</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0.51</w:t>
            </w:r>
          </w:p>
          <w:p w:rsidR="00AF6332" w:rsidRPr="001108BE" w:rsidRDefault="00AF6332" w:rsidP="00900F2C">
            <w:pPr>
              <w:rPr>
                <w:rFonts w:ascii="Arial" w:hAnsi="Arial" w:cs="Arial"/>
                <w:sz w:val="16"/>
                <w:szCs w:val="16"/>
              </w:rPr>
            </w:pPr>
            <w:r>
              <w:rPr>
                <w:rFonts w:ascii="Arial" w:hAnsi="Arial" w:cs="Arial"/>
                <w:sz w:val="16"/>
                <w:szCs w:val="16"/>
              </w:rPr>
              <w:t>(0.45,0.56</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0.49</w:t>
            </w:r>
          </w:p>
          <w:p w:rsidR="00AF6332" w:rsidRPr="001108BE" w:rsidRDefault="00AF6332" w:rsidP="00900F2C">
            <w:pPr>
              <w:rPr>
                <w:rFonts w:ascii="Arial" w:hAnsi="Arial" w:cs="Arial"/>
                <w:sz w:val="16"/>
                <w:szCs w:val="16"/>
              </w:rPr>
            </w:pPr>
            <w:r>
              <w:rPr>
                <w:rFonts w:ascii="Arial" w:hAnsi="Arial" w:cs="Arial"/>
                <w:sz w:val="16"/>
                <w:szCs w:val="16"/>
              </w:rPr>
              <w:t>(0.43,0.56</w:t>
            </w:r>
            <w:r w:rsidRPr="001108BE">
              <w:rPr>
                <w:rFonts w:ascii="Arial" w:hAnsi="Arial" w:cs="Arial"/>
                <w:sz w:val="16"/>
                <w:szCs w:val="16"/>
              </w:rPr>
              <w:t>)</w:t>
            </w:r>
          </w:p>
        </w:tc>
        <w:tc>
          <w:tcPr>
            <w:tcW w:w="1050" w:type="dxa"/>
            <w:vAlign w:val="center"/>
          </w:tcPr>
          <w:p w:rsidR="00AF6332" w:rsidRPr="001108BE" w:rsidRDefault="00AF6332" w:rsidP="00900F2C">
            <w:pPr>
              <w:rPr>
                <w:rFonts w:ascii="Arial" w:hAnsi="Arial" w:cs="Arial"/>
                <w:sz w:val="16"/>
                <w:szCs w:val="16"/>
              </w:rPr>
            </w:pPr>
            <w:r>
              <w:rPr>
                <w:rFonts w:ascii="Arial" w:hAnsi="Arial" w:cs="Arial"/>
                <w:sz w:val="16"/>
                <w:szCs w:val="16"/>
              </w:rPr>
              <w:t>0.51</w:t>
            </w:r>
          </w:p>
          <w:p w:rsidR="00AF6332" w:rsidRPr="001108BE" w:rsidRDefault="00AF6332" w:rsidP="00900F2C">
            <w:pPr>
              <w:rPr>
                <w:rFonts w:ascii="Arial" w:hAnsi="Arial" w:cs="Arial"/>
                <w:sz w:val="16"/>
                <w:szCs w:val="16"/>
              </w:rPr>
            </w:pPr>
            <w:r>
              <w:rPr>
                <w:rFonts w:ascii="Arial" w:hAnsi="Arial" w:cs="Arial"/>
                <w:sz w:val="16"/>
                <w:szCs w:val="16"/>
              </w:rPr>
              <w:t>(0.45,0.59</w:t>
            </w:r>
            <w:r w:rsidRPr="001108BE">
              <w:rPr>
                <w:rFonts w:ascii="Arial" w:hAnsi="Arial" w:cs="Arial"/>
                <w:sz w:val="16"/>
                <w:szCs w:val="16"/>
              </w:rPr>
              <w:t>)</w:t>
            </w:r>
          </w:p>
        </w:tc>
      </w:tr>
      <w:tr w:rsidR="004512A9" w:rsidRPr="00926F43" w:rsidTr="004512A9">
        <w:trPr>
          <w:trHeight w:val="439"/>
        </w:trPr>
        <w:tc>
          <w:tcPr>
            <w:tcW w:w="299" w:type="dxa"/>
            <w:vAlign w:val="center"/>
          </w:tcPr>
          <w:p w:rsidR="00A8586A" w:rsidRDefault="00A8586A" w:rsidP="00900F2C">
            <w:pPr>
              <w:rPr>
                <w:rFonts w:ascii="Arial" w:hAnsi="Arial" w:cs="Arial"/>
                <w:sz w:val="16"/>
                <w:szCs w:val="16"/>
              </w:rPr>
            </w:pPr>
            <w:r>
              <w:rPr>
                <w:rFonts w:ascii="Arial" w:hAnsi="Arial" w:cs="Arial"/>
                <w:sz w:val="16"/>
                <w:szCs w:val="16"/>
              </w:rPr>
              <w:t>Osteopenic</w:t>
            </w:r>
          </w:p>
          <w:p w:rsidR="00A8586A" w:rsidRPr="00926F43" w:rsidRDefault="00A8586A" w:rsidP="00900F2C">
            <w:pPr>
              <w:rPr>
                <w:rFonts w:ascii="Arial" w:hAnsi="Arial" w:cs="Arial"/>
                <w:sz w:val="16"/>
                <w:szCs w:val="16"/>
              </w:rPr>
            </w:pPr>
            <w:r>
              <w:rPr>
                <w:rFonts w:ascii="Arial" w:hAnsi="Arial" w:cs="Arial"/>
                <w:sz w:val="16"/>
                <w:szCs w:val="16"/>
              </w:rPr>
              <w:t>(no treatment)</w:t>
            </w:r>
          </w:p>
        </w:tc>
        <w:tc>
          <w:tcPr>
            <w:tcW w:w="1050" w:type="dxa"/>
            <w:vAlign w:val="center"/>
          </w:tcPr>
          <w:p w:rsidR="00A8586A" w:rsidRPr="001108BE" w:rsidRDefault="00A8586A" w:rsidP="00900F2C">
            <w:pPr>
              <w:rPr>
                <w:rFonts w:ascii="Arial" w:hAnsi="Arial" w:cs="Arial"/>
                <w:sz w:val="16"/>
                <w:szCs w:val="16"/>
              </w:rPr>
            </w:pPr>
            <w:r>
              <w:rPr>
                <w:rFonts w:ascii="Arial" w:hAnsi="Arial" w:cs="Arial"/>
                <w:sz w:val="16"/>
                <w:szCs w:val="16"/>
              </w:rPr>
              <w:t>0.72</w:t>
            </w:r>
          </w:p>
          <w:p w:rsidR="00A8586A" w:rsidRPr="001108BE" w:rsidRDefault="00A8586A" w:rsidP="00900F2C">
            <w:pPr>
              <w:rPr>
                <w:rFonts w:ascii="Arial" w:hAnsi="Arial" w:cs="Arial"/>
                <w:sz w:val="16"/>
                <w:szCs w:val="16"/>
              </w:rPr>
            </w:pPr>
            <w:r>
              <w:rPr>
                <w:rFonts w:ascii="Arial" w:hAnsi="Arial" w:cs="Arial"/>
                <w:sz w:val="16"/>
                <w:szCs w:val="16"/>
              </w:rPr>
              <w:t>(0.60,0.86</w:t>
            </w:r>
            <w:r w:rsidRPr="001108BE">
              <w:rPr>
                <w:rFonts w:ascii="Arial" w:hAnsi="Arial" w:cs="Arial"/>
                <w:sz w:val="16"/>
                <w:szCs w:val="16"/>
              </w:rPr>
              <w:t>)</w:t>
            </w:r>
          </w:p>
        </w:tc>
        <w:tc>
          <w:tcPr>
            <w:tcW w:w="1050" w:type="dxa"/>
            <w:vAlign w:val="center"/>
          </w:tcPr>
          <w:p w:rsidR="00A8586A" w:rsidRPr="001108BE" w:rsidRDefault="00A8586A" w:rsidP="00900F2C">
            <w:pPr>
              <w:rPr>
                <w:rFonts w:ascii="Arial" w:hAnsi="Arial" w:cs="Arial"/>
                <w:sz w:val="16"/>
                <w:szCs w:val="16"/>
              </w:rPr>
            </w:pPr>
          </w:p>
        </w:tc>
        <w:tc>
          <w:tcPr>
            <w:tcW w:w="1050" w:type="dxa"/>
            <w:vAlign w:val="center"/>
          </w:tcPr>
          <w:p w:rsidR="00A8586A" w:rsidRPr="001108BE" w:rsidRDefault="00A8586A" w:rsidP="00900F2C">
            <w:pPr>
              <w:rPr>
                <w:rFonts w:ascii="Arial" w:hAnsi="Arial" w:cs="Arial"/>
                <w:sz w:val="16"/>
                <w:szCs w:val="16"/>
              </w:rPr>
            </w:pPr>
          </w:p>
        </w:tc>
        <w:tc>
          <w:tcPr>
            <w:tcW w:w="1050" w:type="dxa"/>
            <w:vAlign w:val="center"/>
          </w:tcPr>
          <w:p w:rsidR="00A8586A" w:rsidRPr="001108BE" w:rsidRDefault="00A8586A" w:rsidP="00900F2C">
            <w:pPr>
              <w:rPr>
                <w:rFonts w:ascii="Arial" w:hAnsi="Arial" w:cs="Arial"/>
                <w:sz w:val="16"/>
                <w:szCs w:val="16"/>
              </w:rPr>
            </w:pPr>
          </w:p>
        </w:tc>
        <w:tc>
          <w:tcPr>
            <w:tcW w:w="1050" w:type="dxa"/>
            <w:vAlign w:val="center"/>
          </w:tcPr>
          <w:p w:rsidR="00A8586A" w:rsidRPr="001108BE" w:rsidRDefault="00A8586A" w:rsidP="00900F2C">
            <w:pPr>
              <w:rPr>
                <w:rFonts w:ascii="Arial" w:hAnsi="Arial" w:cs="Arial"/>
                <w:sz w:val="16"/>
                <w:szCs w:val="16"/>
              </w:rPr>
            </w:pPr>
          </w:p>
        </w:tc>
        <w:tc>
          <w:tcPr>
            <w:tcW w:w="1050" w:type="dxa"/>
            <w:vAlign w:val="center"/>
          </w:tcPr>
          <w:p w:rsidR="00A8586A" w:rsidRPr="001108BE" w:rsidRDefault="00A8586A" w:rsidP="00900F2C">
            <w:pPr>
              <w:rPr>
                <w:rFonts w:ascii="Arial" w:hAnsi="Arial" w:cs="Arial"/>
                <w:sz w:val="16"/>
                <w:szCs w:val="16"/>
              </w:rPr>
            </w:pPr>
            <w:r>
              <w:rPr>
                <w:rFonts w:ascii="Arial" w:hAnsi="Arial" w:cs="Arial"/>
                <w:sz w:val="16"/>
                <w:szCs w:val="16"/>
              </w:rPr>
              <w:t>0.70</w:t>
            </w:r>
          </w:p>
          <w:p w:rsidR="00A8586A" w:rsidRPr="001108BE" w:rsidRDefault="00A8586A" w:rsidP="00900F2C">
            <w:pPr>
              <w:rPr>
                <w:rFonts w:ascii="Arial" w:hAnsi="Arial" w:cs="Arial"/>
                <w:sz w:val="16"/>
                <w:szCs w:val="16"/>
              </w:rPr>
            </w:pPr>
            <w:r>
              <w:rPr>
                <w:rFonts w:ascii="Arial" w:hAnsi="Arial" w:cs="Arial"/>
                <w:sz w:val="16"/>
                <w:szCs w:val="16"/>
              </w:rPr>
              <w:t>(0.59,0.84</w:t>
            </w:r>
            <w:r w:rsidRPr="001108BE">
              <w:rPr>
                <w:rFonts w:ascii="Arial" w:hAnsi="Arial" w:cs="Arial"/>
                <w:sz w:val="16"/>
                <w:szCs w:val="16"/>
              </w:rPr>
              <w:t>)</w:t>
            </w:r>
          </w:p>
        </w:tc>
        <w:tc>
          <w:tcPr>
            <w:tcW w:w="1050" w:type="dxa"/>
            <w:vAlign w:val="center"/>
          </w:tcPr>
          <w:p w:rsidR="00A8586A" w:rsidRPr="001108BE" w:rsidRDefault="00A8586A" w:rsidP="00900F2C">
            <w:pPr>
              <w:rPr>
                <w:rFonts w:ascii="Arial" w:hAnsi="Arial" w:cs="Arial"/>
                <w:sz w:val="16"/>
                <w:szCs w:val="16"/>
              </w:rPr>
            </w:pPr>
            <w:r>
              <w:rPr>
                <w:rFonts w:ascii="Arial" w:hAnsi="Arial" w:cs="Arial"/>
                <w:sz w:val="16"/>
                <w:szCs w:val="16"/>
              </w:rPr>
              <w:t>0.70</w:t>
            </w:r>
          </w:p>
          <w:p w:rsidR="00A8586A" w:rsidRPr="001108BE" w:rsidRDefault="00A8586A" w:rsidP="00900F2C">
            <w:pPr>
              <w:rPr>
                <w:rFonts w:ascii="Arial" w:hAnsi="Arial" w:cs="Arial"/>
                <w:sz w:val="16"/>
                <w:szCs w:val="16"/>
              </w:rPr>
            </w:pPr>
            <w:r>
              <w:rPr>
                <w:rFonts w:ascii="Arial" w:hAnsi="Arial" w:cs="Arial"/>
                <w:sz w:val="16"/>
                <w:szCs w:val="16"/>
              </w:rPr>
              <w:t>(0.59,0.82</w:t>
            </w:r>
            <w:r w:rsidRPr="001108BE">
              <w:rPr>
                <w:rFonts w:ascii="Arial" w:hAnsi="Arial" w:cs="Arial"/>
                <w:sz w:val="16"/>
                <w:szCs w:val="16"/>
              </w:rPr>
              <w:t>)</w:t>
            </w:r>
          </w:p>
        </w:tc>
        <w:tc>
          <w:tcPr>
            <w:tcW w:w="1050" w:type="dxa"/>
            <w:vAlign w:val="center"/>
          </w:tcPr>
          <w:p w:rsidR="00A8586A" w:rsidRPr="001108BE" w:rsidRDefault="00A8586A" w:rsidP="00900F2C">
            <w:pPr>
              <w:rPr>
                <w:rFonts w:ascii="Arial" w:hAnsi="Arial" w:cs="Arial"/>
                <w:sz w:val="16"/>
                <w:szCs w:val="16"/>
              </w:rPr>
            </w:pPr>
            <w:r>
              <w:rPr>
                <w:rFonts w:ascii="Arial" w:hAnsi="Arial" w:cs="Arial"/>
                <w:sz w:val="16"/>
                <w:szCs w:val="16"/>
              </w:rPr>
              <w:t>0.67</w:t>
            </w:r>
          </w:p>
          <w:p w:rsidR="00A8586A" w:rsidRPr="001108BE" w:rsidRDefault="00A8586A" w:rsidP="00900F2C">
            <w:pPr>
              <w:rPr>
                <w:rFonts w:ascii="Arial" w:hAnsi="Arial" w:cs="Arial"/>
                <w:sz w:val="16"/>
                <w:szCs w:val="16"/>
              </w:rPr>
            </w:pPr>
            <w:r>
              <w:rPr>
                <w:rFonts w:ascii="Arial" w:hAnsi="Arial" w:cs="Arial"/>
                <w:sz w:val="16"/>
                <w:szCs w:val="16"/>
              </w:rPr>
              <w:t>(0.58,0.77</w:t>
            </w:r>
            <w:r w:rsidRPr="001108BE">
              <w:rPr>
                <w:rFonts w:ascii="Arial" w:hAnsi="Arial" w:cs="Arial"/>
                <w:sz w:val="16"/>
                <w:szCs w:val="16"/>
              </w:rPr>
              <w:t>)</w:t>
            </w:r>
          </w:p>
        </w:tc>
        <w:tc>
          <w:tcPr>
            <w:tcW w:w="1050" w:type="dxa"/>
            <w:vAlign w:val="center"/>
          </w:tcPr>
          <w:p w:rsidR="00A8586A" w:rsidRPr="001108BE" w:rsidRDefault="00A8586A" w:rsidP="00900F2C">
            <w:pPr>
              <w:rPr>
                <w:rFonts w:ascii="Arial" w:hAnsi="Arial" w:cs="Arial"/>
                <w:sz w:val="16"/>
                <w:szCs w:val="16"/>
              </w:rPr>
            </w:pPr>
            <w:r>
              <w:rPr>
                <w:rFonts w:ascii="Arial" w:hAnsi="Arial" w:cs="Arial"/>
                <w:sz w:val="16"/>
                <w:szCs w:val="16"/>
              </w:rPr>
              <w:t>0.69</w:t>
            </w:r>
          </w:p>
          <w:p w:rsidR="00A8586A" w:rsidRPr="001108BE" w:rsidRDefault="00A8586A" w:rsidP="00900F2C">
            <w:pPr>
              <w:rPr>
                <w:rFonts w:ascii="Arial" w:hAnsi="Arial" w:cs="Arial"/>
                <w:sz w:val="16"/>
                <w:szCs w:val="16"/>
              </w:rPr>
            </w:pPr>
            <w:r>
              <w:rPr>
                <w:rFonts w:ascii="Arial" w:hAnsi="Arial" w:cs="Arial"/>
                <w:sz w:val="16"/>
                <w:szCs w:val="16"/>
              </w:rPr>
              <w:t>(0.60,0.79</w:t>
            </w:r>
            <w:r w:rsidRPr="001108BE">
              <w:rPr>
                <w:rFonts w:ascii="Arial" w:hAnsi="Arial" w:cs="Arial"/>
                <w:sz w:val="16"/>
                <w:szCs w:val="16"/>
              </w:rPr>
              <w:t>)</w:t>
            </w:r>
          </w:p>
        </w:tc>
      </w:tr>
    </w:tbl>
    <w:p w:rsidR="00493D83" w:rsidRPr="00A8586A" w:rsidRDefault="00493D83" w:rsidP="00900F2C"/>
    <w:p w:rsidR="00453672" w:rsidRDefault="00453672" w:rsidP="00900F2C">
      <w:pPr>
        <w:keepNext/>
      </w:pPr>
      <w:r>
        <w:rPr>
          <w:noProof/>
          <w:lang w:eastAsia="zh-CN"/>
        </w:rPr>
        <w:lastRenderedPageBreak/>
        <mc:AlternateContent>
          <mc:Choice Requires="wps">
            <w:drawing>
              <wp:anchor distT="0" distB="0" distL="114300" distR="114300" simplePos="0" relativeHeight="252794368" behindDoc="0" locked="0" layoutInCell="1" allowOverlap="1" wp14:anchorId="3282FE75" wp14:editId="6668AD23">
                <wp:simplePos x="0" y="0"/>
                <wp:positionH relativeFrom="column">
                  <wp:posOffset>3829050</wp:posOffset>
                </wp:positionH>
                <wp:positionV relativeFrom="paragraph">
                  <wp:posOffset>269875</wp:posOffset>
                </wp:positionV>
                <wp:extent cx="1228725" cy="390525"/>
                <wp:effectExtent l="0" t="0" r="9525" b="9525"/>
                <wp:wrapNone/>
                <wp:docPr id="18574" name="Rectangle 18574"/>
                <wp:cNvGraphicFramePr/>
                <a:graphic xmlns:a="http://schemas.openxmlformats.org/drawingml/2006/main">
                  <a:graphicData uri="http://schemas.microsoft.com/office/word/2010/wordprocessingShape">
                    <wps:wsp>
                      <wps:cNvSpPr/>
                      <wps:spPr>
                        <a:xfrm>
                          <a:off x="0" y="0"/>
                          <a:ext cx="1228725" cy="390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C19EAE" id="Rectangle 18574" o:spid="_x0000_s1026" style="position:absolute;margin-left:301.5pt;margin-top:21.25pt;width:96.75pt;height:30.75pt;z-index:25279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" fillcolor="white [3212]" stroked="f" strokeweight="2pt"/>
            </w:pict>
          </mc:Fallback>
        </mc:AlternateContent>
      </w:r>
      <w:r>
        <w:rPr>
          <w:noProof/>
          <w:lang w:eastAsia="zh-CN"/>
        </w:rPr>
        <w:drawing>
          <wp:inline distT="0" distB="0" distL="0" distR="0" wp14:anchorId="58C7015D" wp14:editId="658C2AF8">
            <wp:extent cx="5246670" cy="2914650"/>
            <wp:effectExtent l="0" t="0" r="0" b="0"/>
            <wp:docPr id="18572" name="Picture 1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lerostin_Raloxifene.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48268" cy="2915538"/>
                    </a:xfrm>
                    <a:prstGeom prst="rect">
                      <a:avLst/>
                    </a:prstGeom>
                  </pic:spPr>
                </pic:pic>
              </a:graphicData>
            </a:graphic>
          </wp:inline>
        </w:drawing>
      </w:r>
    </w:p>
    <w:p w:rsidR="00493D83" w:rsidRDefault="00453672" w:rsidP="00AD2E23">
      <w:pPr>
        <w:pStyle w:val="Caption"/>
        <w:jc w:val="both"/>
        <w:rPr>
          <w:rFonts w:ascii="Arial" w:hAnsi="Arial" w:cs="Arial"/>
          <w:b w:val="0"/>
          <w:color w:val="auto"/>
        </w:rPr>
      </w:pPr>
      <w:bookmarkStart w:id="248" w:name="_Toc425419558"/>
      <w:r w:rsidRPr="001F5B40">
        <w:rPr>
          <w:rFonts w:ascii="Arial" w:hAnsi="Arial" w:cs="Arial"/>
          <w:b w:val="0"/>
          <w:color w:val="auto"/>
        </w:rPr>
        <w:t xml:space="preserve">Figure </w:t>
      </w:r>
      <w:r w:rsidRPr="001F5B40">
        <w:rPr>
          <w:rFonts w:ascii="Arial" w:hAnsi="Arial" w:cs="Arial"/>
          <w:b w:val="0"/>
          <w:color w:val="auto"/>
        </w:rPr>
        <w:fldChar w:fldCharType="begin"/>
      </w:r>
      <w:r w:rsidRPr="001F5B40">
        <w:rPr>
          <w:rFonts w:ascii="Arial" w:hAnsi="Arial" w:cs="Arial"/>
          <w:b w:val="0"/>
          <w:color w:val="auto"/>
        </w:rPr>
        <w:instrText xml:space="preserve"> SEQ Figure \* ARABIC </w:instrText>
      </w:r>
      <w:r w:rsidRPr="001F5B40">
        <w:rPr>
          <w:rFonts w:ascii="Arial" w:hAnsi="Arial" w:cs="Arial"/>
          <w:b w:val="0"/>
          <w:color w:val="auto"/>
        </w:rPr>
        <w:fldChar w:fldCharType="separate"/>
      </w:r>
      <w:r w:rsidR="0040369A">
        <w:rPr>
          <w:rFonts w:ascii="Arial" w:hAnsi="Arial" w:cs="Arial"/>
          <w:b w:val="0"/>
          <w:noProof/>
          <w:color w:val="auto"/>
        </w:rPr>
        <w:t>69</w:t>
      </w:r>
      <w:r w:rsidRPr="001F5B40">
        <w:rPr>
          <w:rFonts w:ascii="Arial" w:hAnsi="Arial" w:cs="Arial"/>
          <w:b w:val="0"/>
          <w:color w:val="auto"/>
        </w:rPr>
        <w:fldChar w:fldCharType="end"/>
      </w:r>
      <w:r w:rsidRPr="001F5B40">
        <w:rPr>
          <w:rFonts w:ascii="Arial" w:hAnsi="Arial" w:cs="Arial"/>
          <w:b w:val="0"/>
          <w:color w:val="auto"/>
        </w:rPr>
        <w:t>: The effect of raloxifene treatment on levels of sclerostin in osteopenic women</w:t>
      </w:r>
      <w:r w:rsidR="00015A50">
        <w:rPr>
          <w:rFonts w:ascii="Arial" w:hAnsi="Arial" w:cs="Arial"/>
          <w:b w:val="0"/>
          <w:color w:val="auto"/>
        </w:rPr>
        <w:t xml:space="preserve"> (blue line)</w:t>
      </w:r>
      <w:r w:rsidRPr="001F5B40">
        <w:rPr>
          <w:rFonts w:ascii="Arial" w:hAnsi="Arial" w:cs="Arial"/>
          <w:b w:val="0"/>
          <w:color w:val="auto"/>
        </w:rPr>
        <w:t xml:space="preserve"> compared to </w:t>
      </w:r>
      <w:r w:rsidR="00015A50">
        <w:rPr>
          <w:rFonts w:ascii="Arial" w:hAnsi="Arial" w:cs="Arial"/>
          <w:b w:val="0"/>
          <w:color w:val="auto"/>
        </w:rPr>
        <w:t>those receiving no treatment (red)</w:t>
      </w:r>
      <w:r w:rsidRPr="001F5B40">
        <w:rPr>
          <w:rFonts w:ascii="Arial" w:hAnsi="Arial" w:cs="Arial"/>
          <w:b w:val="0"/>
          <w:color w:val="auto"/>
        </w:rPr>
        <w:t xml:space="preserve">. </w:t>
      </w:r>
      <w:r>
        <w:rPr>
          <w:rFonts w:ascii="Arial" w:hAnsi="Arial" w:cs="Arial"/>
          <w:b w:val="0"/>
          <w:color w:val="auto"/>
        </w:rPr>
        <w:t xml:space="preserve">The percentage </w:t>
      </w:r>
      <w:r w:rsidRPr="001F5B40">
        <w:rPr>
          <w:rFonts w:ascii="Arial" w:hAnsi="Arial" w:cs="Arial"/>
          <w:b w:val="0"/>
          <w:color w:val="auto"/>
        </w:rPr>
        <w:t xml:space="preserve">change from baseline </w:t>
      </w:r>
      <w:r>
        <w:rPr>
          <w:rFonts w:ascii="Arial" w:hAnsi="Arial" w:cs="Arial"/>
          <w:b w:val="0"/>
          <w:color w:val="auto"/>
        </w:rPr>
        <w:t>is shown for each visit.</w:t>
      </w:r>
      <w:bookmarkEnd w:id="248"/>
    </w:p>
    <w:p w:rsidR="00970AAD" w:rsidRDefault="003505A2" w:rsidP="00AD2E23">
      <w:pPr>
        <w:spacing w:line="360" w:lineRule="auto"/>
        <w:jc w:val="both"/>
        <w:rPr>
          <w:rFonts w:ascii="Arial" w:hAnsi="Arial" w:cs="Arial"/>
        </w:rPr>
      </w:pPr>
      <w:r w:rsidRPr="002C1E13">
        <w:rPr>
          <w:rFonts w:ascii="Arial" w:hAnsi="Arial" w:cs="Arial"/>
        </w:rPr>
        <w:t>T</w:t>
      </w:r>
      <w:r>
        <w:rPr>
          <w:rFonts w:ascii="Arial" w:hAnsi="Arial" w:cs="Arial"/>
        </w:rPr>
        <w:t>he T</w:t>
      </w:r>
      <w:r w:rsidRPr="002C1E13">
        <w:rPr>
          <w:rFonts w:ascii="Arial" w:hAnsi="Arial" w:cs="Arial"/>
        </w:rPr>
        <w:t xml:space="preserve">-scores for </w:t>
      </w:r>
      <w:r>
        <w:rPr>
          <w:rFonts w:ascii="Arial" w:hAnsi="Arial" w:cs="Arial"/>
        </w:rPr>
        <w:t>sclerostin</w:t>
      </w:r>
      <w:r w:rsidRPr="002C1E13">
        <w:rPr>
          <w:rFonts w:ascii="Arial" w:hAnsi="Arial" w:cs="Arial"/>
        </w:rPr>
        <w:t xml:space="preserve"> were calculated and plotted for </w:t>
      </w:r>
      <w:r>
        <w:rPr>
          <w:rFonts w:ascii="Arial" w:hAnsi="Arial" w:cs="Arial"/>
        </w:rPr>
        <w:t xml:space="preserve">osteopenic women receiving raloxifene and no treatments, </w:t>
      </w:r>
      <w:r w:rsidRPr="002C1E13">
        <w:rPr>
          <w:rFonts w:ascii="Arial" w:hAnsi="Arial" w:cs="Arial"/>
        </w:rPr>
        <w:t>(Figure</w:t>
      </w:r>
      <w:r>
        <w:rPr>
          <w:rFonts w:ascii="Arial" w:hAnsi="Arial" w:cs="Arial"/>
        </w:rPr>
        <w:t xml:space="preserve"> 76</w:t>
      </w:r>
      <w:r w:rsidRPr="002C1E13">
        <w:rPr>
          <w:rFonts w:ascii="Arial" w:hAnsi="Arial" w:cs="Arial"/>
        </w:rPr>
        <w:t xml:space="preserve">). </w:t>
      </w:r>
      <w:r w:rsidR="00FE0247">
        <w:rPr>
          <w:rFonts w:ascii="Arial" w:hAnsi="Arial" w:cs="Arial"/>
        </w:rPr>
        <w:t>At baseline t</w:t>
      </w:r>
      <w:r>
        <w:rPr>
          <w:rFonts w:ascii="Arial" w:hAnsi="Arial" w:cs="Arial"/>
        </w:rPr>
        <w:t xml:space="preserve">he T-scores for </w:t>
      </w:r>
      <w:r w:rsidR="00B26DB8">
        <w:rPr>
          <w:rFonts w:ascii="Arial" w:hAnsi="Arial" w:cs="Arial"/>
        </w:rPr>
        <w:t>sclerostin</w:t>
      </w:r>
      <w:r w:rsidR="00FE0247">
        <w:rPr>
          <w:rFonts w:ascii="Arial" w:hAnsi="Arial" w:cs="Arial"/>
        </w:rPr>
        <w:t xml:space="preserve"> in the osteopenic women receiving raloxifene</w:t>
      </w:r>
      <w:r w:rsidRPr="002C1E13">
        <w:rPr>
          <w:rFonts w:ascii="Arial" w:hAnsi="Arial" w:cs="Arial"/>
        </w:rPr>
        <w:t xml:space="preserve"> (in red) </w:t>
      </w:r>
      <w:r w:rsidR="00FE0247">
        <w:rPr>
          <w:rFonts w:ascii="Arial" w:hAnsi="Arial" w:cs="Arial"/>
        </w:rPr>
        <w:t>and not treatment (green) were 1.95 (95% CI: 1.19, 2.72) and 3.02 (95% CI: 2.29, 3.75)</w:t>
      </w:r>
      <w:r w:rsidRPr="002C1E13">
        <w:rPr>
          <w:rFonts w:ascii="Arial" w:hAnsi="Arial" w:cs="Arial"/>
        </w:rPr>
        <w:t xml:space="preserve"> SD units above the mean of the premenopausal women. </w:t>
      </w:r>
      <w:r w:rsidR="004D2975">
        <w:rPr>
          <w:rFonts w:ascii="Arial" w:hAnsi="Arial" w:cs="Arial"/>
        </w:rPr>
        <w:t>The mean for the premenopausal women was 0 (SD: 1) .</w:t>
      </w:r>
      <w:r w:rsidR="00FE0247">
        <w:rPr>
          <w:rFonts w:ascii="Arial" w:hAnsi="Arial" w:cs="Arial"/>
        </w:rPr>
        <w:t xml:space="preserve">This was significantly different </w:t>
      </w:r>
      <w:r w:rsidR="00970AAD">
        <w:rPr>
          <w:rFonts w:ascii="Arial" w:hAnsi="Arial" w:cs="Arial"/>
        </w:rPr>
        <w:t xml:space="preserve">for the two groups (sclerostin levels combined at baseline) </w:t>
      </w:r>
      <w:r w:rsidR="00FE0247">
        <w:rPr>
          <w:rFonts w:ascii="Arial" w:hAnsi="Arial" w:cs="Arial"/>
        </w:rPr>
        <w:t xml:space="preserve">from premenopausal women by a mean of 2.5 (95% CI: 1.9, to 3.1), p&lt;0.001. </w:t>
      </w:r>
      <w:r w:rsidR="00970AAD">
        <w:rPr>
          <w:rFonts w:ascii="Arial" w:hAnsi="Arial" w:cs="Arial"/>
        </w:rPr>
        <w:t xml:space="preserve">In the group receiving raloxifene the sclerostin T-score decreased to 1.37 (95% 0.70 to 2.04) SD units and this remained significantly higher than the mean for premenopausal women, the difference was 1.37 (95% CI: 0.75 to 1.98), p&lt;0.001) </w:t>
      </w:r>
    </w:p>
    <w:p w:rsidR="003505A2" w:rsidRPr="003505A2" w:rsidRDefault="003505A2" w:rsidP="00AD2E23">
      <w:pPr>
        <w:jc w:val="both"/>
      </w:pPr>
    </w:p>
    <w:p w:rsidR="00493D83" w:rsidRDefault="00493D83" w:rsidP="00900F2C">
      <w:pPr>
        <w:keepNext/>
        <w:spacing w:line="360" w:lineRule="auto"/>
      </w:pPr>
      <w:r>
        <w:rPr>
          <w:rFonts w:ascii="Arial" w:hAnsi="Arial" w:cs="Arial"/>
          <w:noProof/>
          <w:lang w:eastAsia="zh-CN"/>
        </w:rPr>
        <w:lastRenderedPageBreak/>
        <w:drawing>
          <wp:inline distT="0" distB="0" distL="0" distR="0" wp14:anchorId="4D59524C" wp14:editId="76B6FE27">
            <wp:extent cx="5362575" cy="289693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72405" cy="2902240"/>
                    </a:xfrm>
                    <a:prstGeom prst="rect">
                      <a:avLst/>
                    </a:prstGeom>
                    <a:noFill/>
                  </pic:spPr>
                </pic:pic>
              </a:graphicData>
            </a:graphic>
          </wp:inline>
        </w:drawing>
      </w:r>
    </w:p>
    <w:p w:rsidR="00591977" w:rsidRPr="00970AAD" w:rsidRDefault="00493D83" w:rsidP="00AD2E23">
      <w:pPr>
        <w:pStyle w:val="Caption"/>
        <w:jc w:val="both"/>
        <w:rPr>
          <w:rFonts w:ascii="Arial" w:hAnsi="Arial" w:cs="Arial"/>
          <w:b w:val="0"/>
          <w:color w:val="000000" w:themeColor="text1"/>
        </w:rPr>
      </w:pPr>
      <w:bookmarkStart w:id="249" w:name="_Toc425419559"/>
      <w:r w:rsidRPr="00970AAD">
        <w:rPr>
          <w:rFonts w:ascii="Arial" w:hAnsi="Arial" w:cs="Arial"/>
          <w:b w:val="0"/>
          <w:color w:val="000000" w:themeColor="text1"/>
        </w:rPr>
        <w:t xml:space="preserve">Figure </w:t>
      </w:r>
      <w:r w:rsidRPr="00970AAD">
        <w:rPr>
          <w:rFonts w:ascii="Arial" w:hAnsi="Arial" w:cs="Arial"/>
          <w:b w:val="0"/>
          <w:color w:val="000000" w:themeColor="text1"/>
        </w:rPr>
        <w:fldChar w:fldCharType="begin"/>
      </w:r>
      <w:r w:rsidRPr="00970AAD">
        <w:rPr>
          <w:rFonts w:ascii="Arial" w:hAnsi="Arial" w:cs="Arial"/>
          <w:b w:val="0"/>
          <w:color w:val="000000" w:themeColor="text1"/>
        </w:rPr>
        <w:instrText xml:space="preserve"> SEQ Figure \* ARABIC </w:instrText>
      </w:r>
      <w:r w:rsidRPr="00970AAD">
        <w:rPr>
          <w:rFonts w:ascii="Arial" w:hAnsi="Arial" w:cs="Arial"/>
          <w:b w:val="0"/>
          <w:color w:val="000000" w:themeColor="text1"/>
        </w:rPr>
        <w:fldChar w:fldCharType="separate"/>
      </w:r>
      <w:r w:rsidR="0040369A">
        <w:rPr>
          <w:rFonts w:ascii="Arial" w:hAnsi="Arial" w:cs="Arial"/>
          <w:b w:val="0"/>
          <w:noProof/>
          <w:color w:val="000000" w:themeColor="text1"/>
        </w:rPr>
        <w:t>70</w:t>
      </w:r>
      <w:r w:rsidRPr="00970AAD">
        <w:rPr>
          <w:rFonts w:ascii="Arial" w:hAnsi="Arial" w:cs="Arial"/>
          <w:b w:val="0"/>
          <w:color w:val="000000" w:themeColor="text1"/>
        </w:rPr>
        <w:fldChar w:fldCharType="end"/>
      </w:r>
      <w:r w:rsidR="003F0A8B" w:rsidRPr="00970AAD">
        <w:rPr>
          <w:rFonts w:ascii="Arial" w:hAnsi="Arial" w:cs="Arial"/>
          <w:b w:val="0"/>
          <w:color w:val="000000" w:themeColor="text1"/>
        </w:rPr>
        <w:t xml:space="preserve">: </w:t>
      </w:r>
      <w:r w:rsidR="00591977" w:rsidRPr="00970AAD">
        <w:rPr>
          <w:rFonts w:ascii="Arial" w:hAnsi="Arial" w:cs="Arial"/>
          <w:b w:val="0"/>
          <w:color w:val="000000" w:themeColor="text1"/>
        </w:rPr>
        <w:t xml:space="preserve"> The mean T-scores calculated for sclerostin for postmenopausal women treated with raloxifene (red line) and without treatment (green line) over 48 weeks.</w:t>
      </w:r>
      <w:bookmarkEnd w:id="249"/>
      <w:r w:rsidR="00591977" w:rsidRPr="00970AAD">
        <w:rPr>
          <w:rFonts w:ascii="Arial" w:hAnsi="Arial" w:cs="Arial"/>
          <w:b w:val="0"/>
          <w:color w:val="000000" w:themeColor="text1"/>
        </w:rPr>
        <w:t xml:space="preserve"> </w:t>
      </w:r>
    </w:p>
    <w:p w:rsidR="00493D83" w:rsidRDefault="00493D83" w:rsidP="00AD2E23">
      <w:pPr>
        <w:pStyle w:val="Caption"/>
        <w:jc w:val="both"/>
        <w:rPr>
          <w:rFonts w:ascii="Arial" w:hAnsi="Arial" w:cs="Arial"/>
        </w:rPr>
      </w:pPr>
    </w:p>
    <w:p w:rsidR="00926F43" w:rsidRPr="004634D1" w:rsidRDefault="00015A50" w:rsidP="00AD2E23">
      <w:pPr>
        <w:spacing w:line="360" w:lineRule="auto"/>
        <w:jc w:val="both"/>
        <w:rPr>
          <w:rFonts w:ascii="Arial" w:hAnsi="Arial" w:cs="Arial"/>
        </w:rPr>
      </w:pPr>
      <w:r w:rsidRPr="004634D1">
        <w:rPr>
          <w:rFonts w:ascii="Arial" w:hAnsi="Arial" w:cs="Arial"/>
        </w:rPr>
        <w:t>Circulating levels of sclerostin were negatively correlated with PINP and CTX in postmenopausal women with osteopenia at baseline, (r = -0.2, p&lt;0.05 an</w:t>
      </w:r>
      <w:r w:rsidR="002B7CB5">
        <w:rPr>
          <w:rFonts w:ascii="Arial" w:hAnsi="Arial" w:cs="Arial"/>
        </w:rPr>
        <w:t>d r = -0.4, p&lt;0.001), (Figure 77</w:t>
      </w:r>
      <w:r w:rsidRPr="004634D1">
        <w:rPr>
          <w:rFonts w:ascii="Arial" w:hAnsi="Arial" w:cs="Arial"/>
        </w:rPr>
        <w:t>).</w:t>
      </w:r>
    </w:p>
    <w:p w:rsidR="00015A50" w:rsidRDefault="00FE2361" w:rsidP="00406169">
      <w:pPr>
        <w:keepNext/>
        <w:jc w:val="center"/>
      </w:pPr>
      <w:r>
        <w:rPr>
          <w:noProof/>
          <w:lang w:eastAsia="zh-CN"/>
        </w:rPr>
        <w:drawing>
          <wp:inline distT="0" distB="0" distL="0" distR="0" wp14:anchorId="6541287C" wp14:editId="0FBB02E1">
            <wp:extent cx="6166485" cy="2355438"/>
            <wp:effectExtent l="0" t="0" r="5715" b="6985"/>
            <wp:docPr id="18523" name="Picture 1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03090" cy="2369420"/>
                    </a:xfrm>
                    <a:prstGeom prst="rect">
                      <a:avLst/>
                    </a:prstGeom>
                    <a:noFill/>
                  </pic:spPr>
                </pic:pic>
              </a:graphicData>
            </a:graphic>
          </wp:inline>
        </w:drawing>
      </w:r>
    </w:p>
    <w:p w:rsidR="001075D9" w:rsidRDefault="00015A50" w:rsidP="00AD2E23">
      <w:pPr>
        <w:pStyle w:val="Caption"/>
        <w:jc w:val="both"/>
        <w:rPr>
          <w:rFonts w:ascii="Arial" w:hAnsi="Arial" w:cs="Arial"/>
          <w:b w:val="0"/>
          <w:color w:val="auto"/>
        </w:rPr>
      </w:pPr>
      <w:bookmarkStart w:id="250" w:name="_Toc425419560"/>
      <w:r w:rsidRPr="00015A50">
        <w:rPr>
          <w:rFonts w:ascii="Arial" w:hAnsi="Arial" w:cs="Arial"/>
          <w:b w:val="0"/>
          <w:color w:val="000000" w:themeColor="text1"/>
        </w:rPr>
        <w:t xml:space="preserve">Figure </w:t>
      </w:r>
      <w:r w:rsidRPr="00015A50">
        <w:rPr>
          <w:rFonts w:ascii="Arial" w:hAnsi="Arial" w:cs="Arial"/>
          <w:b w:val="0"/>
          <w:color w:val="000000" w:themeColor="text1"/>
        </w:rPr>
        <w:fldChar w:fldCharType="begin"/>
      </w:r>
      <w:r w:rsidRPr="00015A50">
        <w:rPr>
          <w:rFonts w:ascii="Arial" w:hAnsi="Arial" w:cs="Arial"/>
          <w:b w:val="0"/>
          <w:color w:val="000000" w:themeColor="text1"/>
        </w:rPr>
        <w:instrText xml:space="preserve"> SEQ Figure \* ARABIC </w:instrText>
      </w:r>
      <w:r w:rsidRPr="00015A50">
        <w:rPr>
          <w:rFonts w:ascii="Arial" w:hAnsi="Arial" w:cs="Arial"/>
          <w:b w:val="0"/>
          <w:color w:val="000000" w:themeColor="text1"/>
        </w:rPr>
        <w:fldChar w:fldCharType="separate"/>
      </w:r>
      <w:r w:rsidR="0040369A">
        <w:rPr>
          <w:rFonts w:ascii="Arial" w:hAnsi="Arial" w:cs="Arial"/>
          <w:b w:val="0"/>
          <w:noProof/>
          <w:color w:val="000000" w:themeColor="text1"/>
        </w:rPr>
        <w:t>71</w:t>
      </w:r>
      <w:r w:rsidRPr="00015A50">
        <w:rPr>
          <w:rFonts w:ascii="Arial" w:hAnsi="Arial" w:cs="Arial"/>
          <w:b w:val="0"/>
          <w:color w:val="000000" w:themeColor="text1"/>
        </w:rPr>
        <w:fldChar w:fldCharType="end"/>
      </w:r>
      <w:r w:rsidRPr="00015A50">
        <w:rPr>
          <w:rFonts w:ascii="Arial" w:hAnsi="Arial" w:cs="Arial"/>
          <w:b w:val="0"/>
          <w:color w:val="000000" w:themeColor="text1"/>
        </w:rPr>
        <w:t xml:space="preserve">: Scatter plot showing the correlation between serum sclerostin and PINP (left) and CTX (right) in postmenopausal women </w:t>
      </w:r>
      <w:r w:rsidRPr="00015A50">
        <w:rPr>
          <w:rFonts w:ascii="Arial" w:hAnsi="Arial" w:cs="Arial"/>
          <w:b w:val="0"/>
          <w:color w:val="auto"/>
        </w:rPr>
        <w:t>with osteopenia at baseline prior to raloxifene treatment (N = 44).</w:t>
      </w:r>
      <w:bookmarkEnd w:id="250"/>
    </w:p>
    <w:p w:rsidR="00BC31C3" w:rsidRPr="00EE249A" w:rsidRDefault="00BC31C3" w:rsidP="00AD2E23">
      <w:pPr>
        <w:spacing w:line="360" w:lineRule="auto"/>
        <w:jc w:val="both"/>
        <w:rPr>
          <w:rFonts w:ascii="Arial" w:hAnsi="Arial" w:cs="Arial"/>
        </w:rPr>
      </w:pPr>
      <w:r w:rsidRPr="00EE249A">
        <w:rPr>
          <w:rFonts w:ascii="Arial" w:hAnsi="Arial" w:cs="Arial"/>
        </w:rPr>
        <w:t>There was no correlation between the change in sclerostin levels after 48 weeks of treatment and the change in bone balan</w:t>
      </w:r>
      <w:r w:rsidR="002B7CB5">
        <w:rPr>
          <w:rFonts w:ascii="Arial" w:hAnsi="Arial" w:cs="Arial"/>
        </w:rPr>
        <w:t>ce and bone turnover, (Figure 78</w:t>
      </w:r>
      <w:r w:rsidRPr="00EE249A">
        <w:rPr>
          <w:rFonts w:ascii="Arial" w:hAnsi="Arial" w:cs="Arial"/>
        </w:rPr>
        <w:t>). The Spearman rank correlation coefficient with bone balance was 0.25 (95% CI: -0.11 to 0.55, p&gt;0.05)</w:t>
      </w:r>
      <w:r w:rsidR="007B44F3" w:rsidRPr="00EE249A">
        <w:rPr>
          <w:rFonts w:ascii="Arial" w:hAnsi="Arial" w:cs="Arial"/>
        </w:rPr>
        <w:t xml:space="preserve"> and bone turnover was -0.14 (95% CI: -0.52 to 0.38, p&gt;0.05).</w:t>
      </w:r>
    </w:p>
    <w:p w:rsidR="00BC31C3" w:rsidRDefault="007C3307" w:rsidP="00900F2C">
      <w:r>
        <w:rPr>
          <w:noProof/>
          <w:lang w:eastAsia="zh-CN"/>
        </w:rPr>
        <w:lastRenderedPageBreak/>
        <w:drawing>
          <wp:inline distT="0" distB="0" distL="0" distR="0" wp14:anchorId="146A1F73" wp14:editId="46452A9C">
            <wp:extent cx="2590800" cy="2571515"/>
            <wp:effectExtent l="0" t="0" r="0" b="635"/>
            <wp:docPr id="18589" name="Picture 1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9">
                      <a:extLst>
                        <a:ext uri="{28A0092B-C50C-407E-A947-70E740481C1C}">
                          <a14:useLocalDpi xmlns:a14="http://schemas.microsoft.com/office/drawing/2010/main" val="0"/>
                        </a:ext>
                      </a:extLst>
                    </a:blip>
                    <a:srcRect b="50329"/>
                    <a:stretch/>
                  </pic:blipFill>
                  <pic:spPr bwMode="auto">
                    <a:xfrm>
                      <a:off x="0" y="0"/>
                      <a:ext cx="2594735" cy="257542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6808679" wp14:editId="6BB3CE0F">
            <wp:extent cx="2562225" cy="2387399"/>
            <wp:effectExtent l="0" t="0" r="0" b="0"/>
            <wp:docPr id="18590" name="Picture 1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_Sclerostin.png"/>
                    <pic:cNvPicPr/>
                  </pic:nvPicPr>
                  <pic:blipFill rotWithShape="1">
                    <a:blip r:embed="rId190" cstate="print">
                      <a:extLst>
                        <a:ext uri="{28A0092B-C50C-407E-A947-70E740481C1C}">
                          <a14:useLocalDpi xmlns:a14="http://schemas.microsoft.com/office/drawing/2010/main" val="0"/>
                        </a:ext>
                      </a:extLst>
                    </a:blip>
                    <a:srcRect t="53412"/>
                    <a:stretch/>
                  </pic:blipFill>
                  <pic:spPr bwMode="auto">
                    <a:xfrm>
                      <a:off x="0" y="0"/>
                      <a:ext cx="2573262" cy="2397683"/>
                    </a:xfrm>
                    <a:prstGeom prst="rect">
                      <a:avLst/>
                    </a:prstGeom>
                    <a:ln>
                      <a:noFill/>
                    </a:ln>
                    <a:extLst>
                      <a:ext uri="{53640926-AAD7-44D8-BBD7-CCE9431645EC}">
                        <a14:shadowObscured xmlns:a14="http://schemas.microsoft.com/office/drawing/2010/main"/>
                      </a:ext>
                    </a:extLst>
                  </pic:spPr>
                </pic:pic>
              </a:graphicData>
            </a:graphic>
          </wp:inline>
        </w:drawing>
      </w:r>
    </w:p>
    <w:p w:rsidR="007C3307" w:rsidRPr="0075240B" w:rsidRDefault="00BC31C3" w:rsidP="00AD2E23">
      <w:pPr>
        <w:pStyle w:val="Caption"/>
        <w:jc w:val="both"/>
        <w:rPr>
          <w:rFonts w:ascii="Arial" w:hAnsi="Arial" w:cs="Arial"/>
          <w:b w:val="0"/>
          <w:color w:val="000000" w:themeColor="text1"/>
        </w:rPr>
      </w:pPr>
      <w:bookmarkStart w:id="251" w:name="_Toc425419561"/>
      <w:r w:rsidRPr="0075240B">
        <w:rPr>
          <w:rFonts w:ascii="Arial" w:hAnsi="Arial" w:cs="Arial"/>
          <w:b w:val="0"/>
          <w:color w:val="000000" w:themeColor="text1"/>
        </w:rPr>
        <w:t xml:space="preserve">Figure </w:t>
      </w:r>
      <w:r w:rsidR="00212439" w:rsidRPr="0075240B">
        <w:rPr>
          <w:rFonts w:ascii="Arial" w:hAnsi="Arial" w:cs="Arial"/>
          <w:b w:val="0"/>
          <w:color w:val="000000" w:themeColor="text1"/>
        </w:rPr>
        <w:fldChar w:fldCharType="begin"/>
      </w:r>
      <w:r w:rsidR="00212439" w:rsidRPr="0075240B">
        <w:rPr>
          <w:rFonts w:ascii="Arial" w:hAnsi="Arial" w:cs="Arial"/>
          <w:b w:val="0"/>
          <w:color w:val="000000" w:themeColor="text1"/>
        </w:rPr>
        <w:instrText xml:space="preserve"> SEQ Figure \* ARABIC </w:instrText>
      </w:r>
      <w:r w:rsidR="00212439" w:rsidRPr="0075240B">
        <w:rPr>
          <w:rFonts w:ascii="Arial" w:hAnsi="Arial" w:cs="Arial"/>
          <w:b w:val="0"/>
          <w:color w:val="000000" w:themeColor="text1"/>
        </w:rPr>
        <w:fldChar w:fldCharType="separate"/>
      </w:r>
      <w:r w:rsidR="0040369A">
        <w:rPr>
          <w:rFonts w:ascii="Arial" w:hAnsi="Arial" w:cs="Arial"/>
          <w:b w:val="0"/>
          <w:noProof/>
          <w:color w:val="000000" w:themeColor="text1"/>
        </w:rPr>
        <w:t>72</w:t>
      </w:r>
      <w:r w:rsidR="00212439" w:rsidRPr="0075240B">
        <w:rPr>
          <w:rFonts w:ascii="Arial" w:hAnsi="Arial" w:cs="Arial"/>
          <w:b w:val="0"/>
          <w:noProof/>
          <w:color w:val="000000" w:themeColor="text1"/>
        </w:rPr>
        <w:fldChar w:fldCharType="end"/>
      </w:r>
      <w:r w:rsidRPr="0075240B">
        <w:rPr>
          <w:rFonts w:ascii="Arial" w:hAnsi="Arial" w:cs="Arial"/>
          <w:b w:val="0"/>
          <w:color w:val="000000" w:themeColor="text1"/>
        </w:rPr>
        <w:t>:</w:t>
      </w:r>
      <w:r w:rsidR="00B95947" w:rsidRPr="0075240B">
        <w:rPr>
          <w:rFonts w:ascii="Arial" w:hAnsi="Arial" w:cs="Arial"/>
          <w:b w:val="0"/>
          <w:color w:val="000000" w:themeColor="text1"/>
        </w:rPr>
        <w:t xml:space="preserve"> Scatter plot showing the correlation between the change in sclerostin levels and bone balance (left) and bone turnover (right) in postmenopausal women with osteopenia 48 weeks after treatment (N = 23).</w:t>
      </w:r>
      <w:bookmarkEnd w:id="251"/>
    </w:p>
    <w:p w:rsidR="003576F7" w:rsidRDefault="003576F7" w:rsidP="00AD2E23">
      <w:pPr>
        <w:pStyle w:val="Heading2"/>
        <w:jc w:val="both"/>
      </w:pPr>
      <w:bookmarkStart w:id="252" w:name="_Toc425418974"/>
      <w:r>
        <w:t>Discussion</w:t>
      </w:r>
      <w:bookmarkEnd w:id="252"/>
    </w:p>
    <w:p w:rsidR="00265146" w:rsidRDefault="004514F3" w:rsidP="003B725E">
      <w:pPr>
        <w:spacing w:line="360" w:lineRule="auto"/>
        <w:jc w:val="both"/>
        <w:rPr>
          <w:rFonts w:ascii="Arial" w:hAnsi="Arial" w:cs="Arial"/>
        </w:rPr>
      </w:pPr>
      <w:r>
        <w:rPr>
          <w:rFonts w:ascii="Arial" w:hAnsi="Arial" w:cs="Arial"/>
        </w:rPr>
        <w:t xml:space="preserve">In postmenopausal women estrogen deficiency results in increased osteoclast and osteoblast </w:t>
      </w:r>
      <w:r w:rsidR="005F22A9">
        <w:rPr>
          <w:rFonts w:ascii="Arial" w:hAnsi="Arial" w:cs="Arial"/>
        </w:rPr>
        <w:t xml:space="preserve">recruitment and </w:t>
      </w:r>
      <w:r>
        <w:rPr>
          <w:rFonts w:ascii="Arial" w:hAnsi="Arial" w:cs="Arial"/>
        </w:rPr>
        <w:t>activity</w:t>
      </w:r>
      <w:r w:rsidR="00BB04B1">
        <w:rPr>
          <w:rFonts w:ascii="Arial" w:hAnsi="Arial" w:cs="Arial"/>
        </w:rPr>
        <w:t xml:space="preserve"> </w:t>
      </w:r>
      <w:r w:rsidR="00BB04B1">
        <w:rPr>
          <w:rFonts w:ascii="Arial" w:hAnsi="Arial" w:cs="Arial"/>
        </w:rPr>
        <w:fldChar w:fldCharType="begin"/>
      </w:r>
      <w:r w:rsidR="00066E61">
        <w:rPr>
          <w:rFonts w:ascii="Arial" w:hAnsi="Arial" w:cs="Arial"/>
        </w:rPr>
        <w:instrText xml:space="preserve"> ADDIN EN.CITE &lt;EndNote&gt;&lt;Cite&gt;&lt;Author&gt;Cauley&lt;/Author&gt;&lt;Year&gt;2014&lt;/Year&gt;&lt;RecNum&gt;253&lt;/RecNum&gt;&lt;DisplayText&gt;(477)&lt;/DisplayText&gt;&lt;record&gt;&lt;rec-number&gt;253&lt;/rec-number&gt;&lt;foreign-keys&gt;&lt;key app="EN" db-id="p9a5ttsvyvde9me5aw2x05fp5p55axf0wr90" timestamp="1427455336"&gt;253&lt;/key&gt;&lt;/foreign-keys&gt;&lt;ref-type name="Journal Article"&gt;17&lt;/ref-type&gt;&lt;contributors&gt;&lt;authors&gt;&lt;author&gt;Cauley, J. A.&lt;/author&gt;&lt;/authors&gt;&lt;/contributors&gt;&lt;auth-address&gt;University of Pittsburgh, Graduate School of Public Health, Department of Epidemiology, United States. Electronic address: jcauley@edc.pitt.edu.&lt;/auth-address&gt;&lt;titles&gt;&lt;title&gt;Estrogen and bone health in men and women&lt;/title&gt;&lt;secondary-title&gt;Steroids&lt;/secondary-title&gt;&lt;alt-title&gt;Steroids&lt;/alt-title&gt;&lt;/titles&gt;&lt;periodical&gt;&lt;full-title&gt;Steroids&lt;/full-title&gt;&lt;abbr-1&gt;Steroids&lt;/abbr-1&gt;&lt;/periodical&gt;&lt;alt-periodical&gt;&lt;full-title&gt;Steroids&lt;/full-title&gt;&lt;abbr-1&gt;Steroids&lt;/abbr-1&gt;&lt;/alt-periodical&gt;&lt;edition&gt;2015/01/04&lt;/edition&gt;&lt;keywords&gt;&lt;keyword&gt;Estradiol&lt;/keyword&gt;&lt;keyword&gt;Estrogen&lt;/keyword&gt;&lt;keyword&gt;Fracture&lt;/keyword&gt;&lt;keyword&gt;Hormone therapy&lt;/keyword&gt;&lt;keyword&gt;Osteoporosis&lt;/keyword&gt;&lt;keyword&gt;Sex steroid hormones&lt;/keyword&gt;&lt;/keywords&gt;&lt;dates&gt;&lt;year&gt;2014&lt;/year&gt;&lt;pub-dates&gt;&lt;date&gt;Dec 30&lt;/date&gt;&lt;/pub-dates&gt;&lt;/dates&gt;&lt;isbn&gt;0039-128x&lt;/isbn&gt;&lt;accession-num&gt;25555470&lt;/accession-num&gt;&lt;urls&gt;&lt;/urls&gt;&lt;electronic-resource-num&gt;10.1016/j.steroids.2014.12.010&lt;/electronic-resource-num&gt;&lt;remote-database-provider&gt;NLM&lt;/remote-database-provider&gt;&lt;language&gt;Eng&lt;/language&gt;&lt;/record&gt;&lt;/Cite&gt;&lt;/EndNote&gt;</w:instrText>
      </w:r>
      <w:r w:rsidR="00BB04B1">
        <w:rPr>
          <w:rFonts w:ascii="Arial" w:hAnsi="Arial" w:cs="Arial"/>
        </w:rPr>
        <w:fldChar w:fldCharType="separate"/>
      </w:r>
      <w:r w:rsidR="00066E61">
        <w:rPr>
          <w:rFonts w:ascii="Arial" w:hAnsi="Arial" w:cs="Arial"/>
          <w:noProof/>
        </w:rPr>
        <w:t>(</w:t>
      </w:r>
      <w:hyperlink w:anchor="_ENREF_477" w:tooltip="Cauley, 2014 #253" w:history="1">
        <w:r w:rsidR="003B725E">
          <w:rPr>
            <w:rFonts w:ascii="Arial" w:hAnsi="Arial" w:cs="Arial"/>
            <w:noProof/>
          </w:rPr>
          <w:t>477</w:t>
        </w:r>
      </w:hyperlink>
      <w:r w:rsidR="00066E61">
        <w:rPr>
          <w:rFonts w:ascii="Arial" w:hAnsi="Arial" w:cs="Arial"/>
          <w:noProof/>
        </w:rPr>
        <w:t>)</w:t>
      </w:r>
      <w:r w:rsidR="00BB04B1">
        <w:rPr>
          <w:rFonts w:ascii="Arial" w:hAnsi="Arial" w:cs="Arial"/>
        </w:rPr>
        <w:fldChar w:fldCharType="end"/>
      </w:r>
      <w:r w:rsidR="00BB04B1">
        <w:rPr>
          <w:rFonts w:ascii="Arial" w:hAnsi="Arial" w:cs="Arial"/>
        </w:rPr>
        <w:t xml:space="preserve">. </w:t>
      </w:r>
      <w:r w:rsidR="00CE5383" w:rsidRPr="00265146">
        <w:rPr>
          <w:rFonts w:ascii="Arial" w:hAnsi="Arial" w:cs="Arial"/>
        </w:rPr>
        <w:t xml:space="preserve">Raloxifene is an established </w:t>
      </w:r>
      <w:r w:rsidR="00A7342B" w:rsidRPr="00265146">
        <w:rPr>
          <w:rFonts w:ascii="Arial" w:hAnsi="Arial" w:cs="Arial"/>
        </w:rPr>
        <w:t xml:space="preserve">and approved </w:t>
      </w:r>
      <w:r w:rsidR="00CE5383" w:rsidRPr="00265146">
        <w:rPr>
          <w:rFonts w:ascii="Arial" w:hAnsi="Arial" w:cs="Arial"/>
        </w:rPr>
        <w:t xml:space="preserve">treatment for postmenopausal women with osteopenia and is commonly used to for the prevention of osteoporosis. It suppresses bone resorption and bone formation to levels </w:t>
      </w:r>
      <w:r w:rsidR="00A7342B" w:rsidRPr="00265146">
        <w:rPr>
          <w:rFonts w:ascii="Arial" w:hAnsi="Arial" w:cs="Arial"/>
        </w:rPr>
        <w:t xml:space="preserve">observed in premenopausal women. Other studies have shown that it reduces the risk of vertebral fractures </w:t>
      </w:r>
      <w:r w:rsidR="0075240B">
        <w:rPr>
          <w:rFonts w:ascii="Arial" w:hAnsi="Arial" w:cs="Arial"/>
        </w:rPr>
        <w:fldChar w:fldCharType="begin">
          <w:fldData xml:space="preserve">PEVuZE5vdGU+PENpdGU+PEF1dGhvcj5FdHRpbmdlcjwvQXV0aG9yPjxZZWFyPjE5OTk8L1llYXI+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cGVyaW9kaWNhbD48cGFnZXM+NjM3LTQ1PC9wYWdlcz48dm9sdW1lPjI4Mjwvdm9sdW1lPjxudW1i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</w:fldData>
        </w:fldChar>
      </w:r>
      <w:r w:rsidR="008E761B">
        <w:rPr>
          <w:rFonts w:ascii="Arial" w:hAnsi="Arial" w:cs="Arial"/>
        </w:rPr>
        <w:instrText xml:space="preserve"> ADDIN EN.CITE </w:instrText>
      </w:r>
      <w:r w:rsidR="008E761B">
        <w:rPr>
          <w:rFonts w:ascii="Arial" w:hAnsi="Arial" w:cs="Arial"/>
        </w:rPr>
        <w:fldChar w:fldCharType="begin">
          <w:fldData xml:space="preserve">PEVuZE5vdGU+PENpdGU+PEF1dGhvcj5FdHRpbmdlcjwvQXV0aG9yPjxZZWFyPjE5OTk8L1llYXI+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cGVyaW9kaWNhbD48cGFnZXM+NjM3LTQ1PC9wYWdlcz48dm9sdW1lPjI4Mjwvdm9sdW1lPjxudW1i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</w:fldData>
        </w:fldChar>
      </w:r>
      <w:r w:rsidR="008E761B">
        <w:rPr>
          <w:rFonts w:ascii="Arial" w:hAnsi="Arial" w:cs="Arial"/>
        </w:rPr>
        <w:instrText xml:space="preserve"> ADDIN EN.CITE.DATA </w:instrText>
      </w:r>
      <w:r w:rsidR="008E761B">
        <w:rPr>
          <w:rFonts w:ascii="Arial" w:hAnsi="Arial" w:cs="Arial"/>
        </w:rPr>
      </w:r>
      <w:r w:rsidR="008E761B">
        <w:rPr>
          <w:rFonts w:ascii="Arial" w:hAnsi="Arial" w:cs="Arial"/>
        </w:rPr>
        <w:fldChar w:fldCharType="end"/>
      </w:r>
      <w:r w:rsidR="0075240B">
        <w:rPr>
          <w:rFonts w:ascii="Arial" w:hAnsi="Arial" w:cs="Arial"/>
        </w:rPr>
      </w:r>
      <w:r w:rsidR="0075240B">
        <w:rPr>
          <w:rFonts w:ascii="Arial" w:hAnsi="Arial" w:cs="Arial"/>
        </w:rPr>
        <w:fldChar w:fldCharType="separate"/>
      </w:r>
      <w:r w:rsidR="008E761B">
        <w:rPr>
          <w:rFonts w:ascii="Arial" w:hAnsi="Arial" w:cs="Arial"/>
          <w:noProof/>
        </w:rPr>
        <w:t>(</w:t>
      </w:r>
      <w:hyperlink w:anchor="_ENREF_302" w:tooltip="Ettinger, 1999 #150" w:history="1">
        <w:r w:rsidR="003B725E">
          <w:rPr>
            <w:rFonts w:ascii="Arial" w:hAnsi="Arial" w:cs="Arial"/>
            <w:noProof/>
          </w:rPr>
          <w:t>302</w:t>
        </w:r>
      </w:hyperlink>
      <w:r w:rsidR="008E761B">
        <w:rPr>
          <w:rFonts w:ascii="Arial" w:hAnsi="Arial" w:cs="Arial"/>
          <w:noProof/>
        </w:rPr>
        <w:t>)</w:t>
      </w:r>
      <w:r w:rsidR="0075240B">
        <w:rPr>
          <w:rFonts w:ascii="Arial" w:hAnsi="Arial" w:cs="Arial"/>
        </w:rPr>
        <w:fldChar w:fldCharType="end"/>
      </w:r>
      <w:r w:rsidR="0075240B">
        <w:rPr>
          <w:rFonts w:ascii="Arial" w:hAnsi="Arial" w:cs="Arial"/>
        </w:rPr>
        <w:t>.</w:t>
      </w:r>
      <w:r w:rsidR="00A7342B" w:rsidRPr="00265146">
        <w:rPr>
          <w:rFonts w:ascii="Arial" w:hAnsi="Arial" w:cs="Arial"/>
        </w:rPr>
        <w:t xml:space="preserve"> </w:t>
      </w:r>
      <w:r w:rsidR="002B7CB5">
        <w:rPr>
          <w:rFonts w:ascii="Arial" w:hAnsi="Arial" w:cs="Arial"/>
        </w:rPr>
        <w:t>Using the T</w:t>
      </w:r>
      <w:r w:rsidR="005F0C3C" w:rsidRPr="00265146">
        <w:rPr>
          <w:rFonts w:ascii="Arial" w:hAnsi="Arial" w:cs="Arial"/>
        </w:rPr>
        <w:t xml:space="preserve">-score bone marker plot I have shown that postmenopausal women with osteopenia have a high bone turnover and a normal bone balance compared to healthy premenopausal women. </w:t>
      </w:r>
      <w:r w:rsidR="008F65E1" w:rsidRPr="00265146">
        <w:rPr>
          <w:rFonts w:ascii="Arial" w:hAnsi="Arial" w:cs="Arial"/>
        </w:rPr>
        <w:t>Raloxifene significantly reduced bone turnover but does not improve balance but rather maintains it at normal levels. The latter does not therefore support the hypothesis</w:t>
      </w:r>
      <w:r w:rsidR="00B14708">
        <w:rPr>
          <w:rFonts w:ascii="Arial" w:hAnsi="Arial" w:cs="Arial"/>
        </w:rPr>
        <w:t xml:space="preserve"> that bone balance is improved</w:t>
      </w:r>
      <w:r w:rsidR="008F65E1" w:rsidRPr="00265146">
        <w:rPr>
          <w:rFonts w:ascii="Arial" w:hAnsi="Arial" w:cs="Arial"/>
        </w:rPr>
        <w:t>. This suggests that the reduction in vertebral fracture risk</w:t>
      </w:r>
      <w:r w:rsidR="00265146">
        <w:rPr>
          <w:rFonts w:ascii="Arial" w:hAnsi="Arial" w:cs="Arial"/>
        </w:rPr>
        <w:t xml:space="preserve"> with raloxifene treatment</w:t>
      </w:r>
      <w:r w:rsidR="008F65E1" w:rsidRPr="00265146">
        <w:rPr>
          <w:rFonts w:ascii="Arial" w:hAnsi="Arial" w:cs="Arial"/>
        </w:rPr>
        <w:t xml:space="preserve"> is not as a result </w:t>
      </w:r>
      <w:r w:rsidR="00265146" w:rsidRPr="00265146">
        <w:rPr>
          <w:rFonts w:ascii="Arial" w:hAnsi="Arial" w:cs="Arial"/>
        </w:rPr>
        <w:t>of a positive balance.</w:t>
      </w:r>
      <w:r w:rsidR="00D72A4F">
        <w:rPr>
          <w:rFonts w:ascii="Arial" w:hAnsi="Arial" w:cs="Arial"/>
        </w:rPr>
        <w:t xml:space="preserve"> It may be related to a lower number of resorption cavities bu this requires further investigation.</w:t>
      </w:r>
    </w:p>
    <w:p w:rsidR="00837845" w:rsidRDefault="00D07305" w:rsidP="003B725E">
      <w:pPr>
        <w:spacing w:line="360" w:lineRule="auto"/>
        <w:jc w:val="both"/>
        <w:rPr>
          <w:rFonts w:ascii="Arial" w:hAnsi="Arial" w:cs="Arial"/>
        </w:rPr>
      </w:pPr>
      <w:r>
        <w:rPr>
          <w:rFonts w:ascii="Arial" w:hAnsi="Arial" w:cs="Arial"/>
        </w:rPr>
        <w:t xml:space="preserve">As in the previous chapter postmenopausal women have a higher level of circulating </w:t>
      </w:r>
      <w:r w:rsidR="00F9406A">
        <w:rPr>
          <w:rFonts w:ascii="Arial" w:hAnsi="Arial" w:cs="Arial"/>
        </w:rPr>
        <w:t>sclerostin</w:t>
      </w:r>
      <w:r>
        <w:rPr>
          <w:rFonts w:ascii="Arial" w:hAnsi="Arial" w:cs="Arial"/>
        </w:rPr>
        <w:t xml:space="preserve"> compared to premenopausal women. These supports the suggestions made by others that sclerostin mediates the bone loss we see as a result of estrogen deficiency </w:t>
      </w:r>
      <w:r w:rsidR="0075240B">
        <w:rPr>
          <w:rFonts w:ascii="Arial" w:hAnsi="Arial" w:cs="Arial"/>
        </w:rPr>
        <w:fldChar w:fldCharType="begin">
          <w:fldData xml:space="preserve">PEVuZE5vdGU+PENpdGU+PEF1dGhvcj5Nb2RkZXI8L0F1dGhvcj48WWVhcj4yMDExPC9ZZWFyPjxS
ZWNOdW0+MjU1PC9SZWNOdW0+PERpc3BsYXlUZXh0PigzMjIpPC9EaXNwbGF5VGV4dD48cmVjb3Jk
PjxyZWMtbnVtYmVyPjI1NTwvcmVjLW51bWJlcj48Zm9yZWlnbi1rZXlzPjxrZXkgYXBwPSJFTiIg
ZGItaWQ9InA5YTV0dHN2eXZkZTltZTVhdzJ4MDVmcDVwNTVheGYwd3I5MCIgdGltZXN0YW1wPSIx
NDI3NDYxMTIzIj4yNTU8L2tleT48L2ZvcmVpZ24ta2V5cz48cmVmLXR5cGUgbmFtZT0iSm91cm5h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ZXNlYXJjaDwvYWJici0xPjwvYWx0LXBlcmlvZGljYWw+PHBhZ2VzPjI3LTM0PC9wYWdlcz48dm9s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PEVuZE5vdGU+PENpdGU+PEF1dGhvcj5Nb2RkZXI8L0F1dGhvcj48WWVhcj4yMDExPC9ZZWFyPjxS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PGFsdC1wZXJpb2RpY2FsPjxmdWxsLXRpdGxlPkogQm9uZSBNaW5lciBSZXM8L2Z1bGwtdGl0bGU+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75240B">
        <w:rPr>
          <w:rFonts w:ascii="Arial" w:hAnsi="Arial" w:cs="Arial"/>
        </w:rPr>
      </w:r>
      <w:r w:rsidR="0075240B">
        <w:rPr>
          <w:rFonts w:ascii="Arial" w:hAnsi="Arial" w:cs="Arial"/>
        </w:rPr>
        <w:fldChar w:fldCharType="separate"/>
      </w:r>
      <w:r w:rsidR="00B64C0F">
        <w:rPr>
          <w:rFonts w:ascii="Arial" w:hAnsi="Arial" w:cs="Arial"/>
          <w:noProof/>
        </w:rPr>
        <w:t>(</w:t>
      </w:r>
      <w:hyperlink w:anchor="_ENREF_322" w:tooltip="Modder, 2011 #450" w:history="1">
        <w:r w:rsidR="003B725E">
          <w:rPr>
            <w:rFonts w:ascii="Arial" w:hAnsi="Arial" w:cs="Arial"/>
            <w:noProof/>
          </w:rPr>
          <w:t>322</w:t>
        </w:r>
      </w:hyperlink>
      <w:r w:rsidR="00B64C0F">
        <w:rPr>
          <w:rFonts w:ascii="Arial" w:hAnsi="Arial" w:cs="Arial"/>
          <w:noProof/>
        </w:rPr>
        <w:t>)</w:t>
      </w:r>
      <w:r w:rsidR="0075240B">
        <w:rPr>
          <w:rFonts w:ascii="Arial" w:hAnsi="Arial" w:cs="Arial"/>
        </w:rPr>
        <w:fldChar w:fldCharType="end"/>
      </w:r>
      <w:r w:rsidR="0075240B">
        <w:rPr>
          <w:rFonts w:ascii="Arial" w:hAnsi="Arial" w:cs="Arial"/>
        </w:rPr>
        <w:t>.</w:t>
      </w:r>
      <w:r w:rsidR="00970AAD">
        <w:rPr>
          <w:rFonts w:ascii="Arial" w:hAnsi="Arial" w:cs="Arial"/>
        </w:rPr>
        <w:t xml:space="preserve"> Using the T-score bone marker method I have shown that raloxifene treatment did not </w:t>
      </w:r>
      <w:r w:rsidR="004D2975">
        <w:rPr>
          <w:rFonts w:ascii="Arial" w:hAnsi="Arial" w:cs="Arial"/>
        </w:rPr>
        <w:t>reduce sclerostin levels to the premenopausal levels.</w:t>
      </w:r>
    </w:p>
    <w:p w:rsidR="00265146" w:rsidRDefault="003C3581" w:rsidP="003B725E">
      <w:pPr>
        <w:spacing w:line="360" w:lineRule="auto"/>
        <w:jc w:val="both"/>
        <w:rPr>
          <w:rFonts w:ascii="Arial" w:hAnsi="Arial" w:cs="Arial"/>
        </w:rPr>
      </w:pPr>
      <w:r>
        <w:rPr>
          <w:rFonts w:ascii="Arial" w:hAnsi="Arial" w:cs="Arial"/>
        </w:rPr>
        <w:t xml:space="preserve">The main </w:t>
      </w:r>
      <w:r w:rsidR="004514F3">
        <w:rPr>
          <w:rFonts w:ascii="Arial" w:hAnsi="Arial" w:cs="Arial"/>
        </w:rPr>
        <w:t>finding from this chapter is that</w:t>
      </w:r>
      <w:r>
        <w:rPr>
          <w:rFonts w:ascii="Arial" w:hAnsi="Arial" w:cs="Arial"/>
        </w:rPr>
        <w:t xml:space="preserve"> raloxifene treatment significantly reduced levels of circulating sclerostin in postmenopausal </w:t>
      </w:r>
      <w:r w:rsidR="007C2010">
        <w:rPr>
          <w:rFonts w:ascii="Arial" w:hAnsi="Arial" w:cs="Arial"/>
        </w:rPr>
        <w:t>women with osteopenia. This is</w:t>
      </w:r>
      <w:r>
        <w:rPr>
          <w:rFonts w:ascii="Arial" w:hAnsi="Arial" w:cs="Arial"/>
        </w:rPr>
        <w:t xml:space="preserve"> comparable</w:t>
      </w:r>
      <w:r w:rsidR="00D07305">
        <w:rPr>
          <w:rFonts w:ascii="Arial" w:hAnsi="Arial" w:cs="Arial"/>
        </w:rPr>
        <w:t xml:space="preserve"> to </w:t>
      </w:r>
      <w:r w:rsidR="004514F3">
        <w:rPr>
          <w:rFonts w:ascii="Arial" w:hAnsi="Arial" w:cs="Arial"/>
        </w:rPr>
        <w:t>the</w:t>
      </w:r>
      <w:r>
        <w:rPr>
          <w:rFonts w:ascii="Arial" w:hAnsi="Arial" w:cs="Arial"/>
        </w:rPr>
        <w:t xml:space="preserve"> finding</w:t>
      </w:r>
      <w:r w:rsidR="00D07305">
        <w:rPr>
          <w:rFonts w:ascii="Arial" w:hAnsi="Arial" w:cs="Arial"/>
        </w:rPr>
        <w:t>s</w:t>
      </w:r>
      <w:r>
        <w:rPr>
          <w:rFonts w:ascii="Arial" w:hAnsi="Arial" w:cs="Arial"/>
        </w:rPr>
        <w:t xml:space="preserve"> </w:t>
      </w:r>
      <w:r w:rsidR="00D07305">
        <w:rPr>
          <w:rFonts w:ascii="Arial" w:hAnsi="Arial" w:cs="Arial"/>
        </w:rPr>
        <w:t>from</w:t>
      </w:r>
      <w:r w:rsidR="0039666C">
        <w:rPr>
          <w:rFonts w:ascii="Arial" w:hAnsi="Arial" w:cs="Arial"/>
        </w:rPr>
        <w:t xml:space="preserve"> Chung YE et al, 2012 </w:t>
      </w:r>
      <w:r w:rsidR="0039666C">
        <w:rPr>
          <w:rFonts w:ascii="Arial" w:hAnsi="Arial" w:cs="Arial"/>
        </w:rPr>
        <w:fldChar w:fldCharType="begin">
          <w:fldData xml:space="preserve">PEVuZE5vdGU+PENpdGU+PEF1dGhvcj5DaHVuZzwvQXV0aG9yPjxZZWFyPjIwMTI8L1llYXI+PFJl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ZXM+PHBlcmlvZGljYWw+PGZ1bGwtdGl0bGU+T3N0ZW9wb3JvcyBJbnQ8L2Z1bGwtdGl0bGU+PGFi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PEVuZE5vdGU+PENpdGU+PEF1dGhvcj5DaHVuZzwvQXV0aG9yPjxZZWFyPjIwMTI8L1llYXI+PFJl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ZXM+PHBlcmlvZGljYWw+PGZ1bGwtdGl0bGU+T3N0ZW9wb3JvcyBJbnQ8L2Z1bGwtdGl0bGU+PGFi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39666C">
        <w:rPr>
          <w:rFonts w:ascii="Arial" w:hAnsi="Arial" w:cs="Arial"/>
        </w:rPr>
      </w:r>
      <w:r w:rsidR="0039666C">
        <w:rPr>
          <w:rFonts w:ascii="Arial" w:hAnsi="Arial" w:cs="Arial"/>
        </w:rPr>
        <w:fldChar w:fldCharType="separate"/>
      </w:r>
      <w:r w:rsidR="00066E61">
        <w:rPr>
          <w:rFonts w:ascii="Arial" w:hAnsi="Arial" w:cs="Arial"/>
          <w:noProof/>
        </w:rPr>
        <w:t>(</w:t>
      </w:r>
      <w:hyperlink w:anchor="_ENREF_465" w:tooltip="Chung, 2012 #256" w:history="1">
        <w:r w:rsidR="003B725E">
          <w:rPr>
            <w:rFonts w:ascii="Arial" w:hAnsi="Arial" w:cs="Arial"/>
            <w:noProof/>
          </w:rPr>
          <w:t>465</w:t>
        </w:r>
      </w:hyperlink>
      <w:r w:rsidR="00066E61">
        <w:rPr>
          <w:rFonts w:ascii="Arial" w:hAnsi="Arial" w:cs="Arial"/>
          <w:noProof/>
        </w:rPr>
        <w:t>)</w:t>
      </w:r>
      <w:r w:rsidR="0039666C">
        <w:rPr>
          <w:rFonts w:ascii="Arial" w:hAnsi="Arial" w:cs="Arial"/>
        </w:rPr>
        <w:fldChar w:fldCharType="end"/>
      </w:r>
      <w:r>
        <w:rPr>
          <w:rFonts w:ascii="Arial" w:hAnsi="Arial" w:cs="Arial"/>
        </w:rPr>
        <w:t>.</w:t>
      </w:r>
      <w:r w:rsidR="00EF0F76">
        <w:rPr>
          <w:rFonts w:ascii="Arial" w:hAnsi="Arial" w:cs="Arial"/>
        </w:rPr>
        <w:t xml:space="preserve"> </w:t>
      </w:r>
      <w:r w:rsidR="00D72A4F">
        <w:rPr>
          <w:rFonts w:ascii="Arial" w:hAnsi="Arial" w:cs="Arial"/>
        </w:rPr>
        <w:t xml:space="preserve">Increased sclerostin may be one of the mechanisms </w:t>
      </w:r>
      <w:r w:rsidR="001A03F3">
        <w:rPr>
          <w:rFonts w:ascii="Arial" w:hAnsi="Arial" w:cs="Arial"/>
        </w:rPr>
        <w:t>mediating the effects of estrogen deficiency or raloxifene. S</w:t>
      </w:r>
      <w:r w:rsidR="00190E6B">
        <w:rPr>
          <w:rFonts w:ascii="Arial" w:hAnsi="Arial" w:cs="Arial"/>
        </w:rPr>
        <w:t xml:space="preserve">clerostin is produced exclusively by the osteocytes it may be </w:t>
      </w:r>
      <w:r w:rsidR="001B6B70">
        <w:rPr>
          <w:rFonts w:ascii="Arial" w:hAnsi="Arial" w:cs="Arial"/>
        </w:rPr>
        <w:t xml:space="preserve">therefore be </w:t>
      </w:r>
      <w:r w:rsidR="00190E6B">
        <w:rPr>
          <w:rFonts w:ascii="Arial" w:hAnsi="Arial" w:cs="Arial"/>
        </w:rPr>
        <w:t xml:space="preserve">that raloxifene has a direct </w:t>
      </w:r>
      <w:r w:rsidR="00190E6B">
        <w:rPr>
          <w:rFonts w:ascii="Arial" w:hAnsi="Arial" w:cs="Arial"/>
        </w:rPr>
        <w:lastRenderedPageBreak/>
        <w:t xml:space="preserve">or indirect effect on these cells. </w:t>
      </w:r>
      <w:r w:rsidR="006B1CBD">
        <w:rPr>
          <w:rFonts w:ascii="Arial" w:hAnsi="Arial" w:cs="Arial"/>
        </w:rPr>
        <w:t>As well as having an effect on the osteoclasts and osteoblasts</w:t>
      </w:r>
      <w:r w:rsidR="006B1CBD" w:rsidRPr="00FE2361">
        <w:rPr>
          <w:rFonts w:ascii="Arial" w:hAnsi="Arial" w:cs="Arial"/>
          <w:i/>
        </w:rPr>
        <w:t>, i</w:t>
      </w:r>
      <w:r w:rsidR="005F22A9" w:rsidRPr="00FE2361">
        <w:rPr>
          <w:rFonts w:ascii="Arial" w:hAnsi="Arial" w:cs="Arial"/>
          <w:i/>
        </w:rPr>
        <w:t>n viv</w:t>
      </w:r>
      <w:r w:rsidR="00190E6B" w:rsidRPr="00FE2361">
        <w:rPr>
          <w:rFonts w:ascii="Arial" w:hAnsi="Arial" w:cs="Arial"/>
          <w:i/>
        </w:rPr>
        <w:t>o and in vitro</w:t>
      </w:r>
      <w:r w:rsidR="00190E6B">
        <w:rPr>
          <w:rFonts w:ascii="Arial" w:hAnsi="Arial" w:cs="Arial"/>
        </w:rPr>
        <w:t xml:space="preserve"> studies have</w:t>
      </w:r>
      <w:r w:rsidR="005F22A9">
        <w:rPr>
          <w:rFonts w:ascii="Arial" w:hAnsi="Arial" w:cs="Arial"/>
        </w:rPr>
        <w:t xml:space="preserve"> shown that estrogen deficiency also leads to increased osteocyte apoptosis and therefore </w:t>
      </w:r>
      <w:r w:rsidR="002913C2">
        <w:rPr>
          <w:rFonts w:ascii="Arial" w:hAnsi="Arial" w:cs="Arial"/>
        </w:rPr>
        <w:t>decreased</w:t>
      </w:r>
      <w:r w:rsidR="005F22A9">
        <w:rPr>
          <w:rFonts w:ascii="Arial" w:hAnsi="Arial" w:cs="Arial"/>
        </w:rPr>
        <w:t xml:space="preserve"> osteocyte number</w:t>
      </w:r>
      <w:r w:rsidR="0039666C">
        <w:rPr>
          <w:rFonts w:ascii="Arial" w:hAnsi="Arial" w:cs="Arial"/>
        </w:rPr>
        <w:t xml:space="preserve"> </w:t>
      </w:r>
      <w:r w:rsidR="0039666C">
        <w:rPr>
          <w:rFonts w:ascii="Arial" w:hAnsi="Arial" w:cs="Arial"/>
        </w:rPr>
        <w:fldChar w:fldCharType="begin">
          <w:fldData xml:space="preserve">PEVuZE5vdGU+PENpdGU+PEF1dGhvcj5Ub21raW5zb248L0F1dGhvcj48WWVhcj4xOTk4PC9ZZWFy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PEVuZE5vdGU+PENpdGU+PEF1dGhvcj5Ub21raW5zb248L0F1dGhvcj48WWVhcj4xOTk4PC9ZZWFy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39666C">
        <w:rPr>
          <w:rFonts w:ascii="Arial" w:hAnsi="Arial" w:cs="Arial"/>
        </w:rPr>
      </w:r>
      <w:r w:rsidR="0039666C">
        <w:rPr>
          <w:rFonts w:ascii="Arial" w:hAnsi="Arial" w:cs="Arial"/>
        </w:rPr>
        <w:fldChar w:fldCharType="separate"/>
      </w:r>
      <w:r w:rsidR="00066E61">
        <w:rPr>
          <w:rFonts w:ascii="Arial" w:hAnsi="Arial" w:cs="Arial"/>
          <w:noProof/>
        </w:rPr>
        <w:t>(</w:t>
      </w:r>
      <w:hyperlink w:anchor="_ENREF_468" w:tooltip="Tomkinson, 1997 #257" w:history="1">
        <w:r w:rsidR="003B725E">
          <w:rPr>
            <w:rFonts w:ascii="Arial" w:hAnsi="Arial" w:cs="Arial"/>
            <w:noProof/>
          </w:rPr>
          <w:t>468</w:t>
        </w:r>
      </w:hyperlink>
      <w:r w:rsidR="00066E61">
        <w:rPr>
          <w:rFonts w:ascii="Arial" w:hAnsi="Arial" w:cs="Arial"/>
          <w:noProof/>
        </w:rPr>
        <w:t xml:space="preserve">, </w:t>
      </w:r>
      <w:hyperlink w:anchor="_ENREF_469" w:tooltip="Tomkinson, 1998 #258" w:history="1">
        <w:r w:rsidR="003B725E">
          <w:rPr>
            <w:rFonts w:ascii="Arial" w:hAnsi="Arial" w:cs="Arial"/>
            <w:noProof/>
          </w:rPr>
          <w:t>469</w:t>
        </w:r>
      </w:hyperlink>
      <w:r w:rsidR="00066E61">
        <w:rPr>
          <w:rFonts w:ascii="Arial" w:hAnsi="Arial" w:cs="Arial"/>
          <w:noProof/>
        </w:rPr>
        <w:t>)</w:t>
      </w:r>
      <w:r w:rsidR="0039666C">
        <w:rPr>
          <w:rFonts w:ascii="Arial" w:hAnsi="Arial" w:cs="Arial"/>
        </w:rPr>
        <w:fldChar w:fldCharType="end"/>
      </w:r>
      <w:r w:rsidR="0039666C">
        <w:rPr>
          <w:rFonts w:ascii="Arial" w:hAnsi="Arial" w:cs="Arial"/>
        </w:rPr>
        <w:t>. Following these, p</w:t>
      </w:r>
      <w:r w:rsidR="001B6B70">
        <w:rPr>
          <w:rFonts w:ascii="Arial" w:hAnsi="Arial" w:cs="Arial"/>
        </w:rPr>
        <w:t>articipants from the MORE</w:t>
      </w:r>
      <w:r w:rsidR="0039666C">
        <w:rPr>
          <w:rFonts w:ascii="Arial" w:hAnsi="Arial" w:cs="Arial"/>
        </w:rPr>
        <w:t xml:space="preserve"> clinical</w:t>
      </w:r>
      <w:r w:rsidR="001B6B70">
        <w:rPr>
          <w:rFonts w:ascii="Arial" w:hAnsi="Arial" w:cs="Arial"/>
        </w:rPr>
        <w:t xml:space="preserve"> trial were used to assess whether raloxifene </w:t>
      </w:r>
      <w:r w:rsidR="002913C2">
        <w:rPr>
          <w:rFonts w:ascii="Arial" w:hAnsi="Arial" w:cs="Arial"/>
        </w:rPr>
        <w:t>treatment effected</w:t>
      </w:r>
      <w:r w:rsidR="001B6B70">
        <w:rPr>
          <w:rFonts w:ascii="Arial" w:hAnsi="Arial" w:cs="Arial"/>
        </w:rPr>
        <w:t xml:space="preserve"> osteocyte apoptosis </w:t>
      </w:r>
      <w:r w:rsidR="0039666C">
        <w:rPr>
          <w:rFonts w:ascii="Arial" w:hAnsi="Arial" w:cs="Arial"/>
        </w:rPr>
        <w:fldChar w:fldCharType="begin"/>
      </w:r>
      <w:r w:rsidR="00066E61">
        <w:rPr>
          <w:rFonts w:ascii="Arial" w:hAnsi="Arial" w:cs="Arial"/>
        </w:rPr>
        <w:instrText xml:space="preserve"> ADDIN EN.CITE &lt;EndNote&gt;&lt;Cite&gt;&lt;Author&gt;van Essen&lt;/Author&gt;&lt;Year&gt;2007&lt;/Year&gt;&lt;RecNum&gt;259&lt;/RecNum&gt;&lt;DisplayText&gt;(478)&lt;/DisplayText&gt;&lt;record&gt;&lt;rec-number&gt;259&lt;/rec-number&gt;&lt;foreign-keys&gt;&lt;key app="EN" db-id="p9a5ttsvyvde9me5aw2x05fp5p55axf0wr90" timestamp="1427461522"&gt;259&lt;/key&gt;&lt;/foreign-keys&gt;&lt;ref-type name="Journal Article"&gt;17&lt;/ref-type&gt;&lt;contributors&gt;&lt;authors&gt;&lt;author&gt;van Essen, H. W.&lt;/author&gt;&lt;author&gt;Holzmann, P. J.&lt;/author&gt;&lt;author&gt;Blankenstein, M. A.&lt;/author&gt;&lt;author&gt;Lips, P.&lt;/author&gt;&lt;author&gt;Bravenboer, N.&lt;/author&gt;&lt;/authors&gt;&lt;/contributors&gt;&lt;auth-address&gt;Department of Endocrinology, VU University Medical Center, 1007 MB, Amsterdam, The Netherlands. hw.vanessen@vumc.nl&lt;/auth-address&gt;&lt;titles&gt;&lt;title&gt;Effect of raloxifene treatment on osteocyte apoptosis in postmenopausal women&lt;/title&gt;&lt;secondary-title&gt;Calcif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international&lt;/abbr-1&gt;&lt;/alt-periodical&gt;&lt;pages&gt;183-90&lt;/pages&gt;&lt;volume&gt;81&lt;/volume&gt;&lt;number&gt;3&lt;/number&gt;&lt;edition&gt;2007/08/07&lt;/edition&gt;&lt;keywords&gt;&lt;keyword&gt;Apoptosis/*drug effects&lt;/keyword&gt;&lt;keyword&gt;Bone Density Conservation Agents/*therapeutic use&lt;/keyword&gt;&lt;keyword&gt;Cell Count&lt;/keyword&gt;&lt;keyword&gt;Female&lt;/keyword&gt;&lt;keyword&gt;Humans&lt;/keyword&gt;&lt;keyword&gt;Immunohistochemistry&lt;/keyword&gt;&lt;keyword&gt;Osteocytes/*drug effects&lt;/keyword&gt;&lt;keyword&gt;Osteoporosis, Postmenopausal/*drug therapy&lt;/keyword&gt;&lt;keyword&gt;Raloxifene/*therapeutic use&lt;/keyword&gt;&lt;/keywords&gt;&lt;dates&gt;&lt;year&gt;2007&lt;/year&gt;&lt;pub-dates&gt;&lt;date&gt;Sep&lt;/date&gt;&lt;/pub-dates&gt;&lt;/dates&gt;&lt;isbn&gt;0171-967X (Print)&amp;#xD;0171-967x&lt;/isbn&gt;&lt;accession-num&gt;17676256&lt;/accession-num&gt;&lt;urls&gt;&lt;/urls&gt;&lt;custom2&gt;Pmc2039811&lt;/custom2&gt;&lt;electronic-resource-num&gt;10.1007/s00223-007-9050-0&lt;/electronic-resource-num&gt;&lt;remote-database-provider&gt;NLM&lt;/remote-database-provider&gt;&lt;language&gt;eng&lt;/language&gt;&lt;/record&gt;&lt;/Cite&gt;&lt;/EndNote&gt;</w:instrText>
      </w:r>
      <w:r w:rsidR="0039666C">
        <w:rPr>
          <w:rFonts w:ascii="Arial" w:hAnsi="Arial" w:cs="Arial"/>
        </w:rPr>
        <w:fldChar w:fldCharType="separate"/>
      </w:r>
      <w:r w:rsidR="00066E61">
        <w:rPr>
          <w:rFonts w:ascii="Arial" w:hAnsi="Arial" w:cs="Arial"/>
          <w:noProof/>
        </w:rPr>
        <w:t>(</w:t>
      </w:r>
      <w:hyperlink w:anchor="_ENREF_478" w:tooltip="van Essen, 2007 #259" w:history="1">
        <w:r w:rsidR="003B725E">
          <w:rPr>
            <w:rFonts w:ascii="Arial" w:hAnsi="Arial" w:cs="Arial"/>
            <w:noProof/>
          </w:rPr>
          <w:t>478</w:t>
        </w:r>
      </w:hyperlink>
      <w:r w:rsidR="00066E61">
        <w:rPr>
          <w:rFonts w:ascii="Arial" w:hAnsi="Arial" w:cs="Arial"/>
          <w:noProof/>
        </w:rPr>
        <w:t>)</w:t>
      </w:r>
      <w:r w:rsidR="0039666C">
        <w:rPr>
          <w:rFonts w:ascii="Arial" w:hAnsi="Arial" w:cs="Arial"/>
        </w:rPr>
        <w:fldChar w:fldCharType="end"/>
      </w:r>
      <w:r w:rsidR="0039666C">
        <w:rPr>
          <w:rFonts w:ascii="Arial" w:hAnsi="Arial" w:cs="Arial"/>
        </w:rPr>
        <w:t>.</w:t>
      </w:r>
      <w:r w:rsidR="001B6B70">
        <w:rPr>
          <w:rFonts w:ascii="Arial" w:hAnsi="Arial" w:cs="Arial"/>
        </w:rPr>
        <w:t xml:space="preserve"> Bone biopsies were obtained from a </w:t>
      </w:r>
      <w:r w:rsidR="006B1CBD">
        <w:rPr>
          <w:rFonts w:ascii="Arial" w:hAnsi="Arial" w:cs="Arial"/>
        </w:rPr>
        <w:t>subset of these participants, tetracycline administration followed by</w:t>
      </w:r>
      <w:r w:rsidR="001B6B70">
        <w:rPr>
          <w:rFonts w:ascii="Arial" w:hAnsi="Arial" w:cs="Arial"/>
        </w:rPr>
        <w:t xml:space="preserve"> </w:t>
      </w:r>
      <w:r w:rsidR="002B6630">
        <w:rPr>
          <w:rFonts w:ascii="Arial" w:hAnsi="Arial" w:cs="Arial"/>
        </w:rPr>
        <w:t>immunohis</w:t>
      </w:r>
      <w:r w:rsidR="001B6B70">
        <w:rPr>
          <w:rFonts w:ascii="Arial" w:hAnsi="Arial" w:cs="Arial"/>
        </w:rPr>
        <w:t xml:space="preserve">tochemical </w:t>
      </w:r>
      <w:r w:rsidR="002B6630">
        <w:rPr>
          <w:rFonts w:ascii="Arial" w:hAnsi="Arial" w:cs="Arial"/>
        </w:rPr>
        <w:t>methods</w:t>
      </w:r>
      <w:r w:rsidR="001B6B70">
        <w:rPr>
          <w:rFonts w:ascii="Arial" w:hAnsi="Arial" w:cs="Arial"/>
        </w:rPr>
        <w:t xml:space="preserve"> were used to identify the positively stained </w:t>
      </w:r>
      <w:r w:rsidR="002913C2">
        <w:rPr>
          <w:rFonts w:ascii="Arial" w:hAnsi="Arial" w:cs="Arial"/>
        </w:rPr>
        <w:t>osteocytes. The findings were that there were no significant difference in the population of osteocytes at baseline and two years after treatment. This suggests the reduction in sclerostin I observed is not due to an effect on osteocyte number but</w:t>
      </w:r>
      <w:r w:rsidR="006E7894">
        <w:rPr>
          <w:rFonts w:ascii="Arial" w:hAnsi="Arial" w:cs="Arial"/>
        </w:rPr>
        <w:t xml:space="preserve"> perhaps</w:t>
      </w:r>
      <w:r w:rsidR="002913C2">
        <w:rPr>
          <w:rFonts w:ascii="Arial" w:hAnsi="Arial" w:cs="Arial"/>
        </w:rPr>
        <w:t xml:space="preserve"> on their activity</w:t>
      </w:r>
      <w:r w:rsidR="00F242E1">
        <w:rPr>
          <w:rFonts w:ascii="Arial" w:hAnsi="Arial" w:cs="Arial"/>
        </w:rPr>
        <w:t xml:space="preserve"> or ability to produce sclerostin</w:t>
      </w:r>
      <w:r w:rsidR="002913C2">
        <w:rPr>
          <w:rFonts w:ascii="Arial" w:hAnsi="Arial" w:cs="Arial"/>
        </w:rPr>
        <w:t xml:space="preserve">. </w:t>
      </w:r>
      <w:r w:rsidR="00F242E1">
        <w:rPr>
          <w:rFonts w:ascii="Arial" w:hAnsi="Arial" w:cs="Arial"/>
        </w:rPr>
        <w:t xml:space="preserve">The latter was investigated by Poole K.E.S et al </w:t>
      </w:r>
      <w:r w:rsidR="00D43137">
        <w:rPr>
          <w:rFonts w:ascii="Arial" w:hAnsi="Arial" w:cs="Arial"/>
        </w:rPr>
        <w:t xml:space="preserve">2005 </w:t>
      </w:r>
      <w:r w:rsidR="00F242E1">
        <w:rPr>
          <w:rFonts w:ascii="Arial" w:hAnsi="Arial" w:cs="Arial"/>
        </w:rPr>
        <w:t xml:space="preserve">and they demonstrated that sclerostin is produced by mature osteocytes after they have been embedded in the mineralised matrix </w:t>
      </w:r>
      <w:r w:rsidR="00F242E1">
        <w:rPr>
          <w:rFonts w:ascii="Arial" w:hAnsi="Arial" w:cs="Arial"/>
        </w:rPr>
        <w:fldChar w:fldCharType="begin">
          <w:fldData xml:space="preserve">PEVuZE5vdGU+PENpdGU+PEF1dGhvcj5Qb29sZTwvQXV0aG9yPjxZZWFyPjIwMDU8L1llYXI+PFJl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PEVuZE5vdGU+PENpdGU+PEF1dGhvcj5Qb29sZTwvQXV0aG9yPjxZZWFyPjIwMDU8L1llYXI+PFJl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F242E1">
        <w:rPr>
          <w:rFonts w:ascii="Arial" w:hAnsi="Arial" w:cs="Arial"/>
        </w:rPr>
      </w:r>
      <w:r w:rsidR="00F242E1">
        <w:rPr>
          <w:rFonts w:ascii="Arial" w:hAnsi="Arial" w:cs="Arial"/>
        </w:rPr>
        <w:fldChar w:fldCharType="separate"/>
      </w:r>
      <w:r w:rsidR="00EF6236">
        <w:rPr>
          <w:rFonts w:ascii="Arial" w:hAnsi="Arial" w:cs="Arial"/>
          <w:noProof/>
        </w:rPr>
        <w:t>(</w:t>
      </w:r>
      <w:hyperlink w:anchor="_ENREF_78" w:tooltip="Poole, 2005 #254" w:history="1">
        <w:r w:rsidR="003B725E">
          <w:rPr>
            <w:rFonts w:ascii="Arial" w:hAnsi="Arial" w:cs="Arial"/>
            <w:noProof/>
          </w:rPr>
          <w:t>78</w:t>
        </w:r>
      </w:hyperlink>
      <w:r w:rsidR="00EF6236">
        <w:rPr>
          <w:rFonts w:ascii="Arial" w:hAnsi="Arial" w:cs="Arial"/>
          <w:noProof/>
        </w:rPr>
        <w:t>)</w:t>
      </w:r>
      <w:r w:rsidR="00F242E1">
        <w:rPr>
          <w:rFonts w:ascii="Arial" w:hAnsi="Arial" w:cs="Arial"/>
        </w:rPr>
        <w:fldChar w:fldCharType="end"/>
      </w:r>
      <w:r w:rsidR="00D43137">
        <w:rPr>
          <w:rFonts w:ascii="Arial" w:hAnsi="Arial" w:cs="Arial"/>
        </w:rPr>
        <w:t>.</w:t>
      </w:r>
    </w:p>
    <w:p w:rsidR="005F0C3C" w:rsidRPr="00BB04B1" w:rsidRDefault="00FF10DF" w:rsidP="003B725E">
      <w:pPr>
        <w:spacing w:line="360" w:lineRule="auto"/>
        <w:jc w:val="both"/>
        <w:rPr>
          <w:rFonts w:ascii="Arial" w:hAnsi="Arial" w:cs="Arial"/>
        </w:rPr>
      </w:pPr>
      <w:r>
        <w:rPr>
          <w:rFonts w:ascii="Arial" w:hAnsi="Arial" w:cs="Arial"/>
        </w:rPr>
        <w:t>In this study population, sclerostin was negatively correlated with bone resorption and formation.</w:t>
      </w:r>
      <w:r w:rsidR="001A03F3">
        <w:rPr>
          <w:rFonts w:ascii="Arial" w:hAnsi="Arial" w:cs="Arial"/>
        </w:rPr>
        <w:t xml:space="preserve"> This</w:t>
      </w:r>
      <w:r w:rsidR="00FE165A">
        <w:rPr>
          <w:rFonts w:ascii="Arial" w:hAnsi="Arial" w:cs="Arial"/>
        </w:rPr>
        <w:t xml:space="preserve"> supports and is consistent with the finding from the previous chapter and with </w:t>
      </w:r>
      <w:r w:rsidR="00FE165A">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PEVuZE5vdGU+PENpdGU+PEF1dGhvcj5Qb2x5em9zPC9BdXRob3I+PFllYXI+MjAxMjwvWWVhcj48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ZiB0aGUgVVNBPC9hYmJyLTE+PC9hbHQtcGVyaW9kaWNhbD48cGFnZXM+MTE3MS02PC9wYWdlcz48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FE165A">
        <w:rPr>
          <w:rFonts w:ascii="Arial" w:hAnsi="Arial" w:cs="Arial"/>
        </w:rPr>
      </w:r>
      <w:r w:rsidR="00FE165A">
        <w:rPr>
          <w:rFonts w:ascii="Arial" w:hAnsi="Arial" w:cs="Arial"/>
        </w:rPr>
        <w:fldChar w:fldCharType="separate"/>
      </w:r>
      <w:r w:rsidR="000D155C">
        <w:rPr>
          <w:rFonts w:ascii="Arial" w:hAnsi="Arial" w:cs="Arial"/>
          <w:noProof/>
        </w:rPr>
        <w:t>(</w:t>
      </w:r>
      <w:hyperlink w:anchor="_ENREF_457" w:tooltip="Polyzos, 2012 #252" w:history="1">
        <w:r w:rsidR="003B725E">
          <w:rPr>
            <w:rFonts w:ascii="Arial" w:hAnsi="Arial" w:cs="Arial"/>
            <w:noProof/>
          </w:rPr>
          <w:t>457</w:t>
        </w:r>
      </w:hyperlink>
      <w:r w:rsidR="000D155C">
        <w:rPr>
          <w:rFonts w:ascii="Arial" w:hAnsi="Arial" w:cs="Arial"/>
          <w:noProof/>
        </w:rPr>
        <w:t>)</w:t>
      </w:r>
      <w:r w:rsidR="00FE165A">
        <w:rPr>
          <w:rFonts w:ascii="Arial" w:hAnsi="Arial" w:cs="Arial"/>
        </w:rPr>
        <w:fldChar w:fldCharType="end"/>
      </w:r>
      <w:r w:rsidR="0030136C">
        <w:rPr>
          <w:rFonts w:ascii="Arial" w:hAnsi="Arial" w:cs="Arial"/>
        </w:rPr>
        <w:t xml:space="preserve"> that increased sclerostin production </w:t>
      </w:r>
      <w:r w:rsidR="00BB04B1">
        <w:rPr>
          <w:rFonts w:ascii="Arial" w:hAnsi="Arial" w:cs="Arial"/>
        </w:rPr>
        <w:t>does reduce</w:t>
      </w:r>
      <w:r w:rsidR="0030136C">
        <w:rPr>
          <w:rFonts w:ascii="Arial" w:hAnsi="Arial" w:cs="Arial"/>
        </w:rPr>
        <w:t xml:space="preserve"> osteoblast activity. However Polyzos SA et al</w:t>
      </w:r>
      <w:r w:rsidR="00D43137">
        <w:rPr>
          <w:rFonts w:ascii="Arial" w:hAnsi="Arial" w:cs="Arial"/>
        </w:rPr>
        <w:t xml:space="preserve"> 2012,</w:t>
      </w:r>
      <w:r w:rsidR="0030136C">
        <w:rPr>
          <w:rFonts w:ascii="Arial" w:hAnsi="Arial" w:cs="Arial"/>
        </w:rPr>
        <w:t xml:space="preserve"> demonstrated a positive rather than a negative correlation with CTX. </w:t>
      </w:r>
      <w:r w:rsidR="00BB04B1">
        <w:rPr>
          <w:rFonts w:ascii="Arial" w:hAnsi="Arial" w:cs="Arial"/>
        </w:rPr>
        <w:t>There was no correlation between the changes in sclerostin levels and bone balance with raloxifene treatment.</w:t>
      </w:r>
      <w:r w:rsidR="00782CEE">
        <w:rPr>
          <w:rFonts w:ascii="Arial" w:hAnsi="Arial" w:cs="Arial"/>
        </w:rPr>
        <w:t xml:space="preserve"> </w:t>
      </w:r>
      <w:r w:rsidR="001A03F3">
        <w:rPr>
          <w:rFonts w:ascii="Arial" w:hAnsi="Arial" w:cs="Arial"/>
        </w:rPr>
        <w:t>The limitations of this study are a small number of participants, which makes it more difficult to obtain an accu</w:t>
      </w:r>
      <w:r w:rsidR="00741BA4">
        <w:rPr>
          <w:rFonts w:ascii="Arial" w:hAnsi="Arial" w:cs="Arial"/>
        </w:rPr>
        <w:t>rate estimation of bone balance and no data on compliance was collected.</w:t>
      </w:r>
    </w:p>
    <w:p w:rsidR="00505553" w:rsidRPr="00505553" w:rsidRDefault="003C3581" w:rsidP="00AD2E23">
      <w:pPr>
        <w:pStyle w:val="Heading2"/>
        <w:jc w:val="both"/>
      </w:pPr>
      <w:bookmarkStart w:id="253" w:name="_Toc425418975"/>
      <w:r>
        <w:t>Conclusion</w:t>
      </w:r>
      <w:bookmarkEnd w:id="253"/>
    </w:p>
    <w:p w:rsidR="00E926F9" w:rsidRPr="00BB04B1" w:rsidRDefault="00E926F9" w:rsidP="00AD2E23">
      <w:pPr>
        <w:spacing w:line="360" w:lineRule="auto"/>
        <w:jc w:val="both"/>
        <w:rPr>
          <w:rFonts w:ascii="Arial" w:hAnsi="Arial" w:cs="Arial"/>
        </w:rPr>
      </w:pPr>
      <w:r w:rsidRPr="00BB04B1">
        <w:rPr>
          <w:rFonts w:ascii="Arial" w:hAnsi="Arial" w:cs="Arial"/>
        </w:rPr>
        <w:t>Treatment of postmenopausal osteopenia with raloxifene</w:t>
      </w:r>
      <w:r w:rsidR="00505553">
        <w:rPr>
          <w:rFonts w:ascii="Arial" w:hAnsi="Arial" w:cs="Arial"/>
        </w:rPr>
        <w:t xml:space="preserve"> reduced bone turnover but had no effect of bone balance. There was no relationship between the change in sclerostin levels </w:t>
      </w:r>
      <w:r w:rsidR="00D743C3">
        <w:rPr>
          <w:rFonts w:ascii="Arial" w:hAnsi="Arial" w:cs="Arial"/>
        </w:rPr>
        <w:t>and the change in bone balance with raloxifene treatment, therefore sclerostin has no influence on bone balance. Sclerostin is a biochemical marker that is related to bone resorption and bone formatio</w:t>
      </w:r>
      <w:r w:rsidR="000E4EA4">
        <w:rPr>
          <w:rFonts w:ascii="Arial" w:hAnsi="Arial" w:cs="Arial"/>
        </w:rPr>
        <w:t xml:space="preserve">n but this is most likely not </w:t>
      </w:r>
      <w:r w:rsidR="00D743C3">
        <w:rPr>
          <w:rFonts w:ascii="Arial" w:hAnsi="Arial" w:cs="Arial"/>
        </w:rPr>
        <w:t>to be causal because there was no relationship with bone balance and bone turnover.</w:t>
      </w:r>
    </w:p>
    <w:p w:rsidR="00033257" w:rsidRDefault="009E10F9" w:rsidP="00AD2E23">
      <w:pPr>
        <w:spacing w:line="360" w:lineRule="auto"/>
        <w:jc w:val="both"/>
        <w:rPr>
          <w:rFonts w:ascii="Arial" w:hAnsi="Arial" w:cs="Arial"/>
        </w:rPr>
      </w:pPr>
      <w:r>
        <w:rPr>
          <w:rFonts w:ascii="Arial" w:hAnsi="Arial" w:cs="Arial"/>
        </w:rPr>
        <w:t>These</w:t>
      </w:r>
      <w:r w:rsidR="00E926F9" w:rsidRPr="00BB04B1">
        <w:rPr>
          <w:rFonts w:ascii="Arial" w:hAnsi="Arial" w:cs="Arial"/>
        </w:rPr>
        <w:t xml:space="preserve"> finding</w:t>
      </w:r>
      <w:r w:rsidR="00444D41">
        <w:rPr>
          <w:rFonts w:ascii="Arial" w:hAnsi="Arial" w:cs="Arial"/>
        </w:rPr>
        <w:t>s</w:t>
      </w:r>
      <w:r w:rsidR="00E926F9" w:rsidRPr="00BB04B1">
        <w:rPr>
          <w:rFonts w:ascii="Arial" w:hAnsi="Arial" w:cs="Arial"/>
        </w:rPr>
        <w:t xml:space="preserve"> can help </w:t>
      </w:r>
      <w:r w:rsidR="00660389" w:rsidRPr="00BB04B1">
        <w:rPr>
          <w:rFonts w:ascii="Arial" w:hAnsi="Arial" w:cs="Arial"/>
        </w:rPr>
        <w:t xml:space="preserve">in </w:t>
      </w:r>
      <w:r>
        <w:rPr>
          <w:rFonts w:ascii="Arial" w:hAnsi="Arial" w:cs="Arial"/>
        </w:rPr>
        <w:t xml:space="preserve">further understanding the role of sclerostin and quantify its </w:t>
      </w:r>
      <w:r w:rsidR="00660389" w:rsidRPr="00BB04B1">
        <w:rPr>
          <w:rFonts w:ascii="Arial" w:hAnsi="Arial" w:cs="Arial"/>
        </w:rPr>
        <w:t xml:space="preserve">overall effect </w:t>
      </w:r>
      <w:r w:rsidR="000A28B9" w:rsidRPr="00BB04B1">
        <w:rPr>
          <w:rFonts w:ascii="Arial" w:hAnsi="Arial" w:cs="Arial"/>
        </w:rPr>
        <w:t>on bon</w:t>
      </w:r>
      <w:r w:rsidR="00FE165A" w:rsidRPr="00BB04B1">
        <w:rPr>
          <w:rFonts w:ascii="Arial" w:hAnsi="Arial" w:cs="Arial"/>
        </w:rPr>
        <w:t xml:space="preserve">e formation and bone resorption </w:t>
      </w:r>
      <w:r>
        <w:rPr>
          <w:rFonts w:ascii="Arial" w:hAnsi="Arial" w:cs="Arial"/>
        </w:rPr>
        <w:t>in postmenopausal women receiving</w:t>
      </w:r>
      <w:r w:rsidR="00FE165A" w:rsidRPr="00BB04B1">
        <w:rPr>
          <w:rFonts w:ascii="Arial" w:hAnsi="Arial" w:cs="Arial"/>
        </w:rPr>
        <w:t xml:space="preserve"> antiresorptive treatments.</w:t>
      </w:r>
    </w:p>
    <w:p w:rsidR="004634D1" w:rsidRDefault="004634D1" w:rsidP="00AD2E23">
      <w:pPr>
        <w:spacing w:line="360" w:lineRule="auto"/>
        <w:jc w:val="both"/>
        <w:rPr>
          <w:rFonts w:ascii="Arial" w:hAnsi="Arial" w:cs="Arial"/>
        </w:rPr>
      </w:pPr>
    </w:p>
    <w:p w:rsidR="00BD3787" w:rsidRDefault="00BD3787" w:rsidP="00AD2E23">
      <w:pPr>
        <w:spacing w:line="360" w:lineRule="auto"/>
        <w:jc w:val="both"/>
        <w:rPr>
          <w:rFonts w:ascii="Arial" w:hAnsi="Arial" w:cs="Arial"/>
        </w:rPr>
      </w:pPr>
    </w:p>
    <w:p w:rsidR="00BD3787" w:rsidRDefault="00BD3787" w:rsidP="00AD2E23">
      <w:pPr>
        <w:spacing w:line="360" w:lineRule="auto"/>
        <w:jc w:val="both"/>
        <w:rPr>
          <w:rFonts w:ascii="Arial" w:hAnsi="Arial" w:cs="Arial"/>
        </w:rPr>
      </w:pPr>
    </w:p>
    <w:p w:rsidR="00704CB0" w:rsidRPr="00704CB0" w:rsidRDefault="00704CB0" w:rsidP="00AD2E23">
      <w:pPr>
        <w:jc w:val="both"/>
      </w:pPr>
    </w:p>
    <w:p w:rsidR="000E4EA4" w:rsidRPr="000E4EA4" w:rsidRDefault="002C26C3" w:rsidP="00AD2E23">
      <w:pPr>
        <w:pStyle w:val="Heading1"/>
        <w:jc w:val="both"/>
      </w:pPr>
      <w:bookmarkStart w:id="254" w:name="_Toc425418976"/>
      <w:r>
        <w:lastRenderedPageBreak/>
        <w:t xml:space="preserve">Chapter 8: </w:t>
      </w:r>
      <w:r w:rsidR="009E3474">
        <w:t>Overall discussions and conclusion</w:t>
      </w:r>
      <w:r w:rsidR="007412B7">
        <w:t>s</w:t>
      </w:r>
      <w:bookmarkEnd w:id="254"/>
    </w:p>
    <w:p w:rsidR="009E3474" w:rsidRPr="00855E79" w:rsidRDefault="009E3474" w:rsidP="00AD2E23">
      <w:pPr>
        <w:spacing w:line="360" w:lineRule="auto"/>
        <w:jc w:val="both"/>
        <w:rPr>
          <w:rFonts w:ascii="Arial" w:hAnsi="Arial" w:cs="Arial"/>
        </w:rPr>
      </w:pPr>
      <w:r w:rsidRPr="00855E79">
        <w:rPr>
          <w:rFonts w:ascii="Arial" w:hAnsi="Arial" w:cs="Arial"/>
        </w:rPr>
        <w:t xml:space="preserve">The research in this thesis aimed to </w:t>
      </w:r>
      <w:r w:rsidR="00723CB5" w:rsidRPr="00855E79">
        <w:rPr>
          <w:rFonts w:ascii="Arial" w:hAnsi="Arial" w:cs="Arial"/>
        </w:rPr>
        <w:t xml:space="preserve">investigate </w:t>
      </w:r>
      <w:r w:rsidR="00FA5531" w:rsidRPr="00855E79">
        <w:rPr>
          <w:rFonts w:ascii="Arial" w:hAnsi="Arial" w:cs="Arial"/>
        </w:rPr>
        <w:t xml:space="preserve">and </w:t>
      </w:r>
      <w:r w:rsidR="00723CB5" w:rsidRPr="00855E79">
        <w:rPr>
          <w:rFonts w:ascii="Arial" w:hAnsi="Arial" w:cs="Arial"/>
        </w:rPr>
        <w:t xml:space="preserve">understand </w:t>
      </w:r>
      <w:r w:rsidR="00C81A7F" w:rsidRPr="00855E79">
        <w:rPr>
          <w:rFonts w:ascii="Arial" w:hAnsi="Arial" w:cs="Arial"/>
        </w:rPr>
        <w:t xml:space="preserve">the clinical utility </w:t>
      </w:r>
      <w:r w:rsidR="00855E79" w:rsidRPr="00855E79">
        <w:rPr>
          <w:rFonts w:ascii="Arial" w:hAnsi="Arial" w:cs="Arial"/>
        </w:rPr>
        <w:t xml:space="preserve">of bone turnover markers in women with postmenopausal osteoporosis. The key findings below may be used to identify patients with secondary osteoporosis and low BMD, bone loss and fracture risk. In addition I have explored several mechanisms and described a novel approach that could further explain the mode of action of antiresorptive treatments. </w:t>
      </w:r>
    </w:p>
    <w:p w:rsidR="00601C0B" w:rsidRDefault="00601C0B" w:rsidP="00AD2E23">
      <w:pPr>
        <w:pStyle w:val="Heading2"/>
        <w:jc w:val="both"/>
      </w:pPr>
      <w:bookmarkStart w:id="255" w:name="_Toc425418977"/>
      <w:r>
        <w:t>Key findings</w:t>
      </w:r>
      <w:bookmarkEnd w:id="255"/>
    </w:p>
    <w:p w:rsidR="000C0294" w:rsidRPr="000304AD" w:rsidRDefault="000C0294"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Method specific reference ranges are required in order to interpret clinical studies accurately.</w:t>
      </w:r>
    </w:p>
    <w:p w:rsidR="000C0294" w:rsidRDefault="000C0294"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 xml:space="preserve">There are several disease states (such as CKD, osteoporosis), treatments and lifestyle determinants that </w:t>
      </w:r>
      <w:r w:rsidR="006B41A0" w:rsidRPr="000304AD">
        <w:rPr>
          <w:rFonts w:ascii="Arial" w:hAnsi="Arial" w:cs="Arial"/>
        </w:rPr>
        <w:t>effect bone turnover. These must be considered when establishing healthy BTM reference ranges.</w:t>
      </w:r>
    </w:p>
    <w:p w:rsidR="00741BA4" w:rsidRPr="00157EC7" w:rsidRDefault="00157EC7" w:rsidP="00157EC7">
      <w:pPr>
        <w:pStyle w:val="ListParagraph"/>
        <w:numPr>
          <w:ilvl w:val="0"/>
          <w:numId w:val="27"/>
        </w:numPr>
        <w:rPr>
          <w:rFonts w:ascii="Arial" w:hAnsi="Arial" w:cs="Arial"/>
        </w:rPr>
      </w:pPr>
      <w:r w:rsidRPr="00157EC7">
        <w:rPr>
          <w:rFonts w:ascii="Arial" w:hAnsi="Arial" w:cs="Arial"/>
        </w:rPr>
        <w:t>The findings obtained in postmenopausal osteoporosis encourage similar studies in secondary osteoporosis.</w:t>
      </w:r>
    </w:p>
    <w:p w:rsidR="006B41A0" w:rsidRPr="000304AD" w:rsidRDefault="00E11D4C"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T</w:t>
      </w:r>
      <w:r w:rsidR="00710569" w:rsidRPr="000304AD">
        <w:rPr>
          <w:rFonts w:ascii="Arial" w:hAnsi="Arial" w:cs="Arial"/>
        </w:rPr>
        <w:t>he T-score bone marker plot</w:t>
      </w:r>
      <w:r w:rsidR="006B41A0" w:rsidRPr="000304AD">
        <w:rPr>
          <w:rFonts w:ascii="Arial" w:hAnsi="Arial" w:cs="Arial"/>
        </w:rPr>
        <w:t xml:space="preserve"> </w:t>
      </w:r>
      <w:r w:rsidRPr="000304AD">
        <w:rPr>
          <w:rFonts w:ascii="Arial" w:hAnsi="Arial" w:cs="Arial"/>
        </w:rPr>
        <w:t xml:space="preserve">demonstrated that a </w:t>
      </w:r>
      <w:r w:rsidR="006B41A0" w:rsidRPr="000304AD">
        <w:rPr>
          <w:rFonts w:ascii="Arial" w:hAnsi="Arial" w:cs="Arial"/>
        </w:rPr>
        <w:t>positive bone balance is related to a reduction in bone and fracture risk at the total hip.</w:t>
      </w:r>
    </w:p>
    <w:p w:rsidR="006B41A0" w:rsidRPr="000304AD" w:rsidRDefault="00E11D4C"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In postmenopausal osteoporosis a</w:t>
      </w:r>
      <w:r w:rsidR="00710569" w:rsidRPr="000304AD">
        <w:rPr>
          <w:rFonts w:ascii="Arial" w:hAnsi="Arial" w:cs="Arial"/>
        </w:rPr>
        <w:t>ntiresorptive treatments have varying effects on BTMS with regards to magnitude and duration and these need to be considered by clinicians prior to administration.</w:t>
      </w:r>
    </w:p>
    <w:p w:rsidR="00710569" w:rsidRPr="000304AD" w:rsidRDefault="00E11D4C"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Bisphosphonates reduce the population of osteoclast precursor cells as after 48 weeks of treatment.</w:t>
      </w:r>
    </w:p>
    <w:p w:rsidR="00E11D4C" w:rsidRPr="000304AD" w:rsidRDefault="00013AE8"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Alendronate improves bone balance and this may be related to its reduction in bone loss and fracture risk previously observed.</w:t>
      </w:r>
    </w:p>
    <w:p w:rsidR="00013AE8" w:rsidRPr="000304AD" w:rsidRDefault="004D5A59"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 xml:space="preserve">Levels of circulating sclerostin mediate the effect of raloxifene on </w:t>
      </w:r>
      <w:r w:rsidR="00681CDC" w:rsidRPr="000304AD">
        <w:rPr>
          <w:rFonts w:ascii="Arial" w:hAnsi="Arial" w:cs="Arial"/>
        </w:rPr>
        <w:t>bone turnover</w:t>
      </w:r>
      <w:r w:rsidRPr="000304AD">
        <w:rPr>
          <w:rFonts w:ascii="Arial" w:hAnsi="Arial" w:cs="Arial"/>
        </w:rPr>
        <w:t xml:space="preserve"> but not bisphosphonates.</w:t>
      </w:r>
    </w:p>
    <w:p w:rsidR="004D5A59" w:rsidRPr="000304AD" w:rsidRDefault="004D5A59" w:rsidP="00AD2E23">
      <w:pPr>
        <w:pStyle w:val="ListParagraph"/>
        <w:numPr>
          <w:ilvl w:val="0"/>
          <w:numId w:val="27"/>
        </w:numPr>
        <w:spacing w:line="360" w:lineRule="auto"/>
        <w:ind w:left="714" w:hanging="357"/>
        <w:jc w:val="both"/>
        <w:rPr>
          <w:rFonts w:ascii="Arial" w:hAnsi="Arial" w:cs="Arial"/>
        </w:rPr>
      </w:pPr>
      <w:r w:rsidRPr="000304AD">
        <w:rPr>
          <w:rFonts w:ascii="Arial" w:hAnsi="Arial" w:cs="Arial"/>
        </w:rPr>
        <w:t>Raloxifene has no effect on bone balance.</w:t>
      </w:r>
    </w:p>
    <w:p w:rsidR="00601C0B" w:rsidRDefault="00601C0B" w:rsidP="00AD2E23">
      <w:pPr>
        <w:pStyle w:val="Heading2"/>
        <w:jc w:val="both"/>
      </w:pPr>
      <w:bookmarkStart w:id="256" w:name="_Toc425418978"/>
      <w:r>
        <w:t>What is new?</w:t>
      </w:r>
      <w:bookmarkEnd w:id="256"/>
    </w:p>
    <w:p w:rsidR="00601C0B" w:rsidRPr="00C95CEB" w:rsidRDefault="00AA4330" w:rsidP="00AD2E23">
      <w:pPr>
        <w:spacing w:line="360" w:lineRule="auto"/>
        <w:jc w:val="both"/>
        <w:rPr>
          <w:rFonts w:ascii="Arial" w:hAnsi="Arial" w:cs="Arial"/>
          <w:b/>
          <w:color w:val="000000" w:themeColor="text1"/>
        </w:rPr>
      </w:pPr>
      <w:r w:rsidRPr="00C95CEB">
        <w:rPr>
          <w:rFonts w:ascii="Arial" w:hAnsi="Arial" w:cs="Arial"/>
          <w:b/>
          <w:color w:val="000000" w:themeColor="text1"/>
        </w:rPr>
        <w:t xml:space="preserve">Method specific postmenopausal and premenopausal robust reference ranges for BTMs have been established. </w:t>
      </w:r>
    </w:p>
    <w:p w:rsidR="00C17907" w:rsidRPr="008F7B33" w:rsidRDefault="001D5FAD" w:rsidP="003B725E">
      <w:pPr>
        <w:spacing w:line="360" w:lineRule="auto"/>
        <w:jc w:val="both"/>
        <w:rPr>
          <w:rFonts w:ascii="Arial" w:hAnsi="Arial" w:cs="Arial"/>
        </w:rPr>
      </w:pPr>
      <w:r w:rsidRPr="008F7B33">
        <w:rPr>
          <w:rFonts w:ascii="Arial" w:hAnsi="Arial" w:cs="Arial"/>
        </w:rPr>
        <w:t>These are the first reference ranges to be established using the iSYS-IDS auto-immunoassays.</w:t>
      </w:r>
      <w:r w:rsidR="007339E8" w:rsidRPr="008F7B33">
        <w:rPr>
          <w:rFonts w:ascii="Arial" w:hAnsi="Arial" w:cs="Arial"/>
        </w:rPr>
        <w:t xml:space="preserve"> </w:t>
      </w:r>
      <w:r w:rsidR="00A22227" w:rsidRPr="008F7B33">
        <w:rPr>
          <w:rFonts w:ascii="Arial" w:hAnsi="Arial" w:cs="Arial"/>
        </w:rPr>
        <w:t>The</w:t>
      </w:r>
      <w:r w:rsidR="007339E8" w:rsidRPr="008F7B33">
        <w:rPr>
          <w:rFonts w:ascii="Arial" w:hAnsi="Arial" w:cs="Arial"/>
        </w:rPr>
        <w:t xml:space="preserve"> </w:t>
      </w:r>
      <w:r w:rsidR="00A22227" w:rsidRPr="008F7B33">
        <w:rPr>
          <w:rFonts w:ascii="Arial" w:hAnsi="Arial" w:cs="Arial"/>
        </w:rPr>
        <w:t xml:space="preserve">OPUS </w:t>
      </w:r>
      <w:r w:rsidR="007339E8" w:rsidRPr="008F7B33">
        <w:rPr>
          <w:rFonts w:ascii="Arial" w:hAnsi="Arial" w:cs="Arial"/>
        </w:rPr>
        <w:t>postmenopausal referenc</w:t>
      </w:r>
      <w:r w:rsidR="00A22227" w:rsidRPr="008F7B33">
        <w:rPr>
          <w:rFonts w:ascii="Arial" w:hAnsi="Arial" w:cs="Arial"/>
        </w:rPr>
        <w:t>e intervals for PINP and CTX</w:t>
      </w:r>
      <w:r w:rsidR="0034261C" w:rsidRPr="008F7B33">
        <w:rPr>
          <w:rFonts w:ascii="Arial" w:hAnsi="Arial" w:cs="Arial"/>
        </w:rPr>
        <w:t xml:space="preserve"> compared </w:t>
      </w:r>
      <w:r w:rsidR="007339E8" w:rsidRPr="008F7B33">
        <w:rPr>
          <w:rFonts w:ascii="Arial" w:hAnsi="Arial" w:cs="Arial"/>
        </w:rPr>
        <w:t xml:space="preserve">to those previously established </w:t>
      </w:r>
      <w:r w:rsidR="00A22227" w:rsidRPr="008F7B33">
        <w:rPr>
          <w:rFonts w:ascii="Arial" w:hAnsi="Arial" w:cs="Arial"/>
        </w:rPr>
        <w:t xml:space="preserve">by Martinez J et al </w:t>
      </w:r>
      <w:r w:rsidR="008D3F43">
        <w:rPr>
          <w:rFonts w:ascii="Arial" w:hAnsi="Arial" w:cs="Arial"/>
        </w:rPr>
        <w:t xml:space="preserve">2009, </w:t>
      </w:r>
      <w:r w:rsidR="00A22227" w:rsidRPr="008F7B33">
        <w:rPr>
          <w:rFonts w:ascii="Arial" w:hAnsi="Arial" w:cs="Arial"/>
        </w:rPr>
        <w:t xml:space="preserve">using the Camargo cohort </w:t>
      </w:r>
      <w:r w:rsidR="00A22227" w:rsidRPr="008F7B33">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PEVuZE5vdGU+PENpdGU+PEF1dGhvcj5NYXJ0aW5lejwvQXV0aG9yPjxZZWFyPjIwMDk8L1llYXI+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A22227" w:rsidRPr="008F7B33">
        <w:rPr>
          <w:rFonts w:ascii="Arial" w:hAnsi="Arial" w:cs="Arial"/>
        </w:rPr>
      </w:r>
      <w:r w:rsidR="00A22227" w:rsidRPr="008F7B33">
        <w:rPr>
          <w:rFonts w:ascii="Arial" w:hAnsi="Arial" w:cs="Arial"/>
        </w:rPr>
        <w:fldChar w:fldCharType="separate"/>
      </w:r>
      <w:r w:rsidR="00B64C0F">
        <w:rPr>
          <w:rFonts w:ascii="Arial" w:hAnsi="Arial" w:cs="Arial"/>
          <w:noProof/>
        </w:rPr>
        <w:t>(</w:t>
      </w:r>
      <w:hyperlink w:anchor="_ENREF_369" w:tooltip="Martinez, 2009 #171" w:history="1">
        <w:r w:rsidR="003B725E">
          <w:rPr>
            <w:rFonts w:ascii="Arial" w:hAnsi="Arial" w:cs="Arial"/>
            <w:noProof/>
          </w:rPr>
          <w:t>369</w:t>
        </w:r>
      </w:hyperlink>
      <w:r w:rsidR="00B64C0F">
        <w:rPr>
          <w:rFonts w:ascii="Arial" w:hAnsi="Arial" w:cs="Arial"/>
          <w:noProof/>
        </w:rPr>
        <w:t>)</w:t>
      </w:r>
      <w:r w:rsidR="00A22227" w:rsidRPr="008F7B33">
        <w:rPr>
          <w:rFonts w:ascii="Arial" w:hAnsi="Arial" w:cs="Arial"/>
        </w:rPr>
        <w:fldChar w:fldCharType="end"/>
      </w:r>
      <w:r w:rsidR="0034261C" w:rsidRPr="008F7B33">
        <w:rPr>
          <w:rFonts w:ascii="Arial" w:hAnsi="Arial" w:cs="Arial"/>
        </w:rPr>
        <w:t xml:space="preserve"> are shown in figure 79. The OPUS and TRIO premenopausal reference intervals for PINP and CTX compared to those previously established in several studies are shown in figure 80. </w:t>
      </w:r>
      <w:r w:rsidR="007F4AD6" w:rsidRPr="008F7B33">
        <w:rPr>
          <w:rFonts w:ascii="Arial" w:hAnsi="Arial" w:cs="Arial"/>
        </w:rPr>
        <w:t>Although d</w:t>
      </w:r>
      <w:r w:rsidR="0034261C" w:rsidRPr="008F7B33">
        <w:rPr>
          <w:rFonts w:ascii="Arial" w:hAnsi="Arial" w:cs="Arial"/>
        </w:rPr>
        <w:t xml:space="preserve">irect statistical comparisons cannot be made, the </w:t>
      </w:r>
      <w:r w:rsidR="007F4AD6" w:rsidRPr="008F7B33">
        <w:rPr>
          <w:rFonts w:ascii="Arial" w:hAnsi="Arial" w:cs="Arial"/>
        </w:rPr>
        <w:t xml:space="preserve">graphs show that there possible significant differences between the reference ranges. Several factors may have contributed to these differences; number of participants, </w:t>
      </w:r>
      <w:r w:rsidR="008F7B33" w:rsidRPr="008F7B33">
        <w:rPr>
          <w:rFonts w:ascii="Arial" w:hAnsi="Arial" w:cs="Arial"/>
        </w:rPr>
        <w:t>selection</w:t>
      </w:r>
      <w:r w:rsidR="007F4AD6" w:rsidRPr="008F7B33">
        <w:rPr>
          <w:rFonts w:ascii="Arial" w:hAnsi="Arial" w:cs="Arial"/>
        </w:rPr>
        <w:t xml:space="preserve"> of participants (inclusion/exclusion criteria)</w:t>
      </w:r>
      <w:r w:rsidR="008F7B33" w:rsidRPr="008F7B33">
        <w:rPr>
          <w:rFonts w:ascii="Arial" w:hAnsi="Arial" w:cs="Arial"/>
        </w:rPr>
        <w:t xml:space="preserve">, and geographical region of </w:t>
      </w:r>
      <w:r w:rsidR="008F7B33" w:rsidRPr="008F7B33">
        <w:rPr>
          <w:rFonts w:ascii="Arial" w:hAnsi="Arial" w:cs="Arial"/>
        </w:rPr>
        <w:lastRenderedPageBreak/>
        <w:t>participants, BTM measurement methods, laboratory quality assurance and statistical approach. Such variations highlight the need to harmonise the methods before BTM values can be used and interpreted in a clinical setting.</w:t>
      </w:r>
    </w:p>
    <w:p w:rsidR="007412B7" w:rsidRDefault="00BF3E6E" w:rsidP="00406169">
      <w:pPr>
        <w:keepNext/>
        <w:jc w:val="center"/>
        <w:rPr>
          <w:noProof/>
          <w:lang w:eastAsia="en-GB"/>
        </w:rPr>
      </w:pPr>
      <w:r w:rsidRPr="00BF3E6E">
        <w:rPr>
          <w:noProof/>
          <w:lang w:eastAsia="zh-CN"/>
        </w:rPr>
        <w:drawing>
          <wp:inline distT="0" distB="0" distL="0" distR="0" wp14:anchorId="6BF50A2F" wp14:editId="3294AD47">
            <wp:extent cx="3400425" cy="3926337"/>
            <wp:effectExtent l="0" t="0" r="0" b="0"/>
            <wp:docPr id="18777" name="Picture 1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11061" cy="3938618"/>
                    </a:xfrm>
                    <a:prstGeom prst="rect">
                      <a:avLst/>
                    </a:prstGeom>
                    <a:noFill/>
                    <a:ln>
                      <a:noFill/>
                    </a:ln>
                  </pic:spPr>
                </pic:pic>
              </a:graphicData>
            </a:graphic>
          </wp:inline>
        </w:drawing>
      </w:r>
    </w:p>
    <w:p w:rsidR="00BF3E6E" w:rsidRDefault="00BF3E6E" w:rsidP="00406169">
      <w:pPr>
        <w:keepNext/>
        <w:jc w:val="center"/>
      </w:pPr>
      <w:r w:rsidRPr="00BF3E6E">
        <w:rPr>
          <w:noProof/>
          <w:lang w:eastAsia="zh-CN"/>
        </w:rPr>
        <w:drawing>
          <wp:inline distT="0" distB="0" distL="0" distR="0" wp14:anchorId="0CC84E8B" wp14:editId="7B79E47D">
            <wp:extent cx="3343275" cy="3867433"/>
            <wp:effectExtent l="0" t="0" r="0" b="0"/>
            <wp:docPr id="18778" name="Picture 1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61130" cy="3888088"/>
                    </a:xfrm>
                    <a:prstGeom prst="rect">
                      <a:avLst/>
                    </a:prstGeom>
                    <a:noFill/>
                    <a:ln>
                      <a:noFill/>
                    </a:ln>
                  </pic:spPr>
                </pic:pic>
              </a:graphicData>
            </a:graphic>
          </wp:inline>
        </w:drawing>
      </w:r>
    </w:p>
    <w:p w:rsidR="004D5A59" w:rsidRPr="00080BAC" w:rsidRDefault="007412B7" w:rsidP="00AD2E23">
      <w:pPr>
        <w:pStyle w:val="Caption"/>
        <w:jc w:val="both"/>
        <w:rPr>
          <w:rFonts w:ascii="Arial" w:hAnsi="Arial" w:cs="Arial"/>
          <w:b w:val="0"/>
          <w:color w:val="000000" w:themeColor="text1"/>
        </w:rPr>
      </w:pPr>
      <w:bookmarkStart w:id="257" w:name="_Toc425419562"/>
      <w:r w:rsidRPr="00080BAC">
        <w:rPr>
          <w:rFonts w:ascii="Arial" w:hAnsi="Arial" w:cs="Arial"/>
          <w:b w:val="0"/>
          <w:color w:val="000000" w:themeColor="text1"/>
        </w:rPr>
        <w:t xml:space="preserve">Figure </w:t>
      </w:r>
      <w:r w:rsidR="00683FFE" w:rsidRPr="00080BAC">
        <w:rPr>
          <w:rFonts w:ascii="Arial" w:hAnsi="Arial" w:cs="Arial"/>
          <w:b w:val="0"/>
          <w:color w:val="000000" w:themeColor="text1"/>
        </w:rPr>
        <w:fldChar w:fldCharType="begin"/>
      </w:r>
      <w:r w:rsidR="00683FFE" w:rsidRPr="00080BAC">
        <w:rPr>
          <w:rFonts w:ascii="Arial" w:hAnsi="Arial" w:cs="Arial"/>
          <w:b w:val="0"/>
          <w:color w:val="000000" w:themeColor="text1"/>
        </w:rPr>
        <w:instrText xml:space="preserve"> SEQ Figure \* ARABIC </w:instrText>
      </w:r>
      <w:r w:rsidR="00683FFE" w:rsidRPr="00080BAC">
        <w:rPr>
          <w:rFonts w:ascii="Arial" w:hAnsi="Arial" w:cs="Arial"/>
          <w:b w:val="0"/>
          <w:color w:val="000000" w:themeColor="text1"/>
        </w:rPr>
        <w:fldChar w:fldCharType="separate"/>
      </w:r>
      <w:r w:rsidR="0040369A">
        <w:rPr>
          <w:rFonts w:ascii="Arial" w:hAnsi="Arial" w:cs="Arial"/>
          <w:b w:val="0"/>
          <w:noProof/>
          <w:color w:val="000000" w:themeColor="text1"/>
        </w:rPr>
        <w:t>73</w:t>
      </w:r>
      <w:r w:rsidR="00683FFE" w:rsidRPr="00080BAC">
        <w:rPr>
          <w:rFonts w:ascii="Arial" w:hAnsi="Arial" w:cs="Arial"/>
          <w:b w:val="0"/>
          <w:noProof/>
          <w:color w:val="000000" w:themeColor="text1"/>
        </w:rPr>
        <w:fldChar w:fldCharType="end"/>
      </w:r>
      <w:r w:rsidRPr="00080BAC">
        <w:rPr>
          <w:rFonts w:ascii="Arial" w:hAnsi="Arial" w:cs="Arial"/>
          <w:b w:val="0"/>
          <w:color w:val="000000" w:themeColor="text1"/>
        </w:rPr>
        <w:t>:</w:t>
      </w:r>
      <w:r w:rsidR="00C81F26">
        <w:rPr>
          <w:rFonts w:ascii="Arial" w:hAnsi="Arial" w:cs="Arial"/>
          <w:b w:val="0"/>
          <w:color w:val="000000" w:themeColor="text1"/>
        </w:rPr>
        <w:t xml:space="preserve"> PINP (top) and CTX (bottom</w:t>
      </w:r>
      <w:r w:rsidR="00080BAC" w:rsidRPr="00080BAC">
        <w:rPr>
          <w:rFonts w:ascii="Arial" w:hAnsi="Arial" w:cs="Arial"/>
          <w:b w:val="0"/>
          <w:color w:val="000000" w:themeColor="text1"/>
        </w:rPr>
        <w:t>) postmenopausal reference intervals from one previous study (black) and the OPUS study (red) described in chapter 3.</w:t>
      </w:r>
      <w:bookmarkEnd w:id="257"/>
    </w:p>
    <w:p w:rsidR="007412B7" w:rsidRDefault="00BF3E6E" w:rsidP="00406169">
      <w:pPr>
        <w:keepNext/>
        <w:jc w:val="center"/>
      </w:pPr>
      <w:r w:rsidRPr="00BF3E6E">
        <w:rPr>
          <w:noProof/>
          <w:lang w:eastAsia="zh-CN"/>
        </w:rPr>
        <w:lastRenderedPageBreak/>
        <w:drawing>
          <wp:inline distT="0" distB="0" distL="0" distR="0" wp14:anchorId="0E3F7FE2" wp14:editId="3519A6F1">
            <wp:extent cx="3943350" cy="3438440"/>
            <wp:effectExtent l="0" t="0" r="0" b="0"/>
            <wp:docPr id="18775" name="Picture 1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54719" cy="3448354"/>
                    </a:xfrm>
                    <a:prstGeom prst="rect">
                      <a:avLst/>
                    </a:prstGeom>
                    <a:noFill/>
                    <a:ln>
                      <a:noFill/>
                    </a:ln>
                  </pic:spPr>
                </pic:pic>
              </a:graphicData>
            </a:graphic>
          </wp:inline>
        </w:drawing>
      </w:r>
    </w:p>
    <w:p w:rsidR="00BF3E6E" w:rsidRDefault="00BF3E6E" w:rsidP="00406169">
      <w:pPr>
        <w:keepNext/>
        <w:jc w:val="center"/>
      </w:pPr>
      <w:r w:rsidRPr="00BF3E6E">
        <w:rPr>
          <w:noProof/>
          <w:lang w:eastAsia="zh-CN"/>
        </w:rPr>
        <w:drawing>
          <wp:inline distT="0" distB="0" distL="0" distR="0" wp14:anchorId="34263AFA" wp14:editId="39B150FA">
            <wp:extent cx="4200525" cy="3599704"/>
            <wp:effectExtent l="0" t="0" r="0" b="0"/>
            <wp:docPr id="18776" name="Picture 1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08571" cy="3606599"/>
                    </a:xfrm>
                    <a:prstGeom prst="rect">
                      <a:avLst/>
                    </a:prstGeom>
                    <a:noFill/>
                    <a:ln>
                      <a:noFill/>
                    </a:ln>
                  </pic:spPr>
                </pic:pic>
              </a:graphicData>
            </a:graphic>
          </wp:inline>
        </w:drawing>
      </w:r>
    </w:p>
    <w:p w:rsidR="00080BAC" w:rsidRPr="00080BAC" w:rsidRDefault="007412B7" w:rsidP="00AD2E23">
      <w:pPr>
        <w:pStyle w:val="Caption"/>
        <w:jc w:val="both"/>
        <w:rPr>
          <w:rFonts w:ascii="Arial" w:hAnsi="Arial" w:cs="Arial"/>
          <w:b w:val="0"/>
          <w:color w:val="000000" w:themeColor="text1"/>
        </w:rPr>
      </w:pPr>
      <w:bookmarkStart w:id="258" w:name="_Toc425419563"/>
      <w:r w:rsidRPr="002B7CB5">
        <w:rPr>
          <w:rFonts w:ascii="Arial" w:hAnsi="Arial" w:cs="Arial"/>
          <w:b w:val="0"/>
          <w:color w:val="000000" w:themeColor="text1"/>
        </w:rPr>
        <w:t xml:space="preserve">Figure </w:t>
      </w:r>
      <w:r w:rsidR="00C84801" w:rsidRPr="002B7CB5">
        <w:rPr>
          <w:rFonts w:ascii="Arial" w:hAnsi="Arial" w:cs="Arial"/>
          <w:b w:val="0"/>
          <w:color w:val="000000" w:themeColor="text1"/>
        </w:rPr>
        <w:fldChar w:fldCharType="begin"/>
      </w:r>
      <w:r w:rsidR="00C84801" w:rsidRPr="002B7CB5">
        <w:rPr>
          <w:rFonts w:ascii="Arial" w:hAnsi="Arial" w:cs="Arial"/>
          <w:b w:val="0"/>
          <w:color w:val="000000" w:themeColor="text1"/>
        </w:rPr>
        <w:instrText xml:space="preserve"> SEQ Figure \* ARABIC </w:instrText>
      </w:r>
      <w:r w:rsidR="00C84801" w:rsidRPr="002B7CB5">
        <w:rPr>
          <w:rFonts w:ascii="Arial" w:hAnsi="Arial" w:cs="Arial"/>
          <w:b w:val="0"/>
          <w:color w:val="000000" w:themeColor="text1"/>
        </w:rPr>
        <w:fldChar w:fldCharType="separate"/>
      </w:r>
      <w:r w:rsidR="0040369A">
        <w:rPr>
          <w:rFonts w:ascii="Arial" w:hAnsi="Arial" w:cs="Arial"/>
          <w:b w:val="0"/>
          <w:noProof/>
          <w:color w:val="000000" w:themeColor="text1"/>
        </w:rPr>
        <w:t>74</w:t>
      </w:r>
      <w:r w:rsidR="00C84801" w:rsidRPr="002B7CB5">
        <w:rPr>
          <w:rFonts w:ascii="Arial" w:hAnsi="Arial" w:cs="Arial"/>
          <w:b w:val="0"/>
          <w:noProof/>
          <w:color w:val="000000" w:themeColor="text1"/>
        </w:rPr>
        <w:fldChar w:fldCharType="end"/>
      </w:r>
      <w:r w:rsidRPr="002B7CB5">
        <w:rPr>
          <w:rFonts w:ascii="Arial" w:hAnsi="Arial" w:cs="Arial"/>
          <w:b w:val="0"/>
          <w:color w:val="000000" w:themeColor="text1"/>
        </w:rPr>
        <w:t>:</w:t>
      </w:r>
      <w:r w:rsidR="00BF3E6E">
        <w:rPr>
          <w:rFonts w:ascii="Arial" w:hAnsi="Arial" w:cs="Arial"/>
          <w:b w:val="0"/>
          <w:color w:val="000000" w:themeColor="text1"/>
        </w:rPr>
        <w:t xml:space="preserve"> PINP (top) and CTX (bottom</w:t>
      </w:r>
      <w:r w:rsidR="00080BAC" w:rsidRPr="002B7CB5">
        <w:rPr>
          <w:rFonts w:ascii="Arial" w:hAnsi="Arial" w:cs="Arial"/>
          <w:b w:val="0"/>
          <w:color w:val="000000" w:themeColor="text1"/>
        </w:rPr>
        <w:t xml:space="preserve">) premenopausal reference intervals from previous studies (black) and the </w:t>
      </w:r>
      <w:r w:rsidR="00080BAC" w:rsidRPr="00080BAC">
        <w:rPr>
          <w:rFonts w:ascii="Arial" w:hAnsi="Arial" w:cs="Arial"/>
          <w:b w:val="0"/>
          <w:color w:val="000000" w:themeColor="text1"/>
        </w:rPr>
        <w:t>OPUS</w:t>
      </w:r>
      <w:r w:rsidR="00080BAC">
        <w:rPr>
          <w:rFonts w:ascii="Arial" w:hAnsi="Arial" w:cs="Arial"/>
          <w:b w:val="0"/>
          <w:color w:val="000000" w:themeColor="text1"/>
        </w:rPr>
        <w:t xml:space="preserve"> and TRIO studies</w:t>
      </w:r>
      <w:r w:rsidR="00080BAC" w:rsidRPr="00080BAC">
        <w:rPr>
          <w:rFonts w:ascii="Arial" w:hAnsi="Arial" w:cs="Arial"/>
          <w:b w:val="0"/>
          <w:color w:val="000000" w:themeColor="text1"/>
        </w:rPr>
        <w:t xml:space="preserve"> (red) described in chapter</w:t>
      </w:r>
      <w:r w:rsidR="00080BAC">
        <w:rPr>
          <w:rFonts w:ascii="Arial" w:hAnsi="Arial" w:cs="Arial"/>
          <w:b w:val="0"/>
          <w:color w:val="000000" w:themeColor="text1"/>
        </w:rPr>
        <w:t>s</w:t>
      </w:r>
      <w:r w:rsidR="00080BAC" w:rsidRPr="00080BAC">
        <w:rPr>
          <w:rFonts w:ascii="Arial" w:hAnsi="Arial" w:cs="Arial"/>
          <w:b w:val="0"/>
          <w:color w:val="000000" w:themeColor="text1"/>
        </w:rPr>
        <w:t xml:space="preserve"> 3</w:t>
      </w:r>
      <w:r w:rsidR="00080BAC">
        <w:rPr>
          <w:rFonts w:ascii="Arial" w:hAnsi="Arial" w:cs="Arial"/>
          <w:b w:val="0"/>
          <w:color w:val="000000" w:themeColor="text1"/>
        </w:rPr>
        <w:t xml:space="preserve"> and 5</w:t>
      </w:r>
      <w:r w:rsidR="00080BAC" w:rsidRPr="00080BAC">
        <w:rPr>
          <w:rFonts w:ascii="Arial" w:hAnsi="Arial" w:cs="Arial"/>
          <w:b w:val="0"/>
          <w:color w:val="000000" w:themeColor="text1"/>
        </w:rPr>
        <w:t>.</w:t>
      </w:r>
      <w:bookmarkEnd w:id="258"/>
    </w:p>
    <w:p w:rsidR="00CA01E7" w:rsidRDefault="00821AB5" w:rsidP="00AD2E23">
      <w:pPr>
        <w:spacing w:line="360" w:lineRule="auto"/>
        <w:jc w:val="both"/>
        <w:rPr>
          <w:rFonts w:ascii="Arial" w:hAnsi="Arial" w:cs="Arial"/>
          <w:color w:val="000000" w:themeColor="text1"/>
        </w:rPr>
      </w:pPr>
      <w:r w:rsidRPr="00CA01E7">
        <w:rPr>
          <w:rFonts w:ascii="Arial" w:hAnsi="Arial" w:cs="Arial"/>
          <w:b/>
          <w:color w:val="000000" w:themeColor="text1"/>
        </w:rPr>
        <w:t xml:space="preserve">The T-score bone marker </w:t>
      </w:r>
      <w:r w:rsidR="00C95CEB">
        <w:rPr>
          <w:rFonts w:ascii="Arial" w:hAnsi="Arial" w:cs="Arial"/>
          <w:b/>
          <w:color w:val="000000" w:themeColor="text1"/>
        </w:rPr>
        <w:t>method/</w:t>
      </w:r>
      <w:r w:rsidRPr="00CA01E7">
        <w:rPr>
          <w:rFonts w:ascii="Arial" w:hAnsi="Arial" w:cs="Arial"/>
          <w:b/>
          <w:color w:val="000000" w:themeColor="text1"/>
        </w:rPr>
        <w:t xml:space="preserve">plot is </w:t>
      </w:r>
      <w:r w:rsidR="000F0A49" w:rsidRPr="00CA01E7">
        <w:rPr>
          <w:rFonts w:ascii="Arial" w:hAnsi="Arial" w:cs="Arial"/>
          <w:b/>
          <w:color w:val="000000" w:themeColor="text1"/>
        </w:rPr>
        <w:t xml:space="preserve">a </w:t>
      </w:r>
      <w:r w:rsidRPr="00CA01E7">
        <w:rPr>
          <w:rFonts w:ascii="Arial" w:hAnsi="Arial" w:cs="Arial"/>
          <w:b/>
          <w:color w:val="000000" w:themeColor="text1"/>
        </w:rPr>
        <w:t>novel method that has been described here for the first time.</w:t>
      </w:r>
      <w:r w:rsidRPr="00CA01E7">
        <w:rPr>
          <w:rFonts w:ascii="Arial" w:hAnsi="Arial" w:cs="Arial"/>
          <w:color w:val="000000" w:themeColor="text1"/>
        </w:rPr>
        <w:t xml:space="preserve"> </w:t>
      </w:r>
    </w:p>
    <w:p w:rsidR="00821AB5" w:rsidRPr="00BD3787" w:rsidRDefault="00821AB5" w:rsidP="00AD2E23">
      <w:pPr>
        <w:spacing w:line="360" w:lineRule="auto"/>
        <w:jc w:val="both"/>
        <w:rPr>
          <w:rFonts w:ascii="Arial" w:hAnsi="Arial" w:cs="Arial"/>
        </w:rPr>
      </w:pPr>
      <w:r w:rsidRPr="00BD3787">
        <w:rPr>
          <w:rFonts w:ascii="Arial" w:hAnsi="Arial" w:cs="Arial"/>
        </w:rPr>
        <w:t xml:space="preserve">It can be used to identify the state of bone remodelling by combining both bone turnover and bone balance in women with postmenopausal osteoporosis in relation to healthy premenopausal women. Using this method I have identified that postmenopausal women from a population-based study have a high bone turnover and a negative balance. </w:t>
      </w:r>
      <w:r w:rsidRPr="00BD3787">
        <w:rPr>
          <w:rFonts w:ascii="Arial" w:hAnsi="Arial" w:cs="Arial"/>
        </w:rPr>
        <w:lastRenderedPageBreak/>
        <w:t xml:space="preserve">Furthermore the T-score bone marker </w:t>
      </w:r>
      <w:r w:rsidR="0073045D" w:rsidRPr="00BD3787">
        <w:rPr>
          <w:rFonts w:ascii="Arial" w:hAnsi="Arial" w:cs="Arial"/>
        </w:rPr>
        <w:t xml:space="preserve">plot </w:t>
      </w:r>
      <w:r w:rsidRPr="00BD3787">
        <w:rPr>
          <w:rFonts w:ascii="Arial" w:hAnsi="Arial" w:cs="Arial"/>
        </w:rPr>
        <w:t xml:space="preserve">can be </w:t>
      </w:r>
      <w:r w:rsidR="00ED71F6" w:rsidRPr="00BD3787">
        <w:rPr>
          <w:rFonts w:ascii="Arial" w:hAnsi="Arial" w:cs="Arial"/>
        </w:rPr>
        <w:t xml:space="preserve">now be </w:t>
      </w:r>
      <w:r w:rsidRPr="00BD3787">
        <w:rPr>
          <w:rFonts w:ascii="Arial" w:hAnsi="Arial" w:cs="Arial"/>
        </w:rPr>
        <w:t xml:space="preserve">applied to </w:t>
      </w:r>
      <w:r w:rsidR="00ED71F6" w:rsidRPr="00BD3787">
        <w:rPr>
          <w:rFonts w:ascii="Arial" w:hAnsi="Arial" w:cs="Arial"/>
        </w:rPr>
        <w:t>other disease states that are characterised by imp</w:t>
      </w:r>
      <w:r w:rsidR="0073045D" w:rsidRPr="00BD3787">
        <w:rPr>
          <w:rFonts w:ascii="Arial" w:hAnsi="Arial" w:cs="Arial"/>
        </w:rPr>
        <w:t>aired bone remodelling to establish the state to bone turnover and balance quantitatively and qualitatively.</w:t>
      </w:r>
    </w:p>
    <w:p w:rsidR="00821AB5" w:rsidRPr="00BD3787" w:rsidRDefault="00BF5D11" w:rsidP="00AD2E23">
      <w:pPr>
        <w:spacing w:line="360" w:lineRule="auto"/>
        <w:jc w:val="both"/>
        <w:rPr>
          <w:rFonts w:ascii="Arial" w:hAnsi="Arial" w:cs="Arial"/>
        </w:rPr>
      </w:pPr>
      <w:r w:rsidRPr="00BD3787">
        <w:rPr>
          <w:rFonts w:ascii="Arial" w:hAnsi="Arial" w:cs="Arial"/>
        </w:rPr>
        <w:t xml:space="preserve">The T-score bone marker approach is also a novel method for assessing bone loss and fracture risk. </w:t>
      </w:r>
      <w:r w:rsidR="00821AB5" w:rsidRPr="00BD3787">
        <w:rPr>
          <w:rFonts w:ascii="Arial" w:hAnsi="Arial" w:cs="Arial"/>
        </w:rPr>
        <w:t>Although there is some evidence that high turnover is associated with increased risk of fracture, currently the use of BTMs has not be verified and they are not included in the fra</w:t>
      </w:r>
      <w:r w:rsidR="0073045D" w:rsidRPr="00BD3787">
        <w:rPr>
          <w:rFonts w:ascii="Arial" w:hAnsi="Arial" w:cs="Arial"/>
        </w:rPr>
        <w:t>cture risk assessment algorithms. The</w:t>
      </w:r>
      <w:r w:rsidR="00E7457A" w:rsidRPr="00BD3787">
        <w:rPr>
          <w:rFonts w:ascii="Arial" w:hAnsi="Arial" w:cs="Arial"/>
        </w:rPr>
        <w:t xml:space="preserve"> T-score</w:t>
      </w:r>
      <w:r w:rsidR="0073045D" w:rsidRPr="00BD3787">
        <w:rPr>
          <w:rFonts w:ascii="Arial" w:hAnsi="Arial" w:cs="Arial"/>
        </w:rPr>
        <w:t xml:space="preserve"> bone marker approach</w:t>
      </w:r>
      <w:r w:rsidR="00821AB5" w:rsidRPr="00BD3787">
        <w:rPr>
          <w:rFonts w:ascii="Arial" w:hAnsi="Arial" w:cs="Arial"/>
        </w:rPr>
        <w:t xml:space="preserve"> can be applied as a method of assessing bon</w:t>
      </w:r>
      <w:r w:rsidR="00E7457A" w:rsidRPr="00BD3787">
        <w:rPr>
          <w:rFonts w:ascii="Arial" w:hAnsi="Arial" w:cs="Arial"/>
        </w:rPr>
        <w:t>e loss and fracture risk and this is</w:t>
      </w:r>
      <w:r w:rsidR="00821AB5" w:rsidRPr="00BD3787">
        <w:rPr>
          <w:rFonts w:ascii="Arial" w:hAnsi="Arial" w:cs="Arial"/>
        </w:rPr>
        <w:t xml:space="preserve"> supported by findings from other major studies i.e. SOF and OFELY.</w:t>
      </w:r>
      <w:r w:rsidR="0073045D" w:rsidRPr="00BD3787">
        <w:rPr>
          <w:rFonts w:ascii="Arial" w:hAnsi="Arial" w:cs="Arial"/>
        </w:rPr>
        <w:t xml:space="preserve"> </w:t>
      </w:r>
      <w:r w:rsidR="00E7457A" w:rsidRPr="00BD3787">
        <w:rPr>
          <w:rFonts w:ascii="Arial" w:hAnsi="Arial" w:cs="Arial"/>
        </w:rPr>
        <w:t xml:space="preserve">By using BTMs in this approach </w:t>
      </w:r>
      <w:r w:rsidR="0073045D" w:rsidRPr="00BD3787">
        <w:rPr>
          <w:rFonts w:ascii="Arial" w:hAnsi="Arial" w:cs="Arial"/>
        </w:rPr>
        <w:t>I have been able to strengthen and update their clinical</w:t>
      </w:r>
      <w:r w:rsidR="00E7457A" w:rsidRPr="00BD3787">
        <w:rPr>
          <w:rFonts w:ascii="Arial" w:hAnsi="Arial" w:cs="Arial"/>
        </w:rPr>
        <w:t xml:space="preserve"> utility.</w:t>
      </w:r>
    </w:p>
    <w:p w:rsidR="000F0A49" w:rsidRPr="00BD3787" w:rsidRDefault="000F0A49" w:rsidP="00AD2E23">
      <w:pPr>
        <w:spacing w:line="360" w:lineRule="auto"/>
        <w:jc w:val="both"/>
        <w:rPr>
          <w:rFonts w:ascii="Arial" w:hAnsi="Arial" w:cs="Arial"/>
        </w:rPr>
      </w:pPr>
      <w:r w:rsidRPr="00BD3787">
        <w:rPr>
          <w:rFonts w:ascii="Arial" w:hAnsi="Arial" w:cs="Arial"/>
        </w:rPr>
        <w:t>Finally,</w:t>
      </w:r>
      <w:r w:rsidR="00AA729B" w:rsidRPr="00BD3787">
        <w:rPr>
          <w:rFonts w:ascii="Arial" w:hAnsi="Arial" w:cs="Arial"/>
        </w:rPr>
        <w:t xml:space="preserve"> I have used</w:t>
      </w:r>
      <w:r w:rsidRPr="00BD3787">
        <w:rPr>
          <w:rFonts w:ascii="Arial" w:hAnsi="Arial" w:cs="Arial"/>
        </w:rPr>
        <w:t xml:space="preserve"> the T-score bone marker plot</w:t>
      </w:r>
      <w:r w:rsidR="003179FC" w:rsidRPr="00BD3787">
        <w:rPr>
          <w:rFonts w:ascii="Arial" w:hAnsi="Arial" w:cs="Arial"/>
        </w:rPr>
        <w:t xml:space="preserve"> to demonstrate that licenced antiresorptive treatments </w:t>
      </w:r>
      <w:r w:rsidR="00AA729B" w:rsidRPr="00BD3787">
        <w:rPr>
          <w:rFonts w:ascii="Arial" w:hAnsi="Arial" w:cs="Arial"/>
        </w:rPr>
        <w:t>in the UK</w:t>
      </w:r>
      <w:r w:rsidR="003179FC" w:rsidRPr="00BD3787">
        <w:rPr>
          <w:rFonts w:ascii="Arial" w:hAnsi="Arial" w:cs="Arial"/>
        </w:rPr>
        <w:t xml:space="preserve"> all reduced bone turnover and only</w:t>
      </w:r>
      <w:r w:rsidR="00AA729B" w:rsidRPr="00BD3787">
        <w:rPr>
          <w:rFonts w:ascii="Arial" w:hAnsi="Arial" w:cs="Arial"/>
        </w:rPr>
        <w:t xml:space="preserve"> alendronate improved bone balan</w:t>
      </w:r>
      <w:r w:rsidR="003179FC" w:rsidRPr="00BD3787">
        <w:rPr>
          <w:rFonts w:ascii="Arial" w:hAnsi="Arial" w:cs="Arial"/>
        </w:rPr>
        <w:t xml:space="preserve">ce, </w:t>
      </w:r>
      <w:r w:rsidR="00AA729B" w:rsidRPr="00BD3787">
        <w:rPr>
          <w:rFonts w:ascii="Arial" w:hAnsi="Arial" w:cs="Arial"/>
        </w:rPr>
        <w:t xml:space="preserve">(Figure 81). </w:t>
      </w:r>
      <w:r w:rsidRPr="00BD3787">
        <w:rPr>
          <w:rFonts w:ascii="Arial" w:hAnsi="Arial" w:cs="Arial"/>
        </w:rPr>
        <w:t xml:space="preserve"> </w:t>
      </w:r>
      <w:r w:rsidR="00B4013E" w:rsidRPr="00BD3787">
        <w:rPr>
          <w:rFonts w:ascii="Arial" w:hAnsi="Arial" w:cs="Arial"/>
        </w:rPr>
        <w:t xml:space="preserve">Along with BMD </w:t>
      </w:r>
      <w:r w:rsidR="00020F68" w:rsidRPr="00BD3787">
        <w:rPr>
          <w:rFonts w:ascii="Arial" w:hAnsi="Arial" w:cs="Arial"/>
        </w:rPr>
        <w:t xml:space="preserve">and other </w:t>
      </w:r>
      <w:r w:rsidR="00B4013E" w:rsidRPr="00BD3787">
        <w:rPr>
          <w:rFonts w:ascii="Arial" w:hAnsi="Arial" w:cs="Arial"/>
        </w:rPr>
        <w:t>assessments, t</w:t>
      </w:r>
      <w:r w:rsidR="00592A39" w:rsidRPr="00BD3787">
        <w:rPr>
          <w:rFonts w:ascii="Arial" w:hAnsi="Arial" w:cs="Arial"/>
        </w:rPr>
        <w:t xml:space="preserve">his may help clinicians identify the most suitable compound with regards to suppression of bone turnover and improvement of bone balance. </w:t>
      </w:r>
    </w:p>
    <w:p w:rsidR="00AA729B" w:rsidRDefault="00AA729B" w:rsidP="00900F2C">
      <w:pPr>
        <w:pStyle w:val="Caption"/>
        <w:rPr>
          <w:b w:val="0"/>
        </w:rPr>
      </w:pPr>
    </w:p>
    <w:p w:rsidR="003179FC" w:rsidRDefault="003179FC" w:rsidP="0000595F">
      <w:pPr>
        <w:keepNext/>
        <w:jc w:val="center"/>
      </w:pPr>
      <w:r>
        <w:rPr>
          <w:noProof/>
          <w:lang w:eastAsia="zh-CN"/>
        </w:rPr>
        <w:drawing>
          <wp:inline distT="0" distB="0" distL="0" distR="0" wp14:anchorId="627C5D96" wp14:editId="581F2A5E">
            <wp:extent cx="2286000" cy="2231813"/>
            <wp:effectExtent l="0" t="0" r="0" b="0"/>
            <wp:docPr id="18603" name="Picture 1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97753" cy="2243287"/>
                    </a:xfrm>
                    <a:prstGeom prst="rect">
                      <a:avLst/>
                    </a:prstGeom>
                    <a:noFill/>
                  </pic:spPr>
                </pic:pic>
              </a:graphicData>
            </a:graphic>
          </wp:inline>
        </w:drawing>
      </w:r>
    </w:p>
    <w:p w:rsidR="003179FC" w:rsidRPr="00DA14FE" w:rsidRDefault="003179FC" w:rsidP="00AD2E23">
      <w:pPr>
        <w:pStyle w:val="Caption"/>
        <w:jc w:val="both"/>
        <w:rPr>
          <w:rFonts w:ascii="Arial" w:hAnsi="Arial" w:cs="Arial"/>
          <w:b w:val="0"/>
          <w:color w:val="auto"/>
        </w:rPr>
      </w:pPr>
      <w:bookmarkStart w:id="259" w:name="_Toc425419564"/>
      <w:r w:rsidRPr="00DA14FE">
        <w:rPr>
          <w:rFonts w:ascii="Arial" w:hAnsi="Arial" w:cs="Arial"/>
          <w:b w:val="0"/>
          <w:color w:val="auto"/>
        </w:rPr>
        <w:t xml:space="preserve">Figure </w:t>
      </w:r>
      <w:r w:rsidR="00E47951" w:rsidRPr="00DA14FE">
        <w:rPr>
          <w:rFonts w:ascii="Arial" w:hAnsi="Arial" w:cs="Arial"/>
          <w:b w:val="0"/>
          <w:color w:val="auto"/>
        </w:rPr>
        <w:fldChar w:fldCharType="begin"/>
      </w:r>
      <w:r w:rsidR="00E47951" w:rsidRPr="00DA14FE">
        <w:rPr>
          <w:rFonts w:ascii="Arial" w:hAnsi="Arial" w:cs="Arial"/>
          <w:b w:val="0"/>
          <w:color w:val="auto"/>
        </w:rPr>
        <w:instrText xml:space="preserve"> SEQ Figure \* ARABIC </w:instrText>
      </w:r>
      <w:r w:rsidR="00E47951" w:rsidRPr="00DA14FE">
        <w:rPr>
          <w:rFonts w:ascii="Arial" w:hAnsi="Arial" w:cs="Arial"/>
          <w:b w:val="0"/>
          <w:color w:val="auto"/>
        </w:rPr>
        <w:fldChar w:fldCharType="separate"/>
      </w:r>
      <w:r w:rsidR="0040369A">
        <w:rPr>
          <w:rFonts w:ascii="Arial" w:hAnsi="Arial" w:cs="Arial"/>
          <w:b w:val="0"/>
          <w:noProof/>
          <w:color w:val="auto"/>
        </w:rPr>
        <w:t>75</w:t>
      </w:r>
      <w:r w:rsidR="00E47951" w:rsidRPr="00DA14FE">
        <w:rPr>
          <w:rFonts w:ascii="Arial" w:hAnsi="Arial" w:cs="Arial"/>
          <w:b w:val="0"/>
          <w:noProof/>
          <w:color w:val="auto"/>
        </w:rPr>
        <w:fldChar w:fldCharType="end"/>
      </w:r>
      <w:bookmarkEnd w:id="9"/>
      <w:r w:rsidR="00FF75F9" w:rsidRPr="00DA14FE">
        <w:rPr>
          <w:rFonts w:ascii="Arial" w:hAnsi="Arial" w:cs="Arial"/>
          <w:b w:val="0"/>
          <w:noProof/>
          <w:color w:val="auto"/>
        </w:rPr>
        <w:t>: The T-score bone marker plot showing the effects of ibandronate (blue), alendronate (black) and risedronate (green) on bone turnover and bone balance</w:t>
      </w:r>
      <w:bookmarkEnd w:id="259"/>
      <w:r w:rsidR="00FF75F9" w:rsidRPr="00DA14FE">
        <w:rPr>
          <w:rFonts w:ascii="Arial" w:hAnsi="Arial" w:cs="Arial"/>
          <w:b w:val="0"/>
          <w:noProof/>
          <w:color w:val="auto"/>
        </w:rPr>
        <w:t xml:space="preserve"> </w:t>
      </w:r>
    </w:p>
    <w:p w:rsidR="00C95CEB" w:rsidRPr="00C95CEB" w:rsidRDefault="00C95CEB" w:rsidP="00AD2E23">
      <w:pPr>
        <w:spacing w:line="360" w:lineRule="auto"/>
        <w:jc w:val="both"/>
        <w:rPr>
          <w:rFonts w:ascii="Arial" w:hAnsi="Arial" w:cs="Arial"/>
          <w:b/>
        </w:rPr>
      </w:pPr>
    </w:p>
    <w:p w:rsidR="00C95CEB" w:rsidRDefault="00C95CEB" w:rsidP="00AD2E23">
      <w:pPr>
        <w:spacing w:line="360" w:lineRule="auto"/>
        <w:jc w:val="both"/>
        <w:rPr>
          <w:rFonts w:ascii="Arial" w:hAnsi="Arial" w:cs="Arial"/>
        </w:rPr>
      </w:pPr>
      <w:r>
        <w:rPr>
          <w:rFonts w:ascii="Arial" w:hAnsi="Arial" w:cs="Arial"/>
          <w:b/>
        </w:rPr>
        <w:t>B</w:t>
      </w:r>
      <w:r w:rsidR="00BD3787" w:rsidRPr="00C95CEB">
        <w:rPr>
          <w:rFonts w:ascii="Arial" w:hAnsi="Arial" w:cs="Arial"/>
          <w:b/>
        </w:rPr>
        <w:t xml:space="preserve">isphosphonates </w:t>
      </w:r>
      <w:r w:rsidR="001B1FFC">
        <w:rPr>
          <w:rFonts w:ascii="Arial" w:hAnsi="Arial" w:cs="Arial"/>
          <w:b/>
        </w:rPr>
        <w:t>reduce BTMs and the population of osteoclast precursor cells in postmenopausal women with osteoporosis</w:t>
      </w:r>
      <w:r w:rsidR="00601336" w:rsidRPr="00537DFF">
        <w:rPr>
          <w:rFonts w:ascii="Arial" w:hAnsi="Arial" w:cs="Arial"/>
        </w:rPr>
        <w:t xml:space="preserve"> </w:t>
      </w:r>
    </w:p>
    <w:p w:rsidR="00AA729B" w:rsidRDefault="00601336" w:rsidP="00AD2E23">
      <w:pPr>
        <w:spacing w:line="360" w:lineRule="auto"/>
        <w:jc w:val="both"/>
        <w:rPr>
          <w:rFonts w:ascii="Arial" w:hAnsi="Arial" w:cs="Arial"/>
        </w:rPr>
      </w:pPr>
      <w:r w:rsidRPr="00537DFF">
        <w:rPr>
          <w:rFonts w:ascii="Arial" w:hAnsi="Arial" w:cs="Arial"/>
        </w:rPr>
        <w:t>The findings in chapter 6 are the first to describe the effects of ibandronate, alendronate and rised</w:t>
      </w:r>
      <w:r w:rsidR="00537DFF" w:rsidRPr="00537DFF">
        <w:rPr>
          <w:rFonts w:ascii="Arial" w:hAnsi="Arial" w:cs="Arial"/>
        </w:rPr>
        <w:t xml:space="preserve">ronate on </w:t>
      </w:r>
      <w:r w:rsidR="001B1FFC">
        <w:rPr>
          <w:rFonts w:ascii="Arial" w:hAnsi="Arial" w:cs="Arial"/>
        </w:rPr>
        <w:t>BTMs and osteoclast precursor</w:t>
      </w:r>
      <w:r w:rsidR="00537DFF" w:rsidRPr="00537DFF">
        <w:rPr>
          <w:rFonts w:ascii="Arial" w:hAnsi="Arial" w:cs="Arial"/>
        </w:rPr>
        <w:t xml:space="preserve"> cells in a head-to-head manner.</w:t>
      </w:r>
      <w:r w:rsidR="00C95CEB">
        <w:rPr>
          <w:rFonts w:ascii="Arial" w:hAnsi="Arial" w:cs="Arial"/>
        </w:rPr>
        <w:t xml:space="preserve"> </w:t>
      </w:r>
      <w:r w:rsidR="001B1FFC">
        <w:rPr>
          <w:rFonts w:ascii="Arial" w:hAnsi="Arial" w:cs="Arial"/>
          <w:szCs w:val="20"/>
        </w:rPr>
        <w:t>They</w:t>
      </w:r>
      <w:r w:rsidR="001B1FFC" w:rsidRPr="001B1FFC">
        <w:rPr>
          <w:rFonts w:ascii="Arial" w:hAnsi="Arial" w:cs="Arial"/>
          <w:szCs w:val="20"/>
        </w:rPr>
        <w:t xml:space="preserve"> inhibit bone resorption in the short-term by direct action on mature osteoclasts. There is also a later effect mediated by a reduction in the population of circulating osteoclast precursors. I observed no reduction in circulating cytokines. </w:t>
      </w:r>
      <w:r w:rsidR="00537DFF" w:rsidRPr="001B1FFC">
        <w:rPr>
          <w:rFonts w:ascii="Arial" w:hAnsi="Arial" w:cs="Arial"/>
        </w:rPr>
        <w:t>In add</w:t>
      </w:r>
      <w:r w:rsidR="00537DFF" w:rsidRPr="00537DFF">
        <w:rPr>
          <w:rFonts w:ascii="Arial" w:hAnsi="Arial" w:cs="Arial"/>
        </w:rPr>
        <w:t xml:space="preserve">ition to this I have </w:t>
      </w:r>
      <w:r w:rsidR="00537DFF" w:rsidRPr="00537DFF">
        <w:rPr>
          <w:rFonts w:ascii="Arial" w:hAnsi="Arial" w:cs="Arial"/>
        </w:rPr>
        <w:lastRenderedPageBreak/>
        <w:t xml:space="preserve">been able to establish a reference range using the premenopausal women for each of these markers, these have not been </w:t>
      </w:r>
      <w:r w:rsidR="001B1FFC">
        <w:rPr>
          <w:rFonts w:ascii="Arial" w:hAnsi="Arial" w:cs="Arial"/>
        </w:rPr>
        <w:t xml:space="preserve">established </w:t>
      </w:r>
      <w:r w:rsidR="00537DFF" w:rsidRPr="00537DFF">
        <w:rPr>
          <w:rFonts w:ascii="Arial" w:hAnsi="Arial" w:cs="Arial"/>
        </w:rPr>
        <w:t>previously.</w:t>
      </w:r>
      <w:r w:rsidR="001B1FFC">
        <w:rPr>
          <w:rFonts w:ascii="Arial" w:hAnsi="Arial" w:cs="Arial"/>
        </w:rPr>
        <w:t xml:space="preserve"> </w:t>
      </w:r>
    </w:p>
    <w:p w:rsidR="00B70477" w:rsidRDefault="00B70477" w:rsidP="00AD2E23">
      <w:pPr>
        <w:spacing w:line="360" w:lineRule="auto"/>
        <w:jc w:val="both"/>
        <w:rPr>
          <w:rFonts w:ascii="Arial" w:hAnsi="Arial" w:cs="Arial"/>
          <w:b/>
        </w:rPr>
      </w:pPr>
      <w:r>
        <w:rPr>
          <w:rFonts w:ascii="Arial" w:hAnsi="Arial" w:cs="Arial"/>
          <w:b/>
        </w:rPr>
        <w:t xml:space="preserve">The role of sclerostin </w:t>
      </w:r>
    </w:p>
    <w:p w:rsidR="008F3456" w:rsidRPr="0039547B" w:rsidRDefault="00B70477" w:rsidP="00AD2E23">
      <w:pPr>
        <w:spacing w:line="360" w:lineRule="auto"/>
        <w:jc w:val="both"/>
        <w:rPr>
          <w:rFonts w:ascii="Arial" w:hAnsi="Arial" w:cs="Arial"/>
        </w:rPr>
      </w:pPr>
      <w:r>
        <w:rPr>
          <w:rFonts w:ascii="Arial" w:hAnsi="Arial" w:cs="Arial"/>
        </w:rPr>
        <w:t>The clinical utility of sclerostin has not been full</w:t>
      </w:r>
      <w:r w:rsidR="00BE59DB">
        <w:rPr>
          <w:rFonts w:ascii="Arial" w:hAnsi="Arial" w:cs="Arial"/>
        </w:rPr>
        <w:t>y established in this thesis, this</w:t>
      </w:r>
      <w:r>
        <w:rPr>
          <w:rFonts w:ascii="Arial" w:hAnsi="Arial" w:cs="Arial"/>
        </w:rPr>
        <w:t xml:space="preserve"> remains to be unclear. </w:t>
      </w:r>
      <w:r w:rsidR="00AC3A64">
        <w:rPr>
          <w:rFonts w:ascii="Arial" w:hAnsi="Arial" w:cs="Arial"/>
        </w:rPr>
        <w:t>I have shown that ibandronate, alendronate and risedronate do not affect the levels of circulating sclerostin and raloxifene</w:t>
      </w:r>
      <w:r w:rsidR="00FD4AC3">
        <w:rPr>
          <w:rFonts w:ascii="Arial" w:hAnsi="Arial" w:cs="Arial"/>
        </w:rPr>
        <w:t xml:space="preserve"> decreases it. It may be that sclerostin</w:t>
      </w:r>
      <w:r w:rsidR="00AC3A64">
        <w:rPr>
          <w:rFonts w:ascii="Arial" w:hAnsi="Arial" w:cs="Arial"/>
        </w:rPr>
        <w:t xml:space="preserve"> can be used for treatment monitoring w</w:t>
      </w:r>
      <w:r w:rsidR="00D87307">
        <w:rPr>
          <w:rFonts w:ascii="Arial" w:hAnsi="Arial" w:cs="Arial"/>
        </w:rPr>
        <w:t>ith some less</w:t>
      </w:r>
      <w:r w:rsidR="00FD4AC3">
        <w:rPr>
          <w:rFonts w:ascii="Arial" w:hAnsi="Arial" w:cs="Arial"/>
        </w:rPr>
        <w:t>er</w:t>
      </w:r>
      <w:r w:rsidR="00D87307">
        <w:rPr>
          <w:rFonts w:ascii="Arial" w:hAnsi="Arial" w:cs="Arial"/>
        </w:rPr>
        <w:t xml:space="preserve"> potent agents than</w:t>
      </w:r>
      <w:r w:rsidR="00AC3A64">
        <w:rPr>
          <w:rFonts w:ascii="Arial" w:hAnsi="Arial" w:cs="Arial"/>
        </w:rPr>
        <w:t xml:space="preserve"> bisphosphonates. </w:t>
      </w:r>
      <w:r>
        <w:rPr>
          <w:rFonts w:ascii="Arial" w:hAnsi="Arial" w:cs="Arial"/>
        </w:rPr>
        <w:t xml:space="preserve">My findings </w:t>
      </w:r>
      <w:r w:rsidR="00AC3A64">
        <w:rPr>
          <w:rFonts w:ascii="Arial" w:hAnsi="Arial" w:cs="Arial"/>
        </w:rPr>
        <w:t xml:space="preserve">also </w:t>
      </w:r>
      <w:r w:rsidR="00FD4AC3">
        <w:rPr>
          <w:rFonts w:ascii="Arial" w:hAnsi="Arial" w:cs="Arial"/>
        </w:rPr>
        <w:t>suggest that sclerostin</w:t>
      </w:r>
      <w:r>
        <w:rPr>
          <w:rFonts w:ascii="Arial" w:hAnsi="Arial" w:cs="Arial"/>
        </w:rPr>
        <w:t xml:space="preserve"> </w:t>
      </w:r>
      <w:r w:rsidR="00F94737">
        <w:rPr>
          <w:rFonts w:ascii="Arial" w:hAnsi="Arial" w:cs="Arial"/>
        </w:rPr>
        <w:t xml:space="preserve">may </w:t>
      </w:r>
      <w:r w:rsidR="00FD4AC3">
        <w:rPr>
          <w:rFonts w:ascii="Arial" w:hAnsi="Arial" w:cs="Arial"/>
        </w:rPr>
        <w:t xml:space="preserve">be </w:t>
      </w:r>
      <w:r>
        <w:rPr>
          <w:rFonts w:ascii="Arial" w:hAnsi="Arial" w:cs="Arial"/>
        </w:rPr>
        <w:t xml:space="preserve">related to bone turnover and </w:t>
      </w:r>
      <w:r w:rsidR="00AC3A64">
        <w:rPr>
          <w:rFonts w:ascii="Arial" w:hAnsi="Arial" w:cs="Arial"/>
        </w:rPr>
        <w:t>is</w:t>
      </w:r>
      <w:r>
        <w:rPr>
          <w:rFonts w:ascii="Arial" w:hAnsi="Arial" w:cs="Arial"/>
        </w:rPr>
        <w:t xml:space="preserve"> a marker of bone turnover</w:t>
      </w:r>
      <w:r w:rsidR="00AC3A64">
        <w:rPr>
          <w:rFonts w:ascii="Arial" w:hAnsi="Arial" w:cs="Arial"/>
        </w:rPr>
        <w:t>. With further investigations and a la</w:t>
      </w:r>
      <w:r w:rsidR="00B10556">
        <w:rPr>
          <w:rFonts w:ascii="Arial" w:hAnsi="Arial" w:cs="Arial"/>
        </w:rPr>
        <w:t xml:space="preserve">rger sample size it may be that it is </w:t>
      </w:r>
      <w:r w:rsidR="00F94737">
        <w:rPr>
          <w:rFonts w:ascii="Arial" w:hAnsi="Arial" w:cs="Arial"/>
        </w:rPr>
        <w:t xml:space="preserve">also </w:t>
      </w:r>
      <w:r w:rsidR="00B10556">
        <w:rPr>
          <w:rFonts w:ascii="Arial" w:hAnsi="Arial" w:cs="Arial"/>
        </w:rPr>
        <w:t>related to bone balance.</w:t>
      </w:r>
    </w:p>
    <w:p w:rsidR="00D87307" w:rsidRPr="00FF75F9" w:rsidRDefault="00D87307" w:rsidP="00AD2E23">
      <w:pPr>
        <w:pStyle w:val="Caption"/>
        <w:keepNext/>
        <w:jc w:val="both"/>
        <w:rPr>
          <w:rFonts w:ascii="Arial" w:hAnsi="Arial" w:cs="Arial"/>
          <w:color w:val="auto"/>
          <w:sz w:val="22"/>
          <w:szCs w:val="22"/>
        </w:rPr>
      </w:pPr>
      <w:r w:rsidRPr="00FF75F9">
        <w:rPr>
          <w:rFonts w:ascii="Arial" w:hAnsi="Arial" w:cs="Arial"/>
          <w:color w:val="auto"/>
          <w:sz w:val="22"/>
          <w:szCs w:val="22"/>
        </w:rPr>
        <w:t>The overall findings and clinical utility of BTMs in postmenopausal osteoporosis</w:t>
      </w:r>
    </w:p>
    <w:p w:rsidR="003A4C3D" w:rsidRPr="007A2022" w:rsidRDefault="00D87307" w:rsidP="00AD2E23">
      <w:pPr>
        <w:spacing w:line="360" w:lineRule="auto"/>
        <w:jc w:val="both"/>
        <w:rPr>
          <w:rFonts w:ascii="Arial" w:hAnsi="Arial" w:cs="Arial"/>
        </w:rPr>
      </w:pPr>
      <w:r w:rsidRPr="007A2022">
        <w:rPr>
          <w:rFonts w:ascii="Arial" w:hAnsi="Arial" w:cs="Arial"/>
        </w:rPr>
        <w:t>The changes in BTMS with antiresorptive treatments are rapid and lar</w:t>
      </w:r>
      <w:r w:rsidR="00D43137">
        <w:rPr>
          <w:rFonts w:ascii="Arial" w:hAnsi="Arial" w:cs="Arial"/>
        </w:rPr>
        <w:t>ge. Table 35</w:t>
      </w:r>
      <w:r w:rsidR="000A168B" w:rsidRPr="007A2022">
        <w:rPr>
          <w:rFonts w:ascii="Arial" w:hAnsi="Arial" w:cs="Arial"/>
        </w:rPr>
        <w:t xml:space="preserve"> compares the change in PINP and CTX in the clinical trials described in the thesis with those previously reported. Generally the findings are comparable with the exception that I have demonstrated </w:t>
      </w:r>
      <w:r w:rsidR="003A4C3D" w:rsidRPr="007A2022">
        <w:rPr>
          <w:rFonts w:ascii="Arial" w:hAnsi="Arial" w:cs="Arial"/>
        </w:rPr>
        <w:t xml:space="preserve">with alendronate there was </w:t>
      </w:r>
      <w:r w:rsidR="000A168B" w:rsidRPr="007A2022">
        <w:rPr>
          <w:rFonts w:ascii="Arial" w:hAnsi="Arial" w:cs="Arial"/>
        </w:rPr>
        <w:t>a greater magnitude of suppression</w:t>
      </w:r>
      <w:r w:rsidR="003A4C3D" w:rsidRPr="007A2022">
        <w:rPr>
          <w:rFonts w:ascii="Arial" w:hAnsi="Arial" w:cs="Arial"/>
        </w:rPr>
        <w:t xml:space="preserve"> compared to the FIT and FLEX trials.</w:t>
      </w:r>
      <w:r w:rsidR="000A168B" w:rsidRPr="007A2022">
        <w:rPr>
          <w:rFonts w:ascii="Arial" w:hAnsi="Arial" w:cs="Arial"/>
        </w:rPr>
        <w:t xml:space="preserve"> </w:t>
      </w:r>
      <w:r w:rsidR="003A4C3D" w:rsidRPr="007A2022">
        <w:rPr>
          <w:rFonts w:ascii="Arial" w:hAnsi="Arial" w:cs="Arial"/>
        </w:rPr>
        <w:t xml:space="preserve">The changes in BTMs highlight that they are a valuable tool because they </w:t>
      </w:r>
      <w:r w:rsidR="000A168B" w:rsidRPr="007A2022">
        <w:rPr>
          <w:rFonts w:ascii="Arial" w:hAnsi="Arial" w:cs="Arial"/>
        </w:rPr>
        <w:t>may provide clinicians with earlier and additional information to BMD regarding response and level of suppression. These findings support the current rational for the use of BTMs to monitor such treatments.</w:t>
      </w:r>
    </w:p>
    <w:p w:rsidR="00D87307" w:rsidRDefault="003A4C3D" w:rsidP="003B725E">
      <w:pPr>
        <w:spacing w:line="360" w:lineRule="auto"/>
        <w:jc w:val="both"/>
        <w:rPr>
          <w:rFonts w:ascii="Arial" w:hAnsi="Arial" w:cs="Arial"/>
        </w:rPr>
      </w:pPr>
      <w:r w:rsidRPr="007A2022">
        <w:rPr>
          <w:rFonts w:ascii="Arial" w:hAnsi="Arial" w:cs="Arial"/>
        </w:rPr>
        <w:t>There is also evi</w:t>
      </w:r>
      <w:r w:rsidR="0012361E" w:rsidRPr="007A2022">
        <w:rPr>
          <w:rFonts w:ascii="Arial" w:hAnsi="Arial" w:cs="Arial"/>
        </w:rPr>
        <w:t>dence supporting</w:t>
      </w:r>
      <w:r w:rsidRPr="007A2022">
        <w:rPr>
          <w:rFonts w:ascii="Arial" w:hAnsi="Arial" w:cs="Arial"/>
        </w:rPr>
        <w:t xml:space="preserve"> that BTMs can be used to calculate and assess bone turnover and bone balance combined in postmenopausal women prior to and during</w:t>
      </w:r>
      <w:r w:rsidR="0012361E" w:rsidRPr="007A2022">
        <w:rPr>
          <w:rFonts w:ascii="Arial" w:hAnsi="Arial" w:cs="Arial"/>
        </w:rPr>
        <w:t xml:space="preserve"> treatment</w:t>
      </w:r>
      <w:r w:rsidRPr="007A2022">
        <w:rPr>
          <w:rFonts w:ascii="Arial" w:hAnsi="Arial" w:cs="Arial"/>
        </w:rPr>
        <w:t xml:space="preserve">. Furthermore I have shown that bone balance </w:t>
      </w:r>
      <w:r w:rsidR="0012361E" w:rsidRPr="007A2022">
        <w:rPr>
          <w:rFonts w:ascii="Arial" w:hAnsi="Arial" w:cs="Arial"/>
        </w:rPr>
        <w:t>is related to fracture risk and this may help explain the improved bone microarchitecture and strength with antiresorptive treatments. This concept</w:t>
      </w:r>
      <w:r w:rsidR="007A2022" w:rsidRPr="007A2022">
        <w:rPr>
          <w:rFonts w:ascii="Arial" w:hAnsi="Arial" w:cs="Arial"/>
        </w:rPr>
        <w:t xml:space="preserve"> has not been previously described and can</w:t>
      </w:r>
      <w:r w:rsidR="0012361E" w:rsidRPr="007A2022">
        <w:rPr>
          <w:rFonts w:ascii="Arial" w:hAnsi="Arial" w:cs="Arial"/>
        </w:rPr>
        <w:t xml:space="preserve">not be captured by BMD </w:t>
      </w:r>
      <w:r w:rsidR="00D54BCF">
        <w:rPr>
          <w:rFonts w:ascii="Arial" w:hAnsi="Arial" w:cs="Arial"/>
        </w:rPr>
        <w:fldChar w:fldCharType="begin"/>
      </w:r>
      <w:r w:rsidR="00066E61">
        <w:rPr>
          <w:rFonts w:ascii="Arial" w:hAnsi="Arial" w:cs="Arial"/>
        </w:rPr>
        <w:instrText xml:space="preserve"> ADDIN EN.CITE &lt;EndNote&gt;&lt;Cite&gt;&lt;Author&gt;Hochberg&lt;/Author&gt;&lt;Year&gt;2002&lt;/Year&gt;&lt;RecNum&gt;336&lt;/RecNum&gt;&lt;DisplayText&gt;(479)&lt;/DisplayText&gt;&lt;record&gt;&lt;rec-number&gt;336&lt;/rec-number&gt;&lt;foreign-keys&gt;&lt;key app="EN" db-id="p9a5ttsvyvde9me5aw2x05fp5p55axf0wr90" timestamp="1435232458"&gt;336&lt;/key&gt;&lt;/foreign-keys&gt;&lt;ref-type name="Journal Article"&gt;17&lt;/ref-type&gt;&lt;contributors&gt;&lt;authors&gt;&lt;author&gt;Hochberg, M. C.&lt;/author&gt;&lt;author&gt;Greenspan, S.&lt;/author&gt;&lt;author&gt;Wasnich, R. D.&lt;/author&gt;&lt;author&gt;Miller, P.&lt;/author&gt;&lt;author&gt;Thompson, D. E.&lt;/author&gt;&lt;author&gt;Ross, P. D.&lt;/author&gt;&lt;/authors&gt;&lt;/contributors&gt;&lt;auth-address&gt;University of Maryland School of Medicine, Baltimore, Maryland 21201, USA. mhochber@umaryland.edu&lt;/auth-address&gt;&lt;titles&gt;&lt;title&gt;Changes in bone density and turnover explain the reductions in incidence of nonvertebral fractures that occur during treatment with antiresorptive agents&lt;/title&gt;&lt;secondary-title&gt;J Clin Endocrinol Metab&lt;/secondary-title&gt;&lt;/titles&gt;&lt;periodical&gt;&lt;full-title&gt;J Clin Endocrinol Metab&lt;/full-title&gt;&lt;abbr-1&gt;The Journal of clinical endocrinology and metabolism&lt;/abbr-1&gt;&lt;/periodical&gt;&lt;pages&gt;1586-92&lt;/pages&gt;&lt;volume&gt;87&lt;/volume&gt;&lt;number&gt;4&lt;/number&gt;&lt;edition&gt;2002/04/05&lt;/edition&gt;&lt;keywords&gt;&lt;keyword&gt;Adult&lt;/keyword&gt;&lt;keyword&gt;Aged&lt;/keyword&gt;&lt;keyword&gt;Aged, 80 and over&lt;/keyword&gt;&lt;keyword&gt;Bone Density&lt;/keyword&gt;&lt;keyword&gt;Bone Remodeling&lt;/keyword&gt;&lt;keyword&gt;Bone Resorption/ drug therapy&lt;/keyword&gt;&lt;keyword&gt;Female&lt;/keyword&gt;&lt;keyword&gt;Fractures, Bone/epidemiology/ prevention &amp;amp; control&lt;/keyword&gt;&lt;keyword&gt;Humans&lt;/keyword&gt;&lt;keyword&gt;Incidence&lt;/keyword&gt;&lt;keyword&gt;Middle Aged&lt;/keyword&gt;&lt;keyword&gt;Randomized Controlled Trials as Topic&lt;/keyword&gt;&lt;/keywords&gt;&lt;dates&gt;&lt;year&gt;2002&lt;/year&gt;&lt;pub-dates&gt;&lt;date&gt;Apr&lt;/date&gt;&lt;/pub-dates&gt;&lt;/dates&gt;&lt;isbn&gt;0021-972X (Print)&amp;#xD;0021-972X (Linking)&lt;/isbn&gt;&lt;accession-num&gt;11932287&lt;/accession-num&gt;&lt;urls&gt;&lt;/urls&gt;&lt;electronic-resource-num&gt;10.1210/jcem.87.4.8415&lt;/electronic-resource-num&gt;&lt;remote-database-provider&gt;NLM&lt;/remote-database-provider&gt;&lt;language&gt;eng&lt;/language&gt;&lt;/record&gt;&lt;/Cite&gt;&lt;/EndNote&gt;</w:instrText>
      </w:r>
      <w:r w:rsidR="00D54BCF">
        <w:rPr>
          <w:rFonts w:ascii="Arial" w:hAnsi="Arial" w:cs="Arial"/>
        </w:rPr>
        <w:fldChar w:fldCharType="separate"/>
      </w:r>
      <w:r w:rsidR="00066E61">
        <w:rPr>
          <w:rFonts w:ascii="Arial" w:hAnsi="Arial" w:cs="Arial"/>
          <w:noProof/>
        </w:rPr>
        <w:t>(</w:t>
      </w:r>
      <w:hyperlink w:anchor="_ENREF_479" w:tooltip="Hochberg, 2002 #336" w:history="1">
        <w:r w:rsidR="003B725E">
          <w:rPr>
            <w:rFonts w:ascii="Arial" w:hAnsi="Arial" w:cs="Arial"/>
            <w:noProof/>
          </w:rPr>
          <w:t>479</w:t>
        </w:r>
      </w:hyperlink>
      <w:r w:rsidR="00066E61">
        <w:rPr>
          <w:rFonts w:ascii="Arial" w:hAnsi="Arial" w:cs="Arial"/>
          <w:noProof/>
        </w:rPr>
        <w:t>)</w:t>
      </w:r>
      <w:r w:rsidR="00D54BCF">
        <w:rPr>
          <w:rFonts w:ascii="Arial" w:hAnsi="Arial" w:cs="Arial"/>
        </w:rPr>
        <w:fldChar w:fldCharType="end"/>
      </w:r>
      <w:r w:rsidR="007A2022" w:rsidRPr="007A2022">
        <w:rPr>
          <w:rFonts w:ascii="Arial" w:hAnsi="Arial" w:cs="Arial"/>
        </w:rPr>
        <w:t xml:space="preserve">. This can be investigated further as part of a clinical trial where the reduction in fracture risk before and after treatment is also assessed. This will allow us to establish the clinical utility of BTMS in relation to fracture and investigate further the role of bone balance. </w:t>
      </w:r>
    </w:p>
    <w:p w:rsidR="00406169" w:rsidRDefault="00406169" w:rsidP="00AD2E23">
      <w:pPr>
        <w:spacing w:line="360" w:lineRule="auto"/>
        <w:jc w:val="both"/>
        <w:rPr>
          <w:rFonts w:ascii="Arial" w:hAnsi="Arial" w:cs="Arial"/>
        </w:rPr>
      </w:pPr>
    </w:p>
    <w:p w:rsidR="00406169" w:rsidRDefault="00406169" w:rsidP="00AD2E23">
      <w:pPr>
        <w:spacing w:line="360" w:lineRule="auto"/>
        <w:jc w:val="both"/>
        <w:rPr>
          <w:rFonts w:ascii="Arial" w:hAnsi="Arial" w:cs="Arial"/>
        </w:rPr>
      </w:pPr>
    </w:p>
    <w:p w:rsidR="00406169" w:rsidRPr="007A2022" w:rsidRDefault="00406169" w:rsidP="00AD2E23">
      <w:pPr>
        <w:spacing w:line="360" w:lineRule="auto"/>
        <w:jc w:val="both"/>
        <w:rPr>
          <w:rFonts w:ascii="Arial" w:hAnsi="Arial" w:cs="Arial"/>
        </w:rPr>
      </w:pPr>
    </w:p>
    <w:p w:rsidR="00BC5B0C" w:rsidRPr="008445E9" w:rsidRDefault="00BC5B0C" w:rsidP="00AD2E23">
      <w:pPr>
        <w:pStyle w:val="Caption"/>
        <w:keepNext/>
        <w:jc w:val="both"/>
        <w:rPr>
          <w:rFonts w:ascii="Arial" w:hAnsi="Arial" w:cs="Arial"/>
          <w:b w:val="0"/>
          <w:color w:val="auto"/>
        </w:rPr>
      </w:pPr>
      <w:bookmarkStart w:id="260" w:name="_Toc424043709"/>
      <w:r w:rsidRPr="008445E9">
        <w:rPr>
          <w:rFonts w:ascii="Arial" w:hAnsi="Arial" w:cs="Arial"/>
          <w:b w:val="0"/>
          <w:color w:val="auto"/>
        </w:rPr>
        <w:lastRenderedPageBreak/>
        <w:t xml:space="preserve">Table </w:t>
      </w:r>
      <w:r w:rsidR="00C335C5" w:rsidRPr="008445E9">
        <w:rPr>
          <w:rFonts w:ascii="Arial" w:hAnsi="Arial" w:cs="Arial"/>
          <w:b w:val="0"/>
          <w:color w:val="auto"/>
        </w:rPr>
        <w:fldChar w:fldCharType="begin"/>
      </w:r>
      <w:r w:rsidR="00C335C5" w:rsidRPr="008445E9">
        <w:rPr>
          <w:rFonts w:ascii="Arial" w:hAnsi="Arial" w:cs="Arial"/>
          <w:b w:val="0"/>
          <w:color w:val="auto"/>
        </w:rPr>
        <w:instrText xml:space="preserve"> SEQ Table \* ARABIC </w:instrText>
      </w:r>
      <w:r w:rsidR="00C335C5" w:rsidRPr="008445E9">
        <w:rPr>
          <w:rFonts w:ascii="Arial" w:hAnsi="Arial" w:cs="Arial"/>
          <w:b w:val="0"/>
          <w:color w:val="auto"/>
        </w:rPr>
        <w:fldChar w:fldCharType="separate"/>
      </w:r>
      <w:r w:rsidR="00DD116A">
        <w:rPr>
          <w:rFonts w:ascii="Arial" w:hAnsi="Arial" w:cs="Arial"/>
          <w:b w:val="0"/>
          <w:noProof/>
          <w:color w:val="auto"/>
        </w:rPr>
        <w:t>35</w:t>
      </w:r>
      <w:r w:rsidR="00C335C5" w:rsidRPr="008445E9">
        <w:rPr>
          <w:rFonts w:ascii="Arial" w:hAnsi="Arial" w:cs="Arial"/>
          <w:b w:val="0"/>
          <w:noProof/>
          <w:color w:val="auto"/>
        </w:rPr>
        <w:fldChar w:fldCharType="end"/>
      </w:r>
      <w:r w:rsidR="00273075" w:rsidRPr="008445E9">
        <w:rPr>
          <w:rFonts w:ascii="Arial" w:hAnsi="Arial" w:cs="Arial"/>
          <w:b w:val="0"/>
          <w:noProof/>
          <w:color w:val="auto"/>
        </w:rPr>
        <w:t xml:space="preserve">: The key findings from the TRIO and Raloxifene clinical trials described in </w:t>
      </w:r>
      <w:r w:rsidR="008445E9" w:rsidRPr="008445E9">
        <w:rPr>
          <w:rFonts w:ascii="Arial" w:hAnsi="Arial" w:cs="Arial"/>
          <w:b w:val="0"/>
          <w:noProof/>
          <w:color w:val="auto"/>
        </w:rPr>
        <w:t>the thesis (highlighted in red). Showing the change from baseline, (bone balance shown as SD). CTX and PINP</w:t>
      </w:r>
      <w:r w:rsidR="00273075" w:rsidRPr="008445E9">
        <w:rPr>
          <w:rFonts w:ascii="Arial" w:hAnsi="Arial" w:cs="Arial"/>
          <w:b w:val="0"/>
          <w:noProof/>
          <w:color w:val="auto"/>
        </w:rPr>
        <w:t xml:space="preserve"> </w:t>
      </w:r>
      <w:r w:rsidR="008445E9" w:rsidRPr="008445E9">
        <w:rPr>
          <w:rFonts w:ascii="Arial" w:hAnsi="Arial" w:cs="Arial"/>
          <w:b w:val="0"/>
          <w:noProof/>
          <w:color w:val="auto"/>
        </w:rPr>
        <w:t>are compared to other clinical trials.</w:t>
      </w:r>
      <w:r w:rsidR="00646D9B">
        <w:rPr>
          <w:rFonts w:ascii="Arial" w:hAnsi="Arial" w:cs="Arial"/>
          <w:b w:val="0"/>
          <w:noProof/>
          <w:color w:val="auto"/>
        </w:rPr>
        <w:t xml:space="preserve"> OCP (osteoclast precursor cell population)</w:t>
      </w:r>
      <w:bookmarkEnd w:id="260"/>
    </w:p>
    <w:tbl>
      <w:tblPr>
        <w:tblStyle w:val="TableGrid"/>
        <w:tblW w:w="8841" w:type="dxa"/>
        <w:jc w:val="center"/>
        <w:tblLook w:val="04A0" w:firstRow="1" w:lastRow="0" w:firstColumn="1" w:lastColumn="0" w:noHBand="0" w:noVBand="1"/>
      </w:tblPr>
      <w:tblGrid>
        <w:gridCol w:w="2489"/>
        <w:gridCol w:w="2215"/>
        <w:gridCol w:w="2110"/>
        <w:gridCol w:w="2027"/>
      </w:tblGrid>
      <w:tr w:rsidR="00646D9B" w:rsidRPr="00097581" w:rsidTr="00A30AE0">
        <w:trPr>
          <w:trHeight w:val="642"/>
          <w:jc w:val="center"/>
        </w:trPr>
        <w:tc>
          <w:tcPr>
            <w:tcW w:w="2489" w:type="dxa"/>
          </w:tcPr>
          <w:p w:rsidR="00646D9B" w:rsidRPr="00097581" w:rsidRDefault="00FD4AC3" w:rsidP="00900F2C">
            <w:pPr>
              <w:spacing w:line="360" w:lineRule="auto"/>
              <w:rPr>
                <w:rFonts w:ascii="Arial" w:hAnsi="Arial" w:cs="Arial"/>
                <w:b/>
                <w:sz w:val="16"/>
                <w:szCs w:val="16"/>
              </w:rPr>
            </w:pPr>
            <w:r>
              <w:rPr>
                <w:rFonts w:ascii="Arial" w:hAnsi="Arial" w:cs="Arial"/>
                <w:b/>
                <w:sz w:val="16"/>
                <w:szCs w:val="16"/>
              </w:rPr>
              <w:t>Antiresorptive</w:t>
            </w:r>
            <w:r w:rsidR="00646D9B" w:rsidRPr="00097581">
              <w:rPr>
                <w:rFonts w:ascii="Arial" w:hAnsi="Arial" w:cs="Arial"/>
                <w:b/>
                <w:sz w:val="16"/>
                <w:szCs w:val="16"/>
              </w:rPr>
              <w:t xml:space="preserve"> name/description</w:t>
            </w:r>
          </w:p>
        </w:tc>
        <w:tc>
          <w:tcPr>
            <w:tcW w:w="2215" w:type="dxa"/>
          </w:tcPr>
          <w:p w:rsidR="00646D9B" w:rsidRPr="00097581" w:rsidRDefault="00646D9B" w:rsidP="00900F2C">
            <w:pPr>
              <w:spacing w:line="360" w:lineRule="auto"/>
              <w:rPr>
                <w:rFonts w:ascii="Arial" w:hAnsi="Arial" w:cs="Arial"/>
                <w:b/>
                <w:sz w:val="16"/>
                <w:szCs w:val="16"/>
              </w:rPr>
            </w:pPr>
            <w:r>
              <w:rPr>
                <w:rFonts w:ascii="Arial" w:hAnsi="Arial" w:cs="Arial"/>
                <w:b/>
                <w:sz w:val="16"/>
                <w:szCs w:val="16"/>
              </w:rPr>
              <w:t xml:space="preserve">Findings from previous clinical trials </w:t>
            </w:r>
          </w:p>
        </w:tc>
        <w:tc>
          <w:tcPr>
            <w:tcW w:w="2110" w:type="dxa"/>
          </w:tcPr>
          <w:p w:rsidR="00646D9B" w:rsidRPr="00BC5B0C" w:rsidRDefault="00646D9B" w:rsidP="00900F2C">
            <w:pPr>
              <w:spacing w:line="360" w:lineRule="auto"/>
              <w:rPr>
                <w:rFonts w:ascii="Arial" w:hAnsi="Arial" w:cs="Arial"/>
                <w:b/>
                <w:color w:val="C00000"/>
                <w:sz w:val="16"/>
                <w:szCs w:val="16"/>
              </w:rPr>
            </w:pPr>
            <w:r w:rsidRPr="00BC5B0C">
              <w:rPr>
                <w:rFonts w:ascii="Arial" w:hAnsi="Arial" w:cs="Arial"/>
                <w:b/>
                <w:color w:val="C00000"/>
                <w:sz w:val="16"/>
                <w:szCs w:val="16"/>
              </w:rPr>
              <w:t>Findings from the TRIO Study</w:t>
            </w:r>
          </w:p>
        </w:tc>
        <w:tc>
          <w:tcPr>
            <w:tcW w:w="2027" w:type="dxa"/>
          </w:tcPr>
          <w:p w:rsidR="00646D9B" w:rsidRPr="00BC5B0C" w:rsidRDefault="00646D9B" w:rsidP="00900F2C">
            <w:pPr>
              <w:spacing w:line="360" w:lineRule="auto"/>
              <w:rPr>
                <w:rFonts w:ascii="Arial" w:hAnsi="Arial" w:cs="Arial"/>
                <w:b/>
                <w:color w:val="C00000"/>
                <w:sz w:val="16"/>
                <w:szCs w:val="16"/>
              </w:rPr>
            </w:pPr>
            <w:r w:rsidRPr="00BC5B0C">
              <w:rPr>
                <w:rFonts w:ascii="Arial" w:hAnsi="Arial" w:cs="Arial"/>
                <w:b/>
                <w:color w:val="C00000"/>
                <w:sz w:val="16"/>
                <w:szCs w:val="16"/>
              </w:rPr>
              <w:t xml:space="preserve">Findings from the </w:t>
            </w:r>
            <w:r>
              <w:rPr>
                <w:rFonts w:ascii="Arial" w:hAnsi="Arial" w:cs="Arial"/>
                <w:b/>
                <w:color w:val="C00000"/>
                <w:sz w:val="16"/>
                <w:szCs w:val="16"/>
              </w:rPr>
              <w:t xml:space="preserve">Raloxifene </w:t>
            </w:r>
            <w:r w:rsidRPr="00BC5B0C">
              <w:rPr>
                <w:rFonts w:ascii="Arial" w:hAnsi="Arial" w:cs="Arial"/>
                <w:b/>
                <w:color w:val="C00000"/>
                <w:sz w:val="16"/>
                <w:szCs w:val="16"/>
              </w:rPr>
              <w:t>Study</w:t>
            </w:r>
          </w:p>
        </w:tc>
      </w:tr>
      <w:tr w:rsidR="00646D9B" w:rsidRPr="00EF4071" w:rsidTr="00A30AE0">
        <w:trPr>
          <w:trHeight w:val="1967"/>
          <w:jc w:val="center"/>
        </w:trPr>
        <w:tc>
          <w:tcPr>
            <w:tcW w:w="2489" w:type="dxa"/>
          </w:tcPr>
          <w:p w:rsidR="00646D9B" w:rsidRPr="00F00506" w:rsidRDefault="00646D9B" w:rsidP="00900F2C">
            <w:pPr>
              <w:spacing w:line="360" w:lineRule="auto"/>
              <w:rPr>
                <w:rFonts w:ascii="Arial" w:hAnsi="Arial" w:cs="Arial"/>
                <w:b/>
                <w:sz w:val="16"/>
                <w:szCs w:val="16"/>
              </w:rPr>
            </w:pPr>
            <w:r w:rsidRPr="00F00506">
              <w:rPr>
                <w:rFonts w:ascii="Arial" w:hAnsi="Arial" w:cs="Arial"/>
                <w:b/>
                <w:sz w:val="16"/>
                <w:szCs w:val="16"/>
              </w:rPr>
              <w:t>Ibandronate</w:t>
            </w:r>
          </w:p>
          <w:p w:rsidR="00646D9B" w:rsidRPr="00EF4071" w:rsidRDefault="00646D9B" w:rsidP="00900F2C">
            <w:pPr>
              <w:spacing w:line="360" w:lineRule="auto"/>
              <w:rPr>
                <w:rFonts w:ascii="Arial" w:hAnsi="Arial" w:cs="Arial"/>
                <w:sz w:val="16"/>
                <w:szCs w:val="16"/>
              </w:rPr>
            </w:pPr>
            <w:r>
              <w:rPr>
                <w:rFonts w:ascii="Arial" w:hAnsi="Arial" w:cs="Arial"/>
                <w:sz w:val="16"/>
                <w:szCs w:val="16"/>
              </w:rPr>
              <w:t>Nitrogen containing bisphosphonate</w:t>
            </w:r>
          </w:p>
        </w:tc>
        <w:tc>
          <w:tcPr>
            <w:tcW w:w="2215" w:type="dxa"/>
          </w:tcPr>
          <w:p w:rsidR="00646D9B" w:rsidRDefault="00646D9B" w:rsidP="00900F2C">
            <w:pPr>
              <w:spacing w:line="360" w:lineRule="auto"/>
              <w:rPr>
                <w:rFonts w:ascii="Arial" w:hAnsi="Arial" w:cs="Arial"/>
                <w:sz w:val="16"/>
                <w:szCs w:val="16"/>
              </w:rPr>
            </w:pPr>
            <w:r>
              <w:rPr>
                <w:rFonts w:ascii="Arial" w:hAnsi="Arial" w:cs="Arial"/>
                <w:sz w:val="16"/>
                <w:szCs w:val="16"/>
              </w:rPr>
              <w:t xml:space="preserve"> BONE, MOBILE and MOTION (Miller P 2005, Emkey R 2009)</w:t>
            </w:r>
          </w:p>
          <w:p w:rsidR="00646D9B" w:rsidRDefault="00646D9B" w:rsidP="00900F2C">
            <w:pPr>
              <w:spacing w:line="360" w:lineRule="auto"/>
              <w:rPr>
                <w:rFonts w:ascii="Arial" w:hAnsi="Arial" w:cs="Arial"/>
                <w:sz w:val="16"/>
                <w:szCs w:val="16"/>
              </w:rPr>
            </w:pPr>
            <w:r>
              <w:rPr>
                <w:rFonts w:ascii="Arial" w:hAnsi="Arial" w:cs="Arial"/>
                <w:sz w:val="16"/>
                <w:szCs w:val="16"/>
              </w:rPr>
              <w:t>CTX: -76%</w:t>
            </w:r>
          </w:p>
          <w:p w:rsidR="00646D9B" w:rsidRDefault="00646D9B" w:rsidP="00900F2C">
            <w:pPr>
              <w:spacing w:line="360" w:lineRule="auto"/>
              <w:rPr>
                <w:rFonts w:ascii="Arial" w:hAnsi="Arial" w:cs="Arial"/>
                <w:sz w:val="16"/>
                <w:szCs w:val="16"/>
              </w:rPr>
            </w:pPr>
            <w:r>
              <w:rPr>
                <w:rFonts w:ascii="Arial" w:hAnsi="Arial" w:cs="Arial"/>
                <w:sz w:val="16"/>
                <w:szCs w:val="16"/>
              </w:rPr>
              <w:t>PINP: N/A</w:t>
            </w:r>
          </w:p>
        </w:tc>
        <w:tc>
          <w:tcPr>
            <w:tcW w:w="2110" w:type="dxa"/>
          </w:tcPr>
          <w:p w:rsidR="00646D9B" w:rsidRPr="00F3359B" w:rsidRDefault="00646D9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CTX: -77%</w:t>
            </w:r>
            <w:r w:rsidR="003F0A8B" w:rsidRPr="00F3359B">
              <w:rPr>
                <w:rFonts w:ascii="Arial" w:hAnsi="Arial" w:cs="Arial"/>
                <w:color w:val="C00000"/>
                <w:sz w:val="16"/>
                <w:szCs w:val="16"/>
                <w:lang w:val="fr-FR"/>
              </w:rPr>
              <w:t xml:space="preserve">, </w:t>
            </w:r>
          </w:p>
          <w:p w:rsidR="00646D9B" w:rsidRPr="00F3359B" w:rsidRDefault="00646D9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PINP: -74%</w:t>
            </w:r>
            <w:r w:rsidR="003F0A8B" w:rsidRPr="00F3359B">
              <w:rPr>
                <w:rFonts w:ascii="Arial" w:hAnsi="Arial" w:cs="Arial"/>
                <w:color w:val="C00000"/>
                <w:sz w:val="16"/>
                <w:szCs w:val="16"/>
                <w:lang w:val="fr-FR"/>
              </w:rPr>
              <w:t>,</w:t>
            </w:r>
          </w:p>
          <w:p w:rsidR="00646D9B" w:rsidRPr="00F3359B" w:rsidRDefault="00646D9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OCP: -65%</w:t>
            </w:r>
            <w:r w:rsidR="003F0A8B" w:rsidRPr="00F3359B">
              <w:rPr>
                <w:rFonts w:ascii="Arial" w:hAnsi="Arial" w:cs="Arial"/>
                <w:color w:val="C00000"/>
                <w:sz w:val="16"/>
                <w:szCs w:val="16"/>
                <w:lang w:val="fr-FR"/>
              </w:rPr>
              <w:t xml:space="preserve">, </w:t>
            </w:r>
          </w:p>
          <w:p w:rsidR="00646D9B" w:rsidRPr="00F3359B" w:rsidRDefault="003F0A8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Bone Balance: 0.1 (T-score</w:t>
            </w:r>
            <w:r w:rsidR="00646D9B" w:rsidRPr="00F3359B">
              <w:rPr>
                <w:rFonts w:ascii="Arial" w:hAnsi="Arial" w:cs="Arial"/>
                <w:color w:val="C00000"/>
                <w:sz w:val="16"/>
                <w:szCs w:val="16"/>
                <w:lang w:val="fr-FR"/>
              </w:rPr>
              <w:t>)</w:t>
            </w:r>
          </w:p>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Sclerostin: No change</w:t>
            </w:r>
          </w:p>
        </w:tc>
        <w:tc>
          <w:tcPr>
            <w:tcW w:w="2027" w:type="dxa"/>
          </w:tcPr>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N/A</w:t>
            </w:r>
          </w:p>
        </w:tc>
      </w:tr>
      <w:tr w:rsidR="00646D9B" w:rsidRPr="00EF4071" w:rsidTr="00A30AE0">
        <w:trPr>
          <w:trHeight w:val="1967"/>
          <w:jc w:val="center"/>
        </w:trPr>
        <w:tc>
          <w:tcPr>
            <w:tcW w:w="2489" w:type="dxa"/>
          </w:tcPr>
          <w:p w:rsidR="00646D9B" w:rsidRDefault="00646D9B" w:rsidP="00900F2C">
            <w:pPr>
              <w:spacing w:line="360" w:lineRule="auto"/>
              <w:rPr>
                <w:rFonts w:ascii="Arial" w:hAnsi="Arial" w:cs="Arial"/>
                <w:b/>
                <w:sz w:val="16"/>
                <w:szCs w:val="16"/>
              </w:rPr>
            </w:pPr>
            <w:r w:rsidRPr="00F00506">
              <w:rPr>
                <w:rFonts w:ascii="Arial" w:hAnsi="Arial" w:cs="Arial"/>
                <w:b/>
                <w:sz w:val="16"/>
                <w:szCs w:val="16"/>
              </w:rPr>
              <w:t>Alendronate</w:t>
            </w:r>
          </w:p>
          <w:p w:rsidR="00646D9B" w:rsidRPr="00F00506" w:rsidRDefault="00646D9B" w:rsidP="00900F2C">
            <w:pPr>
              <w:spacing w:line="360" w:lineRule="auto"/>
              <w:rPr>
                <w:rFonts w:ascii="Arial" w:hAnsi="Arial" w:cs="Arial"/>
                <w:sz w:val="16"/>
                <w:szCs w:val="16"/>
              </w:rPr>
            </w:pPr>
            <w:r>
              <w:rPr>
                <w:rFonts w:ascii="Arial" w:hAnsi="Arial" w:cs="Arial"/>
                <w:sz w:val="16"/>
                <w:szCs w:val="16"/>
              </w:rPr>
              <w:t>Nitrogen containing bisphosphonate</w:t>
            </w:r>
          </w:p>
        </w:tc>
        <w:tc>
          <w:tcPr>
            <w:tcW w:w="2215" w:type="dxa"/>
          </w:tcPr>
          <w:p w:rsidR="00646D9B" w:rsidRDefault="00646D9B" w:rsidP="003B725E">
            <w:pPr>
              <w:spacing w:line="360" w:lineRule="auto"/>
              <w:rPr>
                <w:rFonts w:ascii="Arial" w:hAnsi="Arial" w:cs="Arial"/>
                <w:sz w:val="16"/>
                <w:szCs w:val="16"/>
              </w:rPr>
            </w:pPr>
            <w:r>
              <w:rPr>
                <w:rFonts w:ascii="Arial" w:hAnsi="Arial" w:cs="Arial"/>
                <w:sz w:val="16"/>
                <w:szCs w:val="16"/>
              </w:rPr>
              <w:t xml:space="preserve">FIT </w:t>
            </w:r>
            <w:r>
              <w:rPr>
                <w:rFonts w:ascii="Arial" w:hAnsi="Arial" w:cs="Arial"/>
                <w:sz w:val="16"/>
                <w:szCs w:val="16"/>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PEVuZE5vdGU+PENpdGU+PEF1dGhvcj5MaWJlcm1hbjwvQXV0aG9yPjxZZWFyPjE5OTU8L1llYXI+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307" w:tooltip="Liberman, 1995 #286" w:history="1">
              <w:r w:rsidR="003B725E">
                <w:rPr>
                  <w:rFonts w:ascii="Arial" w:hAnsi="Arial" w:cs="Arial"/>
                  <w:noProof/>
                  <w:sz w:val="16"/>
                  <w:szCs w:val="16"/>
                </w:rPr>
                <w:t>307</w:t>
              </w:r>
            </w:hyperlink>
            <w:r w:rsidR="008E761B">
              <w:rPr>
                <w:rFonts w:ascii="Arial" w:hAnsi="Arial" w:cs="Arial"/>
                <w:noProof/>
                <w:sz w:val="16"/>
                <w:szCs w:val="16"/>
              </w:rPr>
              <w:t xml:space="preserve">, </w:t>
            </w:r>
            <w:hyperlink w:anchor="_ENREF_308" w:tooltip="Black, 2000 #287" w:history="1">
              <w:r w:rsidR="003B725E">
                <w:rPr>
                  <w:rFonts w:ascii="Arial" w:hAnsi="Arial" w:cs="Arial"/>
                  <w:noProof/>
                  <w:sz w:val="16"/>
                  <w:szCs w:val="16"/>
                </w:rPr>
                <w:t>308</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 xml:space="preserve">, FLEX </w:t>
            </w:r>
            <w:r>
              <w:rPr>
                <w:rFonts w:ascii="Arial" w:hAnsi="Arial" w:cs="Arial"/>
                <w:sz w:val="16"/>
                <w:szCs w:val="16"/>
              </w:rPr>
              <w:fldChar w:fldCharType="begin">
                <w:fldData xml:space="preserve">PEVuZE5vdGU+PENpdGU+PEF1dGhvcj5TY2h3YXJ0ejwvQXV0aG9yPjxZZWFyPjIwMTA8L1llYXI+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YWdlcz45NzYtODI8L3BhZ2VzPjx2b2x1bWU+MjU8L3ZvbHVtZT48bnVtYmVyPjU8L251bWJlcj48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=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PEVuZE5vdGU+PENpdGU+PEF1dGhvcj5TY2h3YXJ0ejwvQXV0aG9yPjxZZWFyPjIwMTA8L1llYXI+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=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309" w:tooltip="Schwartz, 2010 #289" w:history="1">
              <w:r w:rsidR="003B725E">
                <w:rPr>
                  <w:rFonts w:ascii="Arial" w:hAnsi="Arial" w:cs="Arial"/>
                  <w:noProof/>
                  <w:sz w:val="16"/>
                  <w:szCs w:val="16"/>
                </w:rPr>
                <w:t>309</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 xml:space="preserve">: </w:t>
            </w:r>
          </w:p>
          <w:p w:rsidR="00646D9B" w:rsidRDefault="00646D9B" w:rsidP="00900F2C">
            <w:pPr>
              <w:spacing w:line="360" w:lineRule="auto"/>
              <w:rPr>
                <w:rFonts w:ascii="Arial" w:hAnsi="Arial" w:cs="Arial"/>
                <w:sz w:val="16"/>
                <w:szCs w:val="16"/>
              </w:rPr>
            </w:pPr>
            <w:r>
              <w:rPr>
                <w:rFonts w:ascii="Arial" w:hAnsi="Arial" w:cs="Arial"/>
                <w:sz w:val="16"/>
                <w:szCs w:val="16"/>
              </w:rPr>
              <w:t>CTX: -59% (SD: 31)</w:t>
            </w:r>
          </w:p>
          <w:p w:rsidR="00646D9B" w:rsidRDefault="00646D9B" w:rsidP="00900F2C">
            <w:pPr>
              <w:spacing w:line="360" w:lineRule="auto"/>
              <w:rPr>
                <w:rFonts w:ascii="Arial" w:hAnsi="Arial" w:cs="Arial"/>
                <w:sz w:val="16"/>
                <w:szCs w:val="16"/>
              </w:rPr>
            </w:pPr>
            <w:r>
              <w:rPr>
                <w:rFonts w:ascii="Arial" w:hAnsi="Arial" w:cs="Arial"/>
                <w:sz w:val="16"/>
                <w:szCs w:val="16"/>
              </w:rPr>
              <w:t xml:space="preserve">PINP: -51% (SD: 31) </w:t>
            </w:r>
          </w:p>
        </w:tc>
        <w:tc>
          <w:tcPr>
            <w:tcW w:w="2110" w:type="dxa"/>
          </w:tcPr>
          <w:p w:rsidR="00646D9B" w:rsidRPr="00F3359B" w:rsidRDefault="00646D9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CTX: -86%</w:t>
            </w:r>
          </w:p>
          <w:p w:rsidR="00646D9B" w:rsidRPr="00F3359B" w:rsidRDefault="00646D9B" w:rsidP="00900F2C">
            <w:pPr>
              <w:spacing w:line="360" w:lineRule="auto"/>
              <w:rPr>
                <w:rFonts w:ascii="Arial" w:hAnsi="Arial" w:cs="Arial"/>
                <w:color w:val="C00000"/>
                <w:sz w:val="16"/>
                <w:szCs w:val="16"/>
                <w:lang w:val="fr-FR"/>
              </w:rPr>
            </w:pPr>
            <w:proofErr w:type="gramStart"/>
            <w:r w:rsidRPr="00F3359B">
              <w:rPr>
                <w:rFonts w:ascii="Arial" w:hAnsi="Arial" w:cs="Arial"/>
                <w:color w:val="C00000"/>
                <w:sz w:val="16"/>
                <w:szCs w:val="16"/>
                <w:lang w:val="fr-FR"/>
              </w:rPr>
              <w:t>PINP:-</w:t>
            </w:r>
            <w:proofErr w:type="gramEnd"/>
            <w:r w:rsidRPr="00F3359B">
              <w:rPr>
                <w:rFonts w:ascii="Arial" w:hAnsi="Arial" w:cs="Arial"/>
                <w:color w:val="C00000"/>
                <w:sz w:val="16"/>
                <w:szCs w:val="16"/>
                <w:lang w:val="fr-FR"/>
              </w:rPr>
              <w:t>71%</w:t>
            </w:r>
          </w:p>
          <w:p w:rsidR="00646D9B" w:rsidRPr="00F3359B" w:rsidRDefault="00646D9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OCP: -33%</w:t>
            </w:r>
          </w:p>
          <w:p w:rsidR="00646D9B" w:rsidRPr="00F3359B" w:rsidRDefault="003F0A8B" w:rsidP="00900F2C">
            <w:pPr>
              <w:spacing w:line="360" w:lineRule="auto"/>
              <w:rPr>
                <w:rFonts w:ascii="Arial" w:hAnsi="Arial" w:cs="Arial"/>
                <w:color w:val="C00000"/>
                <w:sz w:val="16"/>
                <w:szCs w:val="16"/>
                <w:lang w:val="fr-FR"/>
              </w:rPr>
            </w:pPr>
            <w:r w:rsidRPr="00F3359B">
              <w:rPr>
                <w:rFonts w:ascii="Arial" w:hAnsi="Arial" w:cs="Arial"/>
                <w:color w:val="C00000"/>
                <w:sz w:val="16"/>
                <w:szCs w:val="16"/>
                <w:lang w:val="fr-FR"/>
              </w:rPr>
              <w:t>Bone Balance: 0.7 (T-score</w:t>
            </w:r>
            <w:r w:rsidR="00646D9B" w:rsidRPr="00F3359B">
              <w:rPr>
                <w:rFonts w:ascii="Arial" w:hAnsi="Arial" w:cs="Arial"/>
                <w:color w:val="C00000"/>
                <w:sz w:val="16"/>
                <w:szCs w:val="16"/>
                <w:lang w:val="fr-FR"/>
              </w:rPr>
              <w:t>)</w:t>
            </w:r>
          </w:p>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Sclerostin: No change</w:t>
            </w:r>
          </w:p>
        </w:tc>
        <w:tc>
          <w:tcPr>
            <w:tcW w:w="2027" w:type="dxa"/>
          </w:tcPr>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N/A</w:t>
            </w:r>
          </w:p>
        </w:tc>
      </w:tr>
      <w:tr w:rsidR="00646D9B" w:rsidRPr="00EF4071" w:rsidTr="00A30AE0">
        <w:trPr>
          <w:trHeight w:val="1646"/>
          <w:jc w:val="center"/>
        </w:trPr>
        <w:tc>
          <w:tcPr>
            <w:tcW w:w="2489" w:type="dxa"/>
          </w:tcPr>
          <w:p w:rsidR="00646D9B" w:rsidRDefault="00646D9B" w:rsidP="00900F2C">
            <w:pPr>
              <w:spacing w:line="360" w:lineRule="auto"/>
              <w:rPr>
                <w:rFonts w:ascii="Arial" w:hAnsi="Arial" w:cs="Arial"/>
                <w:b/>
                <w:sz w:val="16"/>
                <w:szCs w:val="16"/>
              </w:rPr>
            </w:pPr>
            <w:r w:rsidRPr="00F00506">
              <w:rPr>
                <w:rFonts w:ascii="Arial" w:hAnsi="Arial" w:cs="Arial"/>
                <w:b/>
                <w:sz w:val="16"/>
                <w:szCs w:val="16"/>
              </w:rPr>
              <w:t>Risedronate</w:t>
            </w:r>
          </w:p>
          <w:p w:rsidR="00646D9B" w:rsidRPr="00F00506" w:rsidRDefault="00646D9B" w:rsidP="00900F2C">
            <w:pPr>
              <w:spacing w:line="360" w:lineRule="auto"/>
              <w:rPr>
                <w:rFonts w:ascii="Arial" w:hAnsi="Arial" w:cs="Arial"/>
                <w:sz w:val="16"/>
                <w:szCs w:val="16"/>
              </w:rPr>
            </w:pPr>
            <w:r w:rsidRPr="00F00506">
              <w:rPr>
                <w:rFonts w:ascii="Arial" w:hAnsi="Arial" w:cs="Arial"/>
                <w:sz w:val="16"/>
                <w:szCs w:val="16"/>
              </w:rPr>
              <w:t>Nitrogen containing heterocyclic bisphosphonate</w:t>
            </w:r>
          </w:p>
        </w:tc>
        <w:tc>
          <w:tcPr>
            <w:tcW w:w="2215" w:type="dxa"/>
          </w:tcPr>
          <w:p w:rsidR="00646D9B" w:rsidRDefault="00646D9B" w:rsidP="003B725E">
            <w:pPr>
              <w:spacing w:line="360" w:lineRule="auto"/>
              <w:rPr>
                <w:rFonts w:ascii="Arial" w:hAnsi="Arial" w:cs="Arial"/>
                <w:sz w:val="16"/>
                <w:szCs w:val="16"/>
              </w:rPr>
            </w:pPr>
            <w:r>
              <w:rPr>
                <w:rFonts w:ascii="Arial" w:hAnsi="Arial" w:cs="Arial"/>
                <w:sz w:val="16"/>
                <w:szCs w:val="16"/>
              </w:rPr>
              <w:t xml:space="preserve">VERT-MN </w:t>
            </w:r>
            <w:r>
              <w:rPr>
                <w:rFonts w:ascii="Arial" w:hAnsi="Arial" w:cs="Arial"/>
                <w:sz w:val="16"/>
                <w:szCs w:val="16"/>
              </w:rPr>
              <w:fldChar w:fldCharType="begin">
                <w:fldData xml:space="preserve">PEVuZE5vdGU+PENpdGU+PEF1dGhvcj5FYXN0ZWxsPC9BdXRob3I+PFllYXI+MjAwMzwvWWVhcj48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c3Rlb3Bvcm9zaXMgRm91bmRhdGlvbiBvZiB0aGUgVVNBPC9hYmJyLTE+PC9wZXJpb2RpY2FsPjxw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PEVuZE5vdGU+PENpdGU+PEF1dGhvcj5FYXN0ZWxsPC9BdXRob3I+PFllYXI+MjAwMzwvWWVhcj48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c3Rlb3Bvcm9zaXMgRm91bmRhdGlvbiBvZiB0aGUgVVNBPC9hYmJyLTE+PC9wZXJpb2RpY2FsPjxw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279" w:tooltip="Reginster, 2000 #283" w:history="1">
              <w:r w:rsidR="003B725E">
                <w:rPr>
                  <w:rFonts w:ascii="Arial" w:hAnsi="Arial" w:cs="Arial"/>
                  <w:noProof/>
                  <w:sz w:val="16"/>
                  <w:szCs w:val="16"/>
                </w:rPr>
                <w:t>279</w:t>
              </w:r>
            </w:hyperlink>
            <w:r w:rsidR="008E761B">
              <w:rPr>
                <w:rFonts w:ascii="Arial" w:hAnsi="Arial" w:cs="Arial"/>
                <w:noProof/>
                <w:sz w:val="16"/>
                <w:szCs w:val="16"/>
              </w:rPr>
              <w:t xml:space="preserve">, </w:t>
            </w:r>
            <w:hyperlink w:anchor="_ENREF_310" w:tooltip="Eastell, 2003 #170" w:history="1">
              <w:r w:rsidR="003B725E">
                <w:rPr>
                  <w:rFonts w:ascii="Arial" w:hAnsi="Arial" w:cs="Arial"/>
                  <w:noProof/>
                  <w:sz w:val="16"/>
                  <w:szCs w:val="16"/>
                </w:rPr>
                <w:t>310</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 xml:space="preserve"> , VERT-NA</w:t>
            </w:r>
            <w:r>
              <w:rPr>
                <w:rFonts w:ascii="Arial" w:hAnsi="Arial" w:cs="Arial"/>
                <w:sz w:val="16"/>
                <w:szCs w:val="16"/>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PEVuZE5vdGU+PENpdGU+PEF1dGhvcj5IYXJyaXM8L0F1dGhvcj48WWVhcj4xOTk5PC9ZZWFyPjxS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311" w:tooltip="Harris, 1999 #196" w:history="1">
              <w:r w:rsidR="003B725E">
                <w:rPr>
                  <w:rFonts w:ascii="Arial" w:hAnsi="Arial" w:cs="Arial"/>
                  <w:noProof/>
                  <w:sz w:val="16"/>
                  <w:szCs w:val="16"/>
                </w:rPr>
                <w:t>311</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 xml:space="preserve">, HIP Intervention Program Study Group </w:t>
            </w:r>
            <w:r>
              <w:rPr>
                <w:rFonts w:ascii="Arial" w:hAnsi="Arial" w:cs="Arial"/>
                <w:sz w:val="16"/>
                <w:szCs w:val="16"/>
              </w:rPr>
              <w:fldChar w:fldCharType="begin">
                <w:fldData xml:space="preserve">PEVuZE5vdGU+PENpdGU+PEF1dGhvcj5NY0NsdW5nPC9BdXRob3I+PFllYXI+MjAwMTwvWWVhcj48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==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PEVuZE5vdGU+PENpdGU+PEF1dGhvcj5NY0NsdW5nPC9BdXRob3I+PFllYXI+MjAwMTwvWWVhcj48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==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312" w:tooltip="McClung, 2001 #285" w:history="1">
              <w:r w:rsidR="003B725E">
                <w:rPr>
                  <w:rFonts w:ascii="Arial" w:hAnsi="Arial" w:cs="Arial"/>
                  <w:noProof/>
                  <w:sz w:val="16"/>
                  <w:szCs w:val="16"/>
                </w:rPr>
                <w:t>312</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w:t>
            </w:r>
          </w:p>
          <w:p w:rsidR="00646D9B" w:rsidRDefault="00646D9B" w:rsidP="00900F2C">
            <w:pPr>
              <w:spacing w:line="360" w:lineRule="auto"/>
              <w:rPr>
                <w:rFonts w:ascii="Arial" w:hAnsi="Arial" w:cs="Arial"/>
                <w:sz w:val="16"/>
                <w:szCs w:val="16"/>
              </w:rPr>
            </w:pPr>
            <w:r>
              <w:rPr>
                <w:rFonts w:ascii="Arial" w:hAnsi="Arial" w:cs="Arial"/>
                <w:sz w:val="16"/>
                <w:szCs w:val="16"/>
              </w:rPr>
              <w:t>CTX (urine): -60%</w:t>
            </w:r>
          </w:p>
        </w:tc>
        <w:tc>
          <w:tcPr>
            <w:tcW w:w="2110" w:type="dxa"/>
          </w:tcPr>
          <w:p w:rsidR="00646D9B" w:rsidRDefault="00646D9B" w:rsidP="00900F2C">
            <w:pPr>
              <w:spacing w:line="360" w:lineRule="auto"/>
              <w:rPr>
                <w:rFonts w:ascii="Arial" w:hAnsi="Arial" w:cs="Arial"/>
                <w:color w:val="C00000"/>
                <w:sz w:val="16"/>
                <w:szCs w:val="16"/>
              </w:rPr>
            </w:pPr>
            <w:r>
              <w:rPr>
                <w:rFonts w:ascii="Arial" w:hAnsi="Arial" w:cs="Arial"/>
                <w:color w:val="C00000"/>
                <w:sz w:val="16"/>
                <w:szCs w:val="16"/>
              </w:rPr>
              <w:t>CTX: -67%</w:t>
            </w:r>
          </w:p>
          <w:p w:rsidR="00646D9B" w:rsidRDefault="00646D9B" w:rsidP="00900F2C">
            <w:pPr>
              <w:spacing w:line="360" w:lineRule="auto"/>
              <w:rPr>
                <w:rFonts w:ascii="Arial" w:hAnsi="Arial" w:cs="Arial"/>
                <w:color w:val="C00000"/>
                <w:sz w:val="16"/>
                <w:szCs w:val="16"/>
              </w:rPr>
            </w:pPr>
            <w:r>
              <w:rPr>
                <w:rFonts w:ascii="Arial" w:hAnsi="Arial" w:cs="Arial"/>
                <w:color w:val="C00000"/>
                <w:sz w:val="16"/>
                <w:szCs w:val="16"/>
              </w:rPr>
              <w:t>PINP:-57%</w:t>
            </w:r>
          </w:p>
          <w:p w:rsidR="00646D9B" w:rsidRDefault="00646D9B" w:rsidP="00900F2C">
            <w:pPr>
              <w:spacing w:line="360" w:lineRule="auto"/>
              <w:rPr>
                <w:rFonts w:ascii="Arial" w:hAnsi="Arial" w:cs="Arial"/>
                <w:color w:val="C00000"/>
                <w:sz w:val="16"/>
                <w:szCs w:val="16"/>
              </w:rPr>
            </w:pPr>
            <w:r>
              <w:rPr>
                <w:rFonts w:ascii="Arial" w:hAnsi="Arial" w:cs="Arial"/>
                <w:color w:val="C00000"/>
                <w:sz w:val="16"/>
                <w:szCs w:val="16"/>
              </w:rPr>
              <w:t>OCP: -61%</w:t>
            </w:r>
          </w:p>
          <w:p w:rsidR="00646D9B" w:rsidRDefault="00646D9B" w:rsidP="00900F2C">
            <w:pPr>
              <w:spacing w:line="360" w:lineRule="auto"/>
              <w:rPr>
                <w:rFonts w:ascii="Arial" w:hAnsi="Arial" w:cs="Arial"/>
                <w:color w:val="C00000"/>
                <w:sz w:val="16"/>
                <w:szCs w:val="16"/>
              </w:rPr>
            </w:pPr>
            <w:r>
              <w:rPr>
                <w:rFonts w:ascii="Arial" w:hAnsi="Arial" w:cs="Arial"/>
                <w:color w:val="C00000"/>
                <w:sz w:val="16"/>
                <w:szCs w:val="16"/>
              </w:rPr>
              <w:t>Bone Balance: -0.1 (SD)</w:t>
            </w:r>
          </w:p>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Sclerostin: No change</w:t>
            </w:r>
          </w:p>
        </w:tc>
        <w:tc>
          <w:tcPr>
            <w:tcW w:w="2027" w:type="dxa"/>
          </w:tcPr>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N/A</w:t>
            </w:r>
          </w:p>
        </w:tc>
      </w:tr>
      <w:tr w:rsidR="00646D9B" w:rsidRPr="00EF4071" w:rsidTr="00A30AE0">
        <w:trPr>
          <w:trHeight w:val="1646"/>
          <w:jc w:val="center"/>
        </w:trPr>
        <w:tc>
          <w:tcPr>
            <w:tcW w:w="2489" w:type="dxa"/>
          </w:tcPr>
          <w:p w:rsidR="00646D9B" w:rsidRPr="00F00506" w:rsidRDefault="00646D9B" w:rsidP="00900F2C">
            <w:pPr>
              <w:spacing w:line="360" w:lineRule="auto"/>
              <w:rPr>
                <w:rFonts w:ascii="Arial" w:hAnsi="Arial" w:cs="Arial"/>
                <w:b/>
                <w:sz w:val="16"/>
                <w:szCs w:val="16"/>
              </w:rPr>
            </w:pPr>
            <w:r w:rsidRPr="00F00506">
              <w:rPr>
                <w:rFonts w:ascii="Arial" w:hAnsi="Arial" w:cs="Arial"/>
                <w:b/>
                <w:sz w:val="16"/>
                <w:szCs w:val="16"/>
              </w:rPr>
              <w:t>Raloxifene</w:t>
            </w:r>
          </w:p>
          <w:p w:rsidR="00646D9B" w:rsidRPr="00F00506" w:rsidRDefault="00646D9B" w:rsidP="00900F2C">
            <w:pPr>
              <w:spacing w:line="360" w:lineRule="auto"/>
              <w:rPr>
                <w:rFonts w:ascii="Arial" w:hAnsi="Arial" w:cs="Arial"/>
                <w:sz w:val="16"/>
                <w:szCs w:val="16"/>
              </w:rPr>
            </w:pPr>
            <w:r>
              <w:rPr>
                <w:rFonts w:ascii="Arial" w:hAnsi="Arial" w:cs="Arial"/>
                <w:sz w:val="16"/>
                <w:szCs w:val="16"/>
              </w:rPr>
              <w:t>Second generation SERM: Benzothiophene</w:t>
            </w:r>
          </w:p>
        </w:tc>
        <w:tc>
          <w:tcPr>
            <w:tcW w:w="2215" w:type="dxa"/>
          </w:tcPr>
          <w:p w:rsidR="00646D9B" w:rsidRDefault="00646D9B" w:rsidP="003B725E">
            <w:pPr>
              <w:spacing w:line="360" w:lineRule="auto"/>
              <w:rPr>
                <w:rFonts w:ascii="Arial" w:hAnsi="Arial" w:cs="Arial"/>
                <w:sz w:val="16"/>
                <w:szCs w:val="16"/>
              </w:rPr>
            </w:pPr>
            <w:r>
              <w:rPr>
                <w:rFonts w:ascii="Arial" w:hAnsi="Arial" w:cs="Arial"/>
                <w:sz w:val="16"/>
                <w:szCs w:val="16"/>
              </w:rPr>
              <w:t xml:space="preserve">MORE </w:t>
            </w:r>
            <w:r>
              <w:rPr>
                <w:rFonts w:ascii="Arial" w:hAnsi="Arial" w:cs="Arial"/>
                <w:sz w:val="16"/>
                <w:szCs w:val="16"/>
              </w:rPr>
              <w:fldChar w:fldCharType="begin">
                <w:fldData xml:space="preserve">PEVuZE5vdGU+PENpdGU+PEF1dGhvcj5SZWdpbnN0ZXI8L0F1dGhvcj48WWVhcj4yMDA0PC9ZZWFy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</w:fldData>
              </w:fldChar>
            </w:r>
            <w:r w:rsidR="008E761B">
              <w:rPr>
                <w:rFonts w:ascii="Arial" w:hAnsi="Arial" w:cs="Arial"/>
                <w:sz w:val="16"/>
                <w:szCs w:val="16"/>
              </w:rPr>
              <w:instrText xml:space="preserve"> ADDIN EN.CITE </w:instrText>
            </w:r>
            <w:r w:rsidR="008E761B">
              <w:rPr>
                <w:rFonts w:ascii="Arial" w:hAnsi="Arial" w:cs="Arial"/>
                <w:sz w:val="16"/>
                <w:szCs w:val="16"/>
              </w:rPr>
              <w:fldChar w:fldCharType="begin">
                <w:fldData xml:space="preserve">PEVuZE5vdGU+PENpdGU+PEF1dGhvcj5SZWdpbnN0ZXI8L0F1dGhvcj48WWVhcj4yMDA0PC9ZZWFy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</w:fldData>
              </w:fldChar>
            </w:r>
            <w:r w:rsidR="008E761B">
              <w:rPr>
                <w:rFonts w:ascii="Arial" w:hAnsi="Arial" w:cs="Arial"/>
                <w:sz w:val="16"/>
                <w:szCs w:val="16"/>
              </w:rPr>
              <w:instrText xml:space="preserve"> ADDIN EN.CITE.DATA </w:instrText>
            </w:r>
            <w:r w:rsidR="008E761B">
              <w:rPr>
                <w:rFonts w:ascii="Arial" w:hAnsi="Arial" w:cs="Arial"/>
                <w:sz w:val="16"/>
                <w:szCs w:val="16"/>
              </w:rPr>
            </w:r>
            <w:r w:rsidR="008E761B">
              <w:rPr>
                <w:rFonts w:ascii="Arial" w:hAnsi="Arial" w:cs="Arial"/>
                <w:sz w:val="16"/>
                <w:szCs w:val="16"/>
              </w:rPr>
              <w:fldChar w:fldCharType="end"/>
            </w:r>
            <w:r>
              <w:rPr>
                <w:rFonts w:ascii="Arial" w:hAnsi="Arial" w:cs="Arial"/>
                <w:sz w:val="16"/>
                <w:szCs w:val="16"/>
              </w:rPr>
            </w:r>
            <w:r>
              <w:rPr>
                <w:rFonts w:ascii="Arial" w:hAnsi="Arial" w:cs="Arial"/>
                <w:sz w:val="16"/>
                <w:szCs w:val="16"/>
              </w:rPr>
              <w:fldChar w:fldCharType="separate"/>
            </w:r>
            <w:r w:rsidR="008E761B">
              <w:rPr>
                <w:rFonts w:ascii="Arial" w:hAnsi="Arial" w:cs="Arial"/>
                <w:noProof/>
                <w:sz w:val="16"/>
                <w:szCs w:val="16"/>
              </w:rPr>
              <w:t>(</w:t>
            </w:r>
            <w:hyperlink w:anchor="_ENREF_302" w:tooltip="Ettinger, 1999 #150" w:history="1">
              <w:r w:rsidR="003B725E">
                <w:rPr>
                  <w:rFonts w:ascii="Arial" w:hAnsi="Arial" w:cs="Arial"/>
                  <w:noProof/>
                  <w:sz w:val="16"/>
                  <w:szCs w:val="16"/>
                </w:rPr>
                <w:t>302</w:t>
              </w:r>
            </w:hyperlink>
            <w:r w:rsidR="008E761B">
              <w:rPr>
                <w:rFonts w:ascii="Arial" w:hAnsi="Arial" w:cs="Arial"/>
                <w:noProof/>
                <w:sz w:val="16"/>
                <w:szCs w:val="16"/>
              </w:rPr>
              <w:t xml:space="preserve">, </w:t>
            </w:r>
            <w:hyperlink w:anchor="_ENREF_314" w:tooltip="Reginster, 2004 #288" w:history="1">
              <w:r w:rsidR="003B725E">
                <w:rPr>
                  <w:rFonts w:ascii="Arial" w:hAnsi="Arial" w:cs="Arial"/>
                  <w:noProof/>
                  <w:sz w:val="16"/>
                  <w:szCs w:val="16"/>
                </w:rPr>
                <w:t>314</w:t>
              </w:r>
            </w:hyperlink>
            <w:r w:rsidR="008E761B">
              <w:rPr>
                <w:rFonts w:ascii="Arial" w:hAnsi="Arial" w:cs="Arial"/>
                <w:noProof/>
                <w:sz w:val="16"/>
                <w:szCs w:val="16"/>
              </w:rPr>
              <w:t>)</w:t>
            </w:r>
            <w:r>
              <w:rPr>
                <w:rFonts w:ascii="Arial" w:hAnsi="Arial" w:cs="Arial"/>
                <w:sz w:val="16"/>
                <w:szCs w:val="16"/>
              </w:rPr>
              <w:fldChar w:fldCharType="end"/>
            </w:r>
            <w:r>
              <w:rPr>
                <w:rFonts w:ascii="Arial" w:hAnsi="Arial" w:cs="Arial"/>
                <w:sz w:val="16"/>
                <w:szCs w:val="16"/>
              </w:rPr>
              <w:t xml:space="preserve">: </w:t>
            </w:r>
          </w:p>
          <w:p w:rsidR="00646D9B" w:rsidRDefault="00646D9B" w:rsidP="00900F2C">
            <w:pPr>
              <w:spacing w:line="360" w:lineRule="auto"/>
              <w:rPr>
                <w:rFonts w:ascii="Arial" w:hAnsi="Arial" w:cs="Arial"/>
                <w:sz w:val="16"/>
                <w:szCs w:val="16"/>
              </w:rPr>
            </w:pPr>
            <w:r>
              <w:rPr>
                <w:rFonts w:ascii="Arial" w:hAnsi="Arial" w:cs="Arial"/>
                <w:sz w:val="16"/>
                <w:szCs w:val="16"/>
              </w:rPr>
              <w:t>CTX (urine): -47%</w:t>
            </w:r>
          </w:p>
          <w:p w:rsidR="00646D9B" w:rsidRPr="00EF4071" w:rsidRDefault="00646D9B" w:rsidP="00900F2C">
            <w:pPr>
              <w:spacing w:line="360" w:lineRule="auto"/>
              <w:rPr>
                <w:rFonts w:ascii="Arial" w:hAnsi="Arial" w:cs="Arial"/>
                <w:sz w:val="16"/>
                <w:szCs w:val="16"/>
              </w:rPr>
            </w:pPr>
            <w:r>
              <w:rPr>
                <w:rFonts w:ascii="Arial" w:hAnsi="Arial" w:cs="Arial"/>
                <w:sz w:val="16"/>
                <w:szCs w:val="16"/>
              </w:rPr>
              <w:t>PINP: -41%</w:t>
            </w:r>
          </w:p>
        </w:tc>
        <w:tc>
          <w:tcPr>
            <w:tcW w:w="2110" w:type="dxa"/>
          </w:tcPr>
          <w:p w:rsidR="00646D9B" w:rsidRPr="00BC5B0C" w:rsidRDefault="00646D9B" w:rsidP="00900F2C">
            <w:pPr>
              <w:spacing w:line="360" w:lineRule="auto"/>
              <w:rPr>
                <w:rFonts w:ascii="Arial" w:hAnsi="Arial" w:cs="Arial"/>
                <w:color w:val="C00000"/>
                <w:sz w:val="16"/>
                <w:szCs w:val="16"/>
              </w:rPr>
            </w:pPr>
          </w:p>
        </w:tc>
        <w:tc>
          <w:tcPr>
            <w:tcW w:w="2027" w:type="dxa"/>
          </w:tcPr>
          <w:p w:rsidR="00646D9B" w:rsidRPr="00F3359B" w:rsidRDefault="00646D9B" w:rsidP="00900F2C">
            <w:pPr>
              <w:spacing w:line="360" w:lineRule="auto"/>
              <w:rPr>
                <w:rFonts w:ascii="Arial" w:hAnsi="Arial" w:cs="Arial"/>
                <w:color w:val="C00000"/>
                <w:sz w:val="16"/>
                <w:szCs w:val="16"/>
                <w:lang w:val="pt-PT"/>
              </w:rPr>
            </w:pPr>
            <w:r w:rsidRPr="00F3359B">
              <w:rPr>
                <w:rFonts w:ascii="Arial" w:hAnsi="Arial" w:cs="Arial"/>
                <w:color w:val="C00000"/>
                <w:sz w:val="16"/>
                <w:szCs w:val="16"/>
                <w:lang w:val="pt-PT"/>
              </w:rPr>
              <w:t>CTX: -48%</w:t>
            </w:r>
          </w:p>
          <w:p w:rsidR="00646D9B" w:rsidRPr="00F3359B" w:rsidRDefault="00646D9B" w:rsidP="00900F2C">
            <w:pPr>
              <w:spacing w:line="360" w:lineRule="auto"/>
              <w:rPr>
                <w:rFonts w:ascii="Arial" w:hAnsi="Arial" w:cs="Arial"/>
                <w:color w:val="C00000"/>
                <w:sz w:val="16"/>
                <w:szCs w:val="16"/>
                <w:lang w:val="pt-PT"/>
              </w:rPr>
            </w:pPr>
            <w:r w:rsidRPr="00F3359B">
              <w:rPr>
                <w:rFonts w:ascii="Arial" w:hAnsi="Arial" w:cs="Arial"/>
                <w:color w:val="C00000"/>
                <w:sz w:val="16"/>
                <w:szCs w:val="16"/>
                <w:lang w:val="pt-PT"/>
              </w:rPr>
              <w:t>PINP: -34%</w:t>
            </w:r>
          </w:p>
          <w:p w:rsidR="00646D9B" w:rsidRPr="00F3359B" w:rsidRDefault="00646D9B" w:rsidP="00900F2C">
            <w:pPr>
              <w:spacing w:line="360" w:lineRule="auto"/>
              <w:rPr>
                <w:rFonts w:ascii="Arial" w:hAnsi="Arial" w:cs="Arial"/>
                <w:color w:val="C00000"/>
                <w:sz w:val="16"/>
                <w:szCs w:val="16"/>
                <w:lang w:val="pt-PT"/>
              </w:rPr>
            </w:pPr>
            <w:r w:rsidRPr="00F3359B">
              <w:rPr>
                <w:rFonts w:ascii="Arial" w:hAnsi="Arial" w:cs="Arial"/>
                <w:color w:val="C00000"/>
                <w:sz w:val="16"/>
                <w:szCs w:val="16"/>
                <w:lang w:val="pt-PT"/>
              </w:rPr>
              <w:t>OCP: N/A</w:t>
            </w:r>
          </w:p>
          <w:p w:rsidR="00646D9B" w:rsidRPr="00F3359B" w:rsidRDefault="00646D9B" w:rsidP="00900F2C">
            <w:pPr>
              <w:spacing w:line="360" w:lineRule="auto"/>
              <w:rPr>
                <w:rFonts w:ascii="Arial" w:hAnsi="Arial" w:cs="Arial"/>
                <w:color w:val="C00000"/>
                <w:sz w:val="16"/>
                <w:szCs w:val="16"/>
                <w:lang w:val="pt-PT"/>
              </w:rPr>
            </w:pPr>
            <w:r w:rsidRPr="00F3359B">
              <w:rPr>
                <w:rFonts w:ascii="Arial" w:hAnsi="Arial" w:cs="Arial"/>
                <w:color w:val="C00000"/>
                <w:sz w:val="16"/>
                <w:szCs w:val="16"/>
                <w:lang w:val="pt-PT"/>
              </w:rPr>
              <w:t>Bone Balance: No change</w:t>
            </w:r>
          </w:p>
          <w:p w:rsidR="00646D9B" w:rsidRPr="00BC5B0C" w:rsidRDefault="00646D9B" w:rsidP="00900F2C">
            <w:pPr>
              <w:spacing w:line="360" w:lineRule="auto"/>
              <w:rPr>
                <w:rFonts w:ascii="Arial" w:hAnsi="Arial" w:cs="Arial"/>
                <w:color w:val="C00000"/>
                <w:sz w:val="16"/>
                <w:szCs w:val="16"/>
              </w:rPr>
            </w:pPr>
            <w:r>
              <w:rPr>
                <w:rFonts w:ascii="Arial" w:hAnsi="Arial" w:cs="Arial"/>
                <w:color w:val="C00000"/>
                <w:sz w:val="16"/>
                <w:szCs w:val="16"/>
              </w:rPr>
              <w:t>Sclerostin: -13%</w:t>
            </w:r>
            <w:r w:rsidR="003F0A8B">
              <w:rPr>
                <w:rFonts w:ascii="Arial" w:hAnsi="Arial" w:cs="Arial"/>
                <w:color w:val="C00000"/>
                <w:sz w:val="16"/>
                <w:szCs w:val="16"/>
              </w:rPr>
              <w:t>, 1.37 (T-score)</w:t>
            </w:r>
          </w:p>
        </w:tc>
      </w:tr>
    </w:tbl>
    <w:p w:rsidR="00821AB5" w:rsidRPr="00821AB5" w:rsidRDefault="00821AB5" w:rsidP="00900F2C"/>
    <w:p w:rsidR="008F7B33" w:rsidRDefault="00601C0B" w:rsidP="00AD2E23">
      <w:pPr>
        <w:pStyle w:val="Heading2"/>
        <w:jc w:val="both"/>
      </w:pPr>
      <w:bookmarkStart w:id="261" w:name="_Toc425418979"/>
      <w:r>
        <w:t>Overall strengths of the thesis</w:t>
      </w:r>
      <w:bookmarkEnd w:id="261"/>
    </w:p>
    <w:p w:rsidR="00342829" w:rsidRDefault="00EA1A11" w:rsidP="00AD2E23">
      <w:pPr>
        <w:spacing w:after="0" w:line="360" w:lineRule="auto"/>
        <w:jc w:val="both"/>
        <w:rPr>
          <w:rFonts w:ascii="Arial" w:hAnsi="Arial" w:cs="Arial"/>
        </w:rPr>
      </w:pPr>
      <w:r>
        <w:rPr>
          <w:rFonts w:ascii="Arial" w:hAnsi="Arial" w:cs="Arial"/>
        </w:rPr>
        <w:t xml:space="preserve">Throughout the thesis there were several strengths that contributed to the findings.  </w:t>
      </w:r>
    </w:p>
    <w:p w:rsidR="00342829" w:rsidRDefault="00342829" w:rsidP="00AD2E23">
      <w:pPr>
        <w:spacing w:line="360" w:lineRule="auto"/>
        <w:jc w:val="both"/>
        <w:rPr>
          <w:rFonts w:ascii="Arial" w:hAnsi="Arial" w:cs="Arial"/>
        </w:rPr>
      </w:pPr>
      <w:r>
        <w:rPr>
          <w:rFonts w:ascii="Arial" w:hAnsi="Arial" w:cs="Arial"/>
        </w:rPr>
        <w:t xml:space="preserve">With regards to the actual measurements of the BTMs, throughout the entire thesis assay consistency was maximised by using a central specialised laboratory with automated immunoassays for measuring the BTMs and thus minimising human error. </w:t>
      </w:r>
    </w:p>
    <w:p w:rsidR="00EA1A11" w:rsidRDefault="00EA1A11" w:rsidP="00AD2E23">
      <w:pPr>
        <w:spacing w:line="360" w:lineRule="auto"/>
        <w:jc w:val="both"/>
        <w:rPr>
          <w:rFonts w:ascii="Arial" w:hAnsi="Arial" w:cs="Arial"/>
        </w:rPr>
      </w:pPr>
      <w:r>
        <w:rPr>
          <w:rFonts w:ascii="Arial" w:hAnsi="Arial" w:cs="Arial"/>
        </w:rPr>
        <w:t xml:space="preserve">Subjects from a large population based study cohort (n = 2419) were used in establishing the postmenopausal and premenopausal reference intervals for BTMs. I identified the healthy population from their detailed assessments and excluded all factors known to affect bone metabolism. This allowed me to identify a well characterized population of a large sample size to reliably calculate the reference intervals. A large subset of 745 postmenopausal women from this study population were included in the analyses of the subsequent chapter to develop the T-score bone marker plot/method. By having such a large study size to develop a novel method ensures accuracy and reliability of the </w:t>
      </w:r>
      <w:r>
        <w:rPr>
          <w:rFonts w:ascii="Arial" w:hAnsi="Arial" w:cs="Arial"/>
        </w:rPr>
        <w:lastRenderedPageBreak/>
        <w:t xml:space="preserve">method. In particular all of the 754 were used to assess the relationship between bone </w:t>
      </w:r>
      <w:proofErr w:type="gramStart"/>
      <w:r>
        <w:rPr>
          <w:rFonts w:ascii="Arial" w:hAnsi="Arial" w:cs="Arial"/>
        </w:rPr>
        <w:t>turnover</w:t>
      </w:r>
      <w:proofErr w:type="gramEnd"/>
      <w:r>
        <w:rPr>
          <w:rFonts w:ascii="Arial" w:hAnsi="Arial" w:cs="Arial"/>
        </w:rPr>
        <w:t>, bone balance and bone loss. With regards to fracture risk assessment in this study cohort, there were a large number of non-vertebral fracture cases (N = 92) but a small number of vertebral fracture cases (N = 23).</w:t>
      </w:r>
    </w:p>
    <w:p w:rsidR="00401556" w:rsidRPr="00FF75F9" w:rsidRDefault="00EA1A11" w:rsidP="00AD2E23">
      <w:pPr>
        <w:spacing w:line="360" w:lineRule="auto"/>
        <w:jc w:val="both"/>
        <w:rPr>
          <w:rFonts w:ascii="Arial" w:hAnsi="Arial" w:cs="Arial"/>
        </w:rPr>
      </w:pPr>
      <w:r>
        <w:rPr>
          <w:rFonts w:ascii="Arial" w:hAnsi="Arial" w:cs="Arial"/>
        </w:rPr>
        <w:t>There were several strengths whic</w:t>
      </w:r>
      <w:r w:rsidR="0006145F">
        <w:rPr>
          <w:rFonts w:ascii="Arial" w:hAnsi="Arial" w:cs="Arial"/>
        </w:rPr>
        <w:t>h also came from the TRIO study investigating</w:t>
      </w:r>
      <w:r w:rsidR="00E05B53">
        <w:rPr>
          <w:rFonts w:ascii="Arial" w:hAnsi="Arial" w:cs="Arial"/>
        </w:rPr>
        <w:t>. It allowed me to compare</w:t>
      </w:r>
      <w:r w:rsidR="0006145F">
        <w:rPr>
          <w:rFonts w:ascii="Arial" w:hAnsi="Arial" w:cs="Arial"/>
        </w:rPr>
        <w:t xml:space="preserve"> the effect</w:t>
      </w:r>
      <w:r w:rsidR="00342829">
        <w:rPr>
          <w:rFonts w:ascii="Arial" w:hAnsi="Arial" w:cs="Arial"/>
        </w:rPr>
        <w:t>s</w:t>
      </w:r>
      <w:r w:rsidR="0006145F">
        <w:rPr>
          <w:rFonts w:ascii="Arial" w:hAnsi="Arial" w:cs="Arial"/>
        </w:rPr>
        <w:t xml:space="preserve"> of bisphosphonates on bone turnover markers</w:t>
      </w:r>
      <w:r w:rsidR="00E05B53">
        <w:rPr>
          <w:rFonts w:ascii="Arial" w:hAnsi="Arial" w:cs="Arial"/>
        </w:rPr>
        <w:t xml:space="preserve"> </w:t>
      </w:r>
      <w:r w:rsidR="00342829">
        <w:rPr>
          <w:rFonts w:ascii="Arial" w:hAnsi="Arial" w:cs="Arial"/>
        </w:rPr>
        <w:t>in a head-to-head manner using a</w:t>
      </w:r>
      <w:r w:rsidR="00E05B53">
        <w:rPr>
          <w:rFonts w:ascii="Arial" w:hAnsi="Arial" w:cs="Arial"/>
        </w:rPr>
        <w:t xml:space="preserve"> </w:t>
      </w:r>
      <w:r w:rsidR="00342829">
        <w:rPr>
          <w:rFonts w:ascii="Arial" w:hAnsi="Arial" w:cs="Arial"/>
        </w:rPr>
        <w:t>large study population</w:t>
      </w:r>
      <w:r w:rsidR="00E05B53">
        <w:rPr>
          <w:rFonts w:ascii="Arial" w:hAnsi="Arial" w:cs="Arial"/>
        </w:rPr>
        <w:t xml:space="preserve">. </w:t>
      </w:r>
      <w:r w:rsidR="00783358">
        <w:rPr>
          <w:rFonts w:ascii="Arial" w:hAnsi="Arial" w:cs="Arial"/>
        </w:rPr>
        <w:t>Unlike the OPUS study samples were taken following an overnight fast which removes the effects of feeding of BTMs.</w:t>
      </w:r>
      <w:r w:rsidR="00342829">
        <w:rPr>
          <w:rFonts w:ascii="Arial" w:hAnsi="Arial" w:cs="Arial"/>
        </w:rPr>
        <w:t xml:space="preserve"> L</w:t>
      </w:r>
      <w:r w:rsidR="00E05B53">
        <w:rPr>
          <w:rFonts w:ascii="Arial" w:hAnsi="Arial" w:cs="Arial"/>
        </w:rPr>
        <w:t>aboratory and non-laboratory sources of variability were minimised</w:t>
      </w:r>
      <w:r w:rsidR="00575C02">
        <w:rPr>
          <w:rFonts w:ascii="Arial" w:hAnsi="Arial" w:cs="Arial"/>
        </w:rPr>
        <w:t xml:space="preserve">; the recruitment method of the subjects (inclusion and exclusion criteria), the measurements of the BTMs were performed and the statistical analyses were performed according </w:t>
      </w:r>
      <w:r w:rsidR="00660BB0">
        <w:rPr>
          <w:rFonts w:ascii="Arial" w:hAnsi="Arial" w:cs="Arial"/>
        </w:rPr>
        <w:t>to set protocols in one department</w:t>
      </w:r>
      <w:r w:rsidR="00575C02">
        <w:rPr>
          <w:rFonts w:ascii="Arial" w:hAnsi="Arial" w:cs="Arial"/>
        </w:rPr>
        <w:t xml:space="preserve">. </w:t>
      </w:r>
      <w:r w:rsidR="007E28FE">
        <w:rPr>
          <w:rFonts w:ascii="Arial" w:hAnsi="Arial" w:cs="Arial"/>
        </w:rPr>
        <w:t>A major strength of the TRIO study is t</w:t>
      </w:r>
      <w:r w:rsidR="005F1F22">
        <w:rPr>
          <w:rFonts w:ascii="Arial" w:hAnsi="Arial" w:cs="Arial"/>
        </w:rPr>
        <w:t xml:space="preserve">he addition of a premenopausal control </w:t>
      </w:r>
      <w:r w:rsidR="007E28FE">
        <w:rPr>
          <w:rFonts w:ascii="Arial" w:hAnsi="Arial" w:cs="Arial"/>
        </w:rPr>
        <w:t>group, unlike other</w:t>
      </w:r>
      <w:r w:rsidR="00A64ED4">
        <w:rPr>
          <w:rFonts w:ascii="Arial" w:hAnsi="Arial" w:cs="Arial"/>
        </w:rPr>
        <w:t xml:space="preserve"> treatment trials where this is lacking</w:t>
      </w:r>
      <w:r w:rsidR="007E28FE">
        <w:rPr>
          <w:rFonts w:ascii="Arial" w:hAnsi="Arial" w:cs="Arial"/>
        </w:rPr>
        <w:t xml:space="preserve">. This </w:t>
      </w:r>
      <w:r w:rsidR="005F1F22">
        <w:rPr>
          <w:rFonts w:ascii="Arial" w:hAnsi="Arial" w:cs="Arial"/>
        </w:rPr>
        <w:t xml:space="preserve">allowed </w:t>
      </w:r>
      <w:r w:rsidR="007E28FE">
        <w:rPr>
          <w:rFonts w:ascii="Arial" w:hAnsi="Arial" w:cs="Arial"/>
        </w:rPr>
        <w:t>for direct</w:t>
      </w:r>
      <w:r w:rsidR="005F1F22">
        <w:rPr>
          <w:rFonts w:ascii="Arial" w:hAnsi="Arial" w:cs="Arial"/>
        </w:rPr>
        <w:t xml:space="preserve"> comparisons and conclusions to be made. </w:t>
      </w:r>
      <w:r w:rsidR="00660BB0">
        <w:rPr>
          <w:rFonts w:ascii="Arial" w:hAnsi="Arial" w:cs="Arial"/>
        </w:rPr>
        <w:t>Subsets from the TRIO population were also used to explore the effects of bisphosphonates on the osteoclast precursor cells and circulating lev</w:t>
      </w:r>
      <w:r w:rsidR="00A64ED4">
        <w:rPr>
          <w:rFonts w:ascii="Arial" w:hAnsi="Arial" w:cs="Arial"/>
        </w:rPr>
        <w:t xml:space="preserve">els of sclerostin. In addition a large enough number </w:t>
      </w:r>
      <w:r w:rsidR="007E28FE">
        <w:rPr>
          <w:rFonts w:ascii="Arial" w:hAnsi="Arial" w:cs="Arial"/>
        </w:rPr>
        <w:t>of the subjects (N = 180) were included in the T-score bone marker plot allowing for an accurate assessment of bone balance.</w:t>
      </w:r>
    </w:p>
    <w:p w:rsidR="00601C0B" w:rsidRDefault="00601C0B" w:rsidP="00AD2E23">
      <w:pPr>
        <w:pStyle w:val="Heading2"/>
        <w:jc w:val="both"/>
      </w:pPr>
      <w:bookmarkStart w:id="262" w:name="_Toc425418980"/>
      <w:r>
        <w:t>Overall weakness</w:t>
      </w:r>
      <w:r w:rsidR="0006145F">
        <w:t>es</w:t>
      </w:r>
      <w:r>
        <w:t xml:space="preserve"> of the thesis</w:t>
      </w:r>
      <w:bookmarkEnd w:id="262"/>
    </w:p>
    <w:p w:rsidR="00480383" w:rsidRDefault="00480383" w:rsidP="00AD2E23">
      <w:pPr>
        <w:spacing w:after="0" w:line="360" w:lineRule="auto"/>
        <w:jc w:val="both"/>
        <w:rPr>
          <w:rFonts w:ascii="Arial" w:hAnsi="Arial" w:cs="Arial"/>
        </w:rPr>
      </w:pPr>
      <w:r>
        <w:rPr>
          <w:rFonts w:ascii="Arial" w:hAnsi="Arial" w:cs="Arial"/>
        </w:rPr>
        <w:t>There were also some limitations that affected the findings</w:t>
      </w:r>
      <w:r w:rsidR="00C155AD">
        <w:rPr>
          <w:rFonts w:ascii="Arial" w:hAnsi="Arial" w:cs="Arial"/>
        </w:rPr>
        <w:t xml:space="preserve"> presented in the thesis</w:t>
      </w:r>
      <w:r>
        <w:rPr>
          <w:rFonts w:ascii="Arial" w:hAnsi="Arial" w:cs="Arial"/>
        </w:rPr>
        <w:t xml:space="preserve">. </w:t>
      </w:r>
    </w:p>
    <w:p w:rsidR="00A64ED4" w:rsidRDefault="00C17907" w:rsidP="003B725E">
      <w:pPr>
        <w:spacing w:after="0" w:line="360" w:lineRule="auto"/>
        <w:jc w:val="both"/>
        <w:rPr>
          <w:rFonts w:ascii="Arial" w:hAnsi="Arial" w:cs="Arial"/>
        </w:rPr>
      </w:pPr>
      <w:r w:rsidRPr="00594340">
        <w:rPr>
          <w:rFonts w:ascii="Arial" w:hAnsi="Arial" w:cs="Arial"/>
        </w:rPr>
        <w:t xml:space="preserve">The </w:t>
      </w:r>
      <w:r w:rsidR="00480383">
        <w:rPr>
          <w:rFonts w:ascii="Arial" w:hAnsi="Arial" w:cs="Arial"/>
        </w:rPr>
        <w:t xml:space="preserve">first limitation identified was in the normative data chapter. </w:t>
      </w:r>
      <w:r w:rsidRPr="00594340">
        <w:rPr>
          <w:rFonts w:ascii="Arial" w:hAnsi="Arial" w:cs="Arial"/>
        </w:rPr>
        <w:t xml:space="preserve"> </w:t>
      </w:r>
      <w:r w:rsidR="00480383">
        <w:rPr>
          <w:rFonts w:ascii="Arial" w:hAnsi="Arial" w:cs="Arial"/>
        </w:rPr>
        <w:t xml:space="preserve">The serum used to establish the postmenopausal and premenopausal reference ranges in this chapter was taken non-fasting. </w:t>
      </w:r>
      <w:r w:rsidR="00C155AD">
        <w:rPr>
          <w:rFonts w:ascii="Arial" w:hAnsi="Arial" w:cs="Arial"/>
        </w:rPr>
        <w:t xml:space="preserve"> F</w:t>
      </w:r>
      <w:r w:rsidRPr="00594340">
        <w:rPr>
          <w:rFonts w:ascii="Arial" w:hAnsi="Arial" w:cs="Arial"/>
        </w:rPr>
        <w:t xml:space="preserve">ood intake leads to a decrease in levels of bone resorption markers </w:t>
      </w:r>
      <w:r w:rsidRPr="00594340">
        <w:rPr>
          <w:rFonts w:ascii="Arial" w:hAnsi="Arial" w:cs="Arial"/>
        </w:rPr>
        <w:fldChar w:fldCharType="begin">
          <w:fldData xml:space="preserve">PEVuZE5vdGU+PENpdGU+PEF1dGhvcj5Ccm93bjwvQXV0aG9yPjxZZWFyPjIwMDk8L1llYXI+PFJl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PEVuZE5vdGU+PENpdGU+PEF1dGhvcj5Ccm93bjwvQXV0aG9yPjxZZWFyPjIwMDk8L1llYXI+PFJl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Pr="00594340">
        <w:rPr>
          <w:rFonts w:ascii="Arial" w:hAnsi="Arial" w:cs="Arial"/>
        </w:rPr>
      </w:r>
      <w:r w:rsidRPr="00594340">
        <w:rPr>
          <w:rFonts w:ascii="Arial" w:hAnsi="Arial" w:cs="Arial"/>
        </w:rPr>
        <w:fldChar w:fldCharType="separate"/>
      </w:r>
      <w:r w:rsidR="00066E61">
        <w:rPr>
          <w:rFonts w:ascii="Arial" w:hAnsi="Arial" w:cs="Arial"/>
          <w:noProof/>
        </w:rPr>
        <w:t>(</w:t>
      </w:r>
      <w:hyperlink w:anchor="_ENREF_480" w:tooltip="Brown, 2009 #193" w:history="1">
        <w:r w:rsidR="003B725E">
          <w:rPr>
            <w:rFonts w:ascii="Arial" w:hAnsi="Arial" w:cs="Arial"/>
            <w:noProof/>
          </w:rPr>
          <w:t>480</w:t>
        </w:r>
      </w:hyperlink>
      <w:r w:rsidR="00066E61">
        <w:rPr>
          <w:rFonts w:ascii="Arial" w:hAnsi="Arial" w:cs="Arial"/>
          <w:noProof/>
        </w:rPr>
        <w:t>)</w:t>
      </w:r>
      <w:r w:rsidRPr="00594340">
        <w:rPr>
          <w:rFonts w:ascii="Arial" w:hAnsi="Arial" w:cs="Arial"/>
        </w:rPr>
        <w:fldChar w:fldCharType="end"/>
      </w:r>
      <w:r w:rsidRPr="00594340">
        <w:rPr>
          <w:rFonts w:ascii="Arial" w:hAnsi="Arial" w:cs="Arial"/>
        </w:rPr>
        <w:t xml:space="preserve">. </w:t>
      </w:r>
      <w:r w:rsidR="00E03447">
        <w:rPr>
          <w:rFonts w:ascii="Arial" w:hAnsi="Arial" w:cs="Arial"/>
        </w:rPr>
        <w:t xml:space="preserve">This may be the reason why the premenopausal reference interval for CTX appears to be significantly lower than </w:t>
      </w:r>
      <w:r w:rsidR="00C155AD">
        <w:rPr>
          <w:rFonts w:ascii="Arial" w:hAnsi="Arial" w:cs="Arial"/>
        </w:rPr>
        <w:t>all of the others. In addition, because samples were taken at different times of the day then this could be the reason why a greater variation in PINP was observed in comparison to others, (Figure 80). Due to this limitation for the subse</w:t>
      </w:r>
      <w:r w:rsidR="00E8424B">
        <w:rPr>
          <w:rFonts w:ascii="Arial" w:hAnsi="Arial" w:cs="Arial"/>
        </w:rPr>
        <w:t>quent chapters that investigated</w:t>
      </w:r>
      <w:r w:rsidR="00C155AD">
        <w:rPr>
          <w:rFonts w:ascii="Arial" w:hAnsi="Arial" w:cs="Arial"/>
        </w:rPr>
        <w:t xml:space="preserve"> the effects of treatments on BTMs, fasting premenopausal reference ranges were re-established.</w:t>
      </w:r>
    </w:p>
    <w:p w:rsidR="00A64ED4" w:rsidRDefault="00A64ED4" w:rsidP="00AD2E23">
      <w:pPr>
        <w:spacing w:after="0" w:line="360" w:lineRule="auto"/>
        <w:jc w:val="both"/>
        <w:rPr>
          <w:rFonts w:ascii="Arial" w:hAnsi="Arial" w:cs="Arial"/>
        </w:rPr>
      </w:pPr>
    </w:p>
    <w:p w:rsidR="00FA6A0E" w:rsidRDefault="00FA6A0E" w:rsidP="003B725E">
      <w:pPr>
        <w:spacing w:after="0" w:line="360" w:lineRule="auto"/>
        <w:jc w:val="both"/>
        <w:rPr>
          <w:rFonts w:ascii="Arial" w:hAnsi="Arial" w:cs="Arial"/>
        </w:rPr>
      </w:pPr>
      <w:r>
        <w:rPr>
          <w:rFonts w:ascii="Arial" w:hAnsi="Arial" w:cs="Arial"/>
        </w:rPr>
        <w:t>The second limitation identified was in chapter 4 which investigated the clinical utility of bone turnover and bone balance in postmenopausal women in the OPUS study. There were only 24 women who presented with a vertebral fracture over the 6 year study period. This number is too small to allow any definite conclusions to be made that relate bone turnover and bone balance with fracture risk. However the number of vertebral fractures I have described here are comparable with other population-based studies</w:t>
      </w:r>
      <w:r w:rsidR="00967BA3">
        <w:rPr>
          <w:rFonts w:ascii="Arial" w:hAnsi="Arial" w:cs="Arial"/>
        </w:rPr>
        <w:t xml:space="preserve"> </w:t>
      </w:r>
      <w:r w:rsidR="00967BA3">
        <w:rPr>
          <w:rFonts w:ascii="Arial" w:hAnsi="Arial" w:cs="Arial"/>
        </w:rPr>
        <w:fldChar w:fldCharType="begin"/>
      </w:r>
      <w:r w:rsidR="000D155C">
        <w:rPr>
          <w:rFonts w:ascii="Arial" w:hAnsi="Arial" w:cs="Arial"/>
        </w:rPr>
        <w:instrText xml:space="preserve"> ADDIN EN.CITE &lt;EndNote&gt;&lt;Cite&gt;&lt;Author&gt;Sornay-Rendu&lt;/Author&gt;&lt;Year&gt;2005&lt;/Year&gt;&lt;RecNum&gt;302&lt;/RecNum&gt;&lt;DisplayText&gt;(404)&lt;/DisplayText&gt;&lt;record&gt;&lt;rec-number&gt;302&lt;/rec-number&gt;&lt;foreign-keys&gt;&lt;key app="EN" db-id="p9a5ttsvyvde9me5aw2x05fp5p55axf0wr90" timestamp="1432299501"&gt;302&lt;/key&gt;&lt;/foreign-keys&gt;&lt;ref-type name="Journal Article"&gt;17&lt;/ref-type&gt;&lt;contributors&gt;&lt;authors&gt;&lt;author&gt;Sornay-Rendu, E.&lt;/author&gt;&lt;author&gt;Munoz, F.&lt;/author&gt;&lt;author&gt;Garnero, P.&lt;/author&gt;&lt;author&gt;Duboeuf, F.&lt;/author&gt;&lt;author&gt;Delmas, P. D.&lt;/author&gt;&lt;/authors&gt;&lt;/contributors&gt;&lt;auth-address&gt;INSERM Research Unit 403, E. Herriot Hospital, Lyon Cedex 03, France. rendu@lyon.inserm.fr&lt;/auth-address&gt;&lt;titles&gt;&lt;title&gt;Identification of osteopenic women at high risk of fracture: the OFELY study&lt;/title&gt;&lt;secondary-title&gt;J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1813-9&lt;/pages&gt;&lt;volume&gt;20&lt;/volume&gt;&lt;number&gt;10&lt;/number&gt;&lt;edition&gt;2005/09/15&lt;/edition&gt;&lt;keywords&gt;&lt;keyword&gt;Adult&lt;/keyword&gt;&lt;keyword&gt;Aged&lt;/keyword&gt;&lt;keyword&gt;Aged, 80 and over&lt;/keyword&gt;&lt;keyword&gt;Bone Density&lt;/keyword&gt;&lt;keyword&gt;Female&lt;/keyword&gt;&lt;keyword&gt;Fractures, Bone/ epidemiology/etiology&lt;/keyword&gt;&lt;keyword&gt;Humans&lt;/keyword&gt;&lt;keyword&gt;Incidence&lt;/keyword&gt;&lt;keyword&gt;Middle Aged&lt;/keyword&gt;&lt;keyword&gt;Osteoporosis, Postmenopausal/complications/ epidemiology&lt;/keyword&gt;&lt;keyword&gt;Postmenopause&lt;/keyword&gt;&lt;keyword&gt;Prospective Studies&lt;/keyword&gt;&lt;keyword&gt;Risk Factors&lt;/keyword&gt;&lt;/keywords&gt;&lt;dates&gt;&lt;year&gt;2005&lt;/year&gt;&lt;pub-dates&gt;&lt;date&gt;Oct&lt;/date&gt;&lt;/pub-dates&gt;&lt;/dates&gt;&lt;isbn&gt;0884-0431 (Print)&amp;#xD;0884-0431 (Linking)&lt;/isbn&gt;&lt;accession-num&gt;16160738&lt;/accession-num&gt;&lt;urls&gt;&lt;/urls&gt;&lt;electronic-resource-num&gt;10.1359/jbmr.050609&lt;/electronic-resource-num&gt;&lt;remote-database-provider&gt;NLM&lt;/remote-database-provider&gt;&lt;language&gt;eng&lt;/language&gt;&lt;/record&gt;&lt;/Cite&gt;&lt;/EndNote&gt;</w:instrText>
      </w:r>
      <w:r w:rsidR="00967BA3">
        <w:rPr>
          <w:rFonts w:ascii="Arial" w:hAnsi="Arial" w:cs="Arial"/>
        </w:rPr>
        <w:fldChar w:fldCharType="separate"/>
      </w:r>
      <w:r w:rsidR="000D155C">
        <w:rPr>
          <w:rFonts w:ascii="Arial" w:hAnsi="Arial" w:cs="Arial"/>
          <w:noProof/>
        </w:rPr>
        <w:t>(</w:t>
      </w:r>
      <w:hyperlink w:anchor="_ENREF_404" w:tooltip="Sornay-Rendu, 2005 #302" w:history="1">
        <w:r w:rsidR="003B725E">
          <w:rPr>
            <w:rFonts w:ascii="Arial" w:hAnsi="Arial" w:cs="Arial"/>
            <w:noProof/>
          </w:rPr>
          <w:t>404</w:t>
        </w:r>
      </w:hyperlink>
      <w:r w:rsidR="000D155C">
        <w:rPr>
          <w:rFonts w:ascii="Arial" w:hAnsi="Arial" w:cs="Arial"/>
          <w:noProof/>
        </w:rPr>
        <w:t>)</w:t>
      </w:r>
      <w:r w:rsidR="00967BA3">
        <w:rPr>
          <w:rFonts w:ascii="Arial" w:hAnsi="Arial" w:cs="Arial"/>
        </w:rPr>
        <w:fldChar w:fldCharType="end"/>
      </w:r>
      <w:r>
        <w:rPr>
          <w:rFonts w:ascii="Arial" w:hAnsi="Arial" w:cs="Arial"/>
        </w:rPr>
        <w:t>. Non</w:t>
      </w:r>
      <w:r w:rsidR="00A64ED4">
        <w:rPr>
          <w:rFonts w:ascii="Arial" w:hAnsi="Arial" w:cs="Arial"/>
        </w:rPr>
        <w:t>e</w:t>
      </w:r>
      <w:r>
        <w:rPr>
          <w:rFonts w:ascii="Arial" w:hAnsi="Arial" w:cs="Arial"/>
        </w:rPr>
        <w:t xml:space="preserve">-the-less even in a small number of cases, the T-score bone marker approach does give us a strong indication that bone balance is related to vertebral fracture risk. </w:t>
      </w:r>
    </w:p>
    <w:p w:rsidR="00A64ED4" w:rsidRDefault="00A64ED4" w:rsidP="00AD2E23">
      <w:pPr>
        <w:spacing w:after="0" w:line="360" w:lineRule="auto"/>
        <w:jc w:val="both"/>
        <w:rPr>
          <w:rFonts w:ascii="Arial" w:hAnsi="Arial" w:cs="Arial"/>
        </w:rPr>
      </w:pPr>
    </w:p>
    <w:p w:rsidR="00FA6A0E" w:rsidRPr="001F16A3" w:rsidRDefault="00A64ED4" w:rsidP="003B725E">
      <w:pPr>
        <w:spacing w:line="360" w:lineRule="auto"/>
        <w:jc w:val="both"/>
        <w:rPr>
          <w:color w:val="FF0000"/>
        </w:rPr>
      </w:pPr>
      <w:r>
        <w:rPr>
          <w:rFonts w:ascii="Arial" w:hAnsi="Arial" w:cs="Arial"/>
        </w:rPr>
        <w:t>There were also some limitations in the TRIO study</w:t>
      </w:r>
      <w:r w:rsidR="00135273">
        <w:rPr>
          <w:rFonts w:ascii="Arial" w:hAnsi="Arial" w:cs="Arial"/>
        </w:rPr>
        <w:t xml:space="preserve"> in particular relating to the osteoclast precursor cell population investigations</w:t>
      </w:r>
      <w:r>
        <w:rPr>
          <w:rFonts w:ascii="Arial" w:hAnsi="Arial" w:cs="Arial"/>
        </w:rPr>
        <w:t xml:space="preserve">. </w:t>
      </w:r>
      <w:r w:rsidR="00135273" w:rsidRPr="00135273">
        <w:rPr>
          <w:rFonts w:ascii="Arial" w:hAnsi="Arial" w:cs="Arial"/>
        </w:rPr>
        <w:t>Osteoclast precursor cells express the receptors RANK and c-Fms an</w:t>
      </w:r>
      <w:r w:rsidR="001F16A3">
        <w:rPr>
          <w:rFonts w:ascii="Arial" w:hAnsi="Arial" w:cs="Arial"/>
        </w:rPr>
        <w:t>d differentiate in to mature osteoclasts</w:t>
      </w:r>
      <w:r w:rsidR="00135273" w:rsidRPr="00135273">
        <w:rPr>
          <w:rFonts w:ascii="Arial" w:hAnsi="Arial" w:cs="Arial"/>
        </w:rPr>
        <w:t xml:space="preserve"> in the presence of RANKL and M-CSF. </w:t>
      </w:r>
      <w:r w:rsidR="00135273">
        <w:rPr>
          <w:rFonts w:ascii="Arial" w:hAnsi="Arial" w:cs="Arial"/>
        </w:rPr>
        <w:t>It may have been necessary to test</w:t>
      </w:r>
      <w:r w:rsidR="00B9225A">
        <w:rPr>
          <w:rFonts w:ascii="Arial" w:hAnsi="Arial" w:cs="Arial"/>
        </w:rPr>
        <w:t xml:space="preserve"> whether the cells from the </w:t>
      </w:r>
      <w:r w:rsidR="00135273" w:rsidRPr="00135273">
        <w:rPr>
          <w:rFonts w:ascii="Arial" w:hAnsi="Arial" w:cs="Arial"/>
        </w:rPr>
        <w:t>monocyte/macrophag</w:t>
      </w:r>
      <w:r w:rsidR="001F16A3">
        <w:rPr>
          <w:rFonts w:ascii="Arial" w:hAnsi="Arial" w:cs="Arial"/>
        </w:rPr>
        <w:t>e lineage in the bone marrow did indeed</w:t>
      </w:r>
      <w:r w:rsidR="00135273" w:rsidRPr="00135273">
        <w:rPr>
          <w:rFonts w:ascii="Arial" w:hAnsi="Arial" w:cs="Arial"/>
        </w:rPr>
        <w:t xml:space="preserve"> differentiate into osteoclast</w:t>
      </w:r>
      <w:r w:rsidR="00135273">
        <w:rPr>
          <w:rFonts w:ascii="Arial" w:hAnsi="Arial" w:cs="Arial"/>
        </w:rPr>
        <w:t>s</w:t>
      </w:r>
      <w:r w:rsidR="00135273" w:rsidRPr="00135273">
        <w:rPr>
          <w:rFonts w:ascii="Arial" w:hAnsi="Arial" w:cs="Arial"/>
        </w:rPr>
        <w:t xml:space="preserve"> </w:t>
      </w:r>
      <w:r w:rsidR="00135273" w:rsidRPr="00135273">
        <w:rPr>
          <w:rFonts w:ascii="Arial" w:hAnsi="Arial" w:cs="Arial"/>
          <w:i/>
        </w:rPr>
        <w:t>in vivo</w:t>
      </w:r>
      <w:r w:rsidR="00135273" w:rsidRPr="00135273">
        <w:rPr>
          <w:rFonts w:ascii="Arial" w:hAnsi="Arial" w:cs="Arial"/>
        </w:rPr>
        <w:t xml:space="preserve"> in cultures treated with RANKL and M-CSF.</w:t>
      </w:r>
      <w:r w:rsidR="00135273">
        <w:rPr>
          <w:rFonts w:ascii="Arial" w:hAnsi="Arial" w:cs="Arial"/>
        </w:rPr>
        <w:t xml:space="preserve"> This may </w:t>
      </w:r>
      <w:r w:rsidR="001F16A3">
        <w:rPr>
          <w:rFonts w:ascii="Arial" w:hAnsi="Arial" w:cs="Arial"/>
        </w:rPr>
        <w:t xml:space="preserve">have </w:t>
      </w:r>
      <w:r w:rsidR="00135273">
        <w:rPr>
          <w:rFonts w:ascii="Arial" w:hAnsi="Arial" w:cs="Arial"/>
        </w:rPr>
        <w:t>be</w:t>
      </w:r>
      <w:r w:rsidR="001F16A3">
        <w:rPr>
          <w:rFonts w:ascii="Arial" w:hAnsi="Arial" w:cs="Arial"/>
        </w:rPr>
        <w:t>en</w:t>
      </w:r>
      <w:r w:rsidR="00135273">
        <w:rPr>
          <w:rFonts w:ascii="Arial" w:hAnsi="Arial" w:cs="Arial"/>
        </w:rPr>
        <w:t xml:space="preserve"> possible to perform</w:t>
      </w:r>
      <w:r w:rsidR="00135273" w:rsidRPr="00135273">
        <w:rPr>
          <w:rFonts w:ascii="Arial" w:hAnsi="Arial" w:cs="Arial"/>
        </w:rPr>
        <w:t xml:space="preserve"> using immunohistochemical techniques and flow cytometry to identify RANK and c-Fms double positive cells</w:t>
      </w:r>
      <w:r w:rsidR="001F16A3">
        <w:rPr>
          <w:rFonts w:ascii="Arial" w:hAnsi="Arial" w:cs="Arial"/>
        </w:rPr>
        <w:t xml:space="preserve"> </w:t>
      </w:r>
      <w:r w:rsidR="001C2F1B">
        <w:rPr>
          <w:rFonts w:ascii="Arial" w:hAnsi="Arial" w:cs="Arial"/>
        </w:rPr>
        <w:t xml:space="preserve">as </w:t>
      </w:r>
      <w:r w:rsidR="001F16A3">
        <w:rPr>
          <w:rFonts w:ascii="Arial" w:hAnsi="Arial" w:cs="Arial"/>
        </w:rPr>
        <w:t>described by Muto A et al</w:t>
      </w:r>
      <w:r w:rsidR="008D3F43">
        <w:rPr>
          <w:rFonts w:ascii="Arial" w:hAnsi="Arial" w:cs="Arial"/>
        </w:rPr>
        <w:t xml:space="preserve"> 2011</w:t>
      </w:r>
      <w:r w:rsidR="001F16A3">
        <w:rPr>
          <w:rFonts w:ascii="Arial" w:hAnsi="Arial" w:cs="Arial"/>
        </w:rPr>
        <w:t>,</w:t>
      </w:r>
      <w:r w:rsidR="00135273">
        <w:rPr>
          <w:rFonts w:ascii="Arial" w:hAnsi="Arial" w:cs="Arial"/>
        </w:rPr>
        <w:t xml:space="preserve"> </w:t>
      </w:r>
      <w:r w:rsidR="00135273">
        <w:rPr>
          <w:rFonts w:ascii="Arial" w:hAnsi="Arial" w:cs="Arial"/>
        </w:rPr>
        <w:fldChar w:fldCharType="begin">
          <w:fldData xml:space="preserve">PEVuZE5vdGU+PENpdGU+PEF1dGhvcj5NdXRvPC9BdXRob3I+PFllYXI+MjAxMTwvWWVhcj48UmVj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</w:fldData>
        </w:fldChar>
      </w:r>
      <w:r w:rsidR="00EF6236">
        <w:rPr>
          <w:rFonts w:ascii="Arial" w:hAnsi="Arial" w:cs="Arial"/>
        </w:rPr>
        <w:instrText xml:space="preserve"> ADDIN EN.CITE </w:instrText>
      </w:r>
      <w:r w:rsidR="00EF6236">
        <w:rPr>
          <w:rFonts w:ascii="Arial" w:hAnsi="Arial" w:cs="Arial"/>
        </w:rPr>
        <w:fldChar w:fldCharType="begin">
          <w:fldData xml:space="preserve">PEVuZE5vdGU+PENpdGU+PEF1dGhvcj5NdXRvPC9BdXRob3I+PFllYXI+MjAxMTwvWWVhcj48UmVj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</w:fldData>
        </w:fldChar>
      </w:r>
      <w:r w:rsidR="00EF6236">
        <w:rPr>
          <w:rFonts w:ascii="Arial" w:hAnsi="Arial" w:cs="Arial"/>
        </w:rPr>
        <w:instrText xml:space="preserve"> ADDIN EN.CITE.DATA </w:instrText>
      </w:r>
      <w:r w:rsidR="00EF6236">
        <w:rPr>
          <w:rFonts w:ascii="Arial" w:hAnsi="Arial" w:cs="Arial"/>
        </w:rPr>
      </w:r>
      <w:r w:rsidR="00EF6236">
        <w:rPr>
          <w:rFonts w:ascii="Arial" w:hAnsi="Arial" w:cs="Arial"/>
        </w:rPr>
        <w:fldChar w:fldCharType="end"/>
      </w:r>
      <w:r w:rsidR="00135273">
        <w:rPr>
          <w:rFonts w:ascii="Arial" w:hAnsi="Arial" w:cs="Arial"/>
        </w:rPr>
      </w:r>
      <w:r w:rsidR="00135273">
        <w:rPr>
          <w:rFonts w:ascii="Arial" w:hAnsi="Arial" w:cs="Arial"/>
        </w:rPr>
        <w:fldChar w:fldCharType="separate"/>
      </w:r>
      <w:r w:rsidR="00EF6236">
        <w:rPr>
          <w:rFonts w:ascii="Arial" w:hAnsi="Arial" w:cs="Arial"/>
          <w:noProof/>
        </w:rPr>
        <w:t>(</w:t>
      </w:r>
      <w:hyperlink w:anchor="_ENREF_27" w:tooltip="Muto, 2011 #20" w:history="1">
        <w:r w:rsidR="003B725E">
          <w:rPr>
            <w:rFonts w:ascii="Arial" w:hAnsi="Arial" w:cs="Arial"/>
            <w:noProof/>
          </w:rPr>
          <w:t>27</w:t>
        </w:r>
      </w:hyperlink>
      <w:r w:rsidR="00EF6236">
        <w:rPr>
          <w:rFonts w:ascii="Arial" w:hAnsi="Arial" w:cs="Arial"/>
          <w:noProof/>
        </w:rPr>
        <w:t>)</w:t>
      </w:r>
      <w:r w:rsidR="00135273">
        <w:rPr>
          <w:rFonts w:ascii="Arial" w:hAnsi="Arial" w:cs="Arial"/>
        </w:rPr>
        <w:fldChar w:fldCharType="end"/>
      </w:r>
      <w:r w:rsidR="00135273">
        <w:rPr>
          <w:rFonts w:ascii="Arial" w:hAnsi="Arial" w:cs="Arial"/>
        </w:rPr>
        <w:t>.</w:t>
      </w:r>
      <w:r w:rsidR="001F16A3">
        <w:rPr>
          <w:rFonts w:ascii="Arial" w:hAnsi="Arial" w:cs="Arial"/>
        </w:rPr>
        <w:t xml:space="preserve"> However these techniques have only been demonstrated in mice studies and have not been established in humans</w:t>
      </w:r>
      <w:r w:rsidR="00B9225A">
        <w:rPr>
          <w:rFonts w:ascii="Arial" w:hAnsi="Arial" w:cs="Arial"/>
        </w:rPr>
        <w:t xml:space="preserve"> so would need further investigation</w:t>
      </w:r>
      <w:r w:rsidR="001F16A3">
        <w:rPr>
          <w:rFonts w:ascii="Arial" w:hAnsi="Arial" w:cs="Arial"/>
        </w:rPr>
        <w:t xml:space="preserve">. </w:t>
      </w:r>
      <w:r w:rsidR="00783358">
        <w:rPr>
          <w:rFonts w:ascii="Arial" w:hAnsi="Arial" w:cs="Arial"/>
        </w:rPr>
        <w:t xml:space="preserve">The </w:t>
      </w:r>
      <w:r w:rsidR="001F16A3">
        <w:rPr>
          <w:rFonts w:ascii="Arial" w:hAnsi="Arial" w:cs="Arial"/>
        </w:rPr>
        <w:t xml:space="preserve">other </w:t>
      </w:r>
      <w:r w:rsidR="00783358">
        <w:rPr>
          <w:rFonts w:ascii="Arial" w:hAnsi="Arial" w:cs="Arial"/>
        </w:rPr>
        <w:t>notable</w:t>
      </w:r>
      <w:r w:rsidR="001F16A3">
        <w:rPr>
          <w:rFonts w:ascii="Arial" w:hAnsi="Arial" w:cs="Arial"/>
        </w:rPr>
        <w:t xml:space="preserve"> limitation was the number of subjects in this sub-study. </w:t>
      </w:r>
      <w:r w:rsidR="00783358">
        <w:rPr>
          <w:rFonts w:ascii="Arial" w:hAnsi="Arial" w:cs="Arial"/>
        </w:rPr>
        <w:t xml:space="preserve">Each </w:t>
      </w:r>
      <w:r w:rsidR="00AA401A">
        <w:rPr>
          <w:rFonts w:ascii="Arial" w:hAnsi="Arial" w:cs="Arial"/>
        </w:rPr>
        <w:t xml:space="preserve">of the </w:t>
      </w:r>
      <w:r w:rsidR="00783358">
        <w:rPr>
          <w:rFonts w:ascii="Arial" w:hAnsi="Arial" w:cs="Arial"/>
        </w:rPr>
        <w:t>treatment</w:t>
      </w:r>
      <w:r w:rsidR="00AA401A">
        <w:rPr>
          <w:rFonts w:ascii="Arial" w:hAnsi="Arial" w:cs="Arial"/>
        </w:rPr>
        <w:t>s and control</w:t>
      </w:r>
      <w:r w:rsidR="00783358">
        <w:rPr>
          <w:rFonts w:ascii="Arial" w:hAnsi="Arial" w:cs="Arial"/>
        </w:rPr>
        <w:t xml:space="preserve"> group</w:t>
      </w:r>
      <w:r w:rsidR="00601336">
        <w:rPr>
          <w:rFonts w:ascii="Arial" w:hAnsi="Arial" w:cs="Arial"/>
        </w:rPr>
        <w:t>s</w:t>
      </w:r>
      <w:r w:rsidR="00783358">
        <w:rPr>
          <w:rFonts w:ascii="Arial" w:hAnsi="Arial" w:cs="Arial"/>
        </w:rPr>
        <w:t xml:space="preserve"> had an N of </w:t>
      </w:r>
      <w:r w:rsidR="00601336">
        <w:rPr>
          <w:rFonts w:ascii="Arial" w:hAnsi="Arial" w:cs="Arial"/>
        </w:rPr>
        <w:t>~22-25</w:t>
      </w:r>
      <w:r w:rsidR="001F16A3">
        <w:rPr>
          <w:rFonts w:ascii="Arial" w:hAnsi="Arial" w:cs="Arial"/>
        </w:rPr>
        <w:t xml:space="preserve"> subject</w:t>
      </w:r>
      <w:r w:rsidR="005A79A2">
        <w:rPr>
          <w:rFonts w:ascii="Arial" w:hAnsi="Arial" w:cs="Arial"/>
        </w:rPr>
        <w:t xml:space="preserve">, although this number is comparable with others </w:t>
      </w:r>
      <w:r w:rsidR="005A79A2">
        <w:rPr>
          <w:rFonts w:ascii="Arial" w:hAnsi="Arial" w:cs="Arial"/>
        </w:rPr>
        <w:fldChar w:fldCharType="begin">
          <w:fldData xml:space="preserve">PEVuZE5vdGU+PENpdGU+PEF1dGhvcj5EJmFwb3M7QW1lbGlvPC9BdXRob3I+PFllYXI+MjAxMDwv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ZiB0aGUgVVNBPC9hYmJyLTE+PC9hbHQtcGVyaW9kaWNhbD48cGFnZXM+MTc0MS01MDwvcGFnZXM+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ci0xPjwvYWx0LXBlcmlvZGljYWw+PHBhZ2VzPjM3My05PC9wYWdlcz48dm9sdW1lPjIzPC92b2x1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</w:fldData>
        </w:fldChar>
      </w:r>
      <w:r w:rsidR="000D155C">
        <w:rPr>
          <w:rFonts w:ascii="Arial" w:hAnsi="Arial" w:cs="Arial"/>
        </w:rPr>
        <w:instrText xml:space="preserve"> ADDIN EN.CITE </w:instrText>
      </w:r>
      <w:r w:rsidR="000D155C">
        <w:rPr>
          <w:rFonts w:ascii="Arial" w:hAnsi="Arial" w:cs="Arial"/>
        </w:rPr>
        <w:fldChar w:fldCharType="begin">
          <w:fldData xml:space="preserve">PEVuZE5vdGU+PENpdGU+PEF1dGhvcj5EJmFwb3M7QW1lbGlvPC9BdXRob3I+PFllYXI+MjAxMDwv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ci0xPjwvYWx0LXBlcmlvZGljYWw+PHBhZ2VzPjM3My05PC9wYWdlcz48dm9sdW1lPjIzPC92b2x1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</w:fldData>
        </w:fldChar>
      </w:r>
      <w:r w:rsidR="000D155C">
        <w:rPr>
          <w:rFonts w:ascii="Arial" w:hAnsi="Arial" w:cs="Arial"/>
        </w:rPr>
        <w:instrText xml:space="preserve"> ADDIN EN.CITE.DATA </w:instrText>
      </w:r>
      <w:r w:rsidR="000D155C">
        <w:rPr>
          <w:rFonts w:ascii="Arial" w:hAnsi="Arial" w:cs="Arial"/>
        </w:rPr>
      </w:r>
      <w:r w:rsidR="000D155C">
        <w:rPr>
          <w:rFonts w:ascii="Arial" w:hAnsi="Arial" w:cs="Arial"/>
        </w:rPr>
        <w:fldChar w:fldCharType="end"/>
      </w:r>
      <w:r w:rsidR="005A79A2">
        <w:rPr>
          <w:rFonts w:ascii="Arial" w:hAnsi="Arial" w:cs="Arial"/>
        </w:rPr>
      </w:r>
      <w:r w:rsidR="005A79A2">
        <w:rPr>
          <w:rFonts w:ascii="Arial" w:hAnsi="Arial" w:cs="Arial"/>
        </w:rPr>
        <w:fldChar w:fldCharType="separate"/>
      </w:r>
      <w:r w:rsidR="000D155C">
        <w:rPr>
          <w:rFonts w:ascii="Arial" w:hAnsi="Arial" w:cs="Arial"/>
          <w:noProof/>
        </w:rPr>
        <w:t>(</w:t>
      </w:r>
      <w:hyperlink w:anchor="_ENREF_440" w:tooltip="D'Amelio, 2010 #410" w:history="1">
        <w:r w:rsidR="003B725E">
          <w:rPr>
            <w:rFonts w:ascii="Arial" w:hAnsi="Arial" w:cs="Arial"/>
            <w:noProof/>
          </w:rPr>
          <w:t>440</w:t>
        </w:r>
      </w:hyperlink>
      <w:r w:rsidR="000D155C">
        <w:rPr>
          <w:rFonts w:ascii="Arial" w:hAnsi="Arial" w:cs="Arial"/>
          <w:noProof/>
        </w:rPr>
        <w:t xml:space="preserve">, </w:t>
      </w:r>
      <w:hyperlink w:anchor="_ENREF_441" w:tooltip="D'Amelio, 2008 #412" w:history="1">
        <w:r w:rsidR="003B725E">
          <w:rPr>
            <w:rFonts w:ascii="Arial" w:hAnsi="Arial" w:cs="Arial"/>
            <w:noProof/>
          </w:rPr>
          <w:t>441</w:t>
        </w:r>
      </w:hyperlink>
      <w:r w:rsidR="000D155C">
        <w:rPr>
          <w:rFonts w:ascii="Arial" w:hAnsi="Arial" w:cs="Arial"/>
          <w:noProof/>
        </w:rPr>
        <w:t>)</w:t>
      </w:r>
      <w:r w:rsidR="005A79A2">
        <w:rPr>
          <w:rFonts w:ascii="Arial" w:hAnsi="Arial" w:cs="Arial"/>
        </w:rPr>
        <w:fldChar w:fldCharType="end"/>
      </w:r>
      <w:r w:rsidR="007F18DF">
        <w:rPr>
          <w:rFonts w:ascii="Arial" w:hAnsi="Arial" w:cs="Arial"/>
        </w:rPr>
        <w:t xml:space="preserve"> and provides a strong indication of these effects </w:t>
      </w:r>
      <w:r w:rsidR="00601336">
        <w:rPr>
          <w:rFonts w:ascii="Arial" w:hAnsi="Arial" w:cs="Arial"/>
        </w:rPr>
        <w:t xml:space="preserve">a bigger sample size is necessary to confirm these findings. </w:t>
      </w:r>
    </w:p>
    <w:p w:rsidR="007475DD" w:rsidRDefault="007475DD" w:rsidP="00AD2E23">
      <w:pPr>
        <w:pStyle w:val="Heading2"/>
        <w:jc w:val="both"/>
      </w:pPr>
      <w:bookmarkStart w:id="263" w:name="_Toc425418981"/>
      <w:r>
        <w:t>Future work</w:t>
      </w:r>
      <w:bookmarkEnd w:id="263"/>
    </w:p>
    <w:p w:rsidR="00001E9B" w:rsidRDefault="007475DD" w:rsidP="003B725E">
      <w:pPr>
        <w:spacing w:line="360" w:lineRule="auto"/>
        <w:jc w:val="both"/>
        <w:rPr>
          <w:rFonts w:ascii="Arial" w:hAnsi="Arial" w:cs="Arial"/>
        </w:rPr>
      </w:pPr>
      <w:r w:rsidRPr="00E8424B">
        <w:rPr>
          <w:rFonts w:ascii="Arial" w:hAnsi="Arial" w:cs="Arial"/>
        </w:rPr>
        <w:t xml:space="preserve">The T-score bone marker plot </w:t>
      </w:r>
      <w:r w:rsidR="00EB7868">
        <w:rPr>
          <w:rFonts w:ascii="Arial" w:hAnsi="Arial" w:cs="Arial"/>
        </w:rPr>
        <w:t xml:space="preserve">has now been established and </w:t>
      </w:r>
      <w:r w:rsidRPr="00E8424B">
        <w:rPr>
          <w:rFonts w:ascii="Arial" w:hAnsi="Arial" w:cs="Arial"/>
        </w:rPr>
        <w:t xml:space="preserve">can be used to </w:t>
      </w:r>
      <w:r w:rsidR="00EB7868">
        <w:rPr>
          <w:rFonts w:ascii="Arial" w:hAnsi="Arial" w:cs="Arial"/>
        </w:rPr>
        <w:t xml:space="preserve">i) assess bone loss and fracture risk and ii) </w:t>
      </w:r>
      <w:r w:rsidRPr="00E8424B">
        <w:rPr>
          <w:rFonts w:ascii="Arial" w:hAnsi="Arial" w:cs="Arial"/>
        </w:rPr>
        <w:t>monitor the effects of other treatments on both bone turnover and bone balance</w:t>
      </w:r>
      <w:r w:rsidR="00D652B8">
        <w:rPr>
          <w:rFonts w:ascii="Arial" w:hAnsi="Arial" w:cs="Arial"/>
        </w:rPr>
        <w:t>. I</w:t>
      </w:r>
      <w:r w:rsidRPr="00E8424B">
        <w:rPr>
          <w:rFonts w:ascii="Arial" w:hAnsi="Arial" w:cs="Arial"/>
        </w:rPr>
        <w:t xml:space="preserve">t can be applied to </w:t>
      </w:r>
      <w:r w:rsidR="00D652B8">
        <w:rPr>
          <w:rFonts w:ascii="Arial" w:hAnsi="Arial" w:cs="Arial"/>
        </w:rPr>
        <w:t>other antiresorptive treatments such a denosumab</w:t>
      </w:r>
      <w:r w:rsidR="00F03DD6">
        <w:rPr>
          <w:rFonts w:ascii="Arial" w:hAnsi="Arial" w:cs="Arial"/>
        </w:rPr>
        <w:t xml:space="preserve">, a </w:t>
      </w:r>
      <w:r w:rsidR="000372FF">
        <w:rPr>
          <w:rFonts w:ascii="Arial" w:hAnsi="Arial" w:cs="Arial"/>
        </w:rPr>
        <w:t xml:space="preserve">monoclonal antibody against </w:t>
      </w:r>
      <w:r w:rsidR="00F03DD6">
        <w:rPr>
          <w:rFonts w:ascii="Arial" w:hAnsi="Arial" w:cs="Arial"/>
        </w:rPr>
        <w:t>RANKL</w:t>
      </w:r>
      <w:r w:rsidR="00D652B8">
        <w:rPr>
          <w:rFonts w:ascii="Arial" w:hAnsi="Arial" w:cs="Arial"/>
        </w:rPr>
        <w:t xml:space="preserve"> </w:t>
      </w:r>
      <w:r w:rsidR="00F03DD6">
        <w:rPr>
          <w:rFonts w:ascii="Arial" w:hAnsi="Arial" w:cs="Arial"/>
        </w:rPr>
        <w:t xml:space="preserve">is pharmacologically different to bisphosphonates </w:t>
      </w:r>
      <w:r w:rsidR="00F03DD6">
        <w:rPr>
          <w:rFonts w:ascii="Arial" w:hAnsi="Arial" w:cs="Arial"/>
        </w:rPr>
        <w:fldChar w:fldCharType="begin"/>
      </w:r>
      <w:r w:rsidR="000D155C">
        <w:rPr>
          <w:rFonts w:ascii="Arial" w:hAnsi="Arial" w:cs="Arial"/>
        </w:rPr>
        <w:instrText xml:space="preserve"> ADDIN EN.CITE &lt;EndNote&gt;&lt;Cite&gt;&lt;Author&gt;Baron&lt;/Author&gt;&lt;Year&gt;2011&lt;/Year&gt;&lt;RecNum&gt;415&lt;/RecNum&gt;&lt;DisplayText&gt;(147)&lt;/DisplayText&gt;&lt;record&gt;&lt;rec-number&gt;415&lt;/rec-number&gt;&lt;foreign-keys&gt;&lt;key app="EN" db-id="999pfvae505tsbee9eapvxv0srxdfv2ttr5e" timestamp="0"&gt;415&lt;/key&gt;&lt;/foreign-keys&gt;&lt;ref-type name="Journal Article"&gt;17&lt;/ref-type&gt;&lt;contributors&gt;&lt;authors&gt;&lt;author&gt;Baron, R.&lt;/author&gt;&lt;author&gt;Ferrari, S.&lt;/author&gt;&lt;author&gt;Russell, R. G.&lt;/author&gt;&lt;/authors&gt;&lt;/contributors&gt;&lt;auth-address&gt;Department of Medicine, Harvard Medical School, Endocrine Unit, Massachusetts General Hospital, Boston, MA 02115, USA. Roland_Baron@hsdm.harvard.edu&lt;/auth-address&gt;&lt;titles&gt;&lt;title&gt;Denosumab and bisphosphonates: different mechanisms of action and effects&lt;/title&gt;&lt;secondary-title&gt;Bone&lt;/secondary-title&gt;&lt;alt-title&gt;Bone&lt;/alt-title&gt;&lt;/titles&gt;&lt;periodical&gt;&lt;full-title&gt;Bone&lt;/full-title&gt;&lt;abbr-1&gt;Bone&lt;/abbr-1&gt;&lt;/periodical&gt;&lt;alt-periodical&gt;&lt;full-title&gt;Bone&lt;/full-title&gt;&lt;abbr-1&gt;Bone&lt;/abbr-1&gt;&lt;/alt-periodical&gt;&lt;pages&gt;677-92&lt;/pages&gt;&lt;volume&gt;48&lt;/volume&gt;&lt;number&gt;4&lt;/number&gt;&lt;keywords&gt;&lt;keyword&gt;Animals&lt;/keyword&gt;&lt;keyword&gt;Antibodies, Monoclonal/pharmacokinetics/*pharmacology/therapeutic use&lt;/keyword&gt;&lt;keyword&gt;Antibodies, Monoclonal, Humanized&lt;/keyword&gt;&lt;keyword&gt;Bone Density Conservation Agents/pharmacokinetics/*pharmacology/therapeutic use&lt;/keyword&gt;&lt;keyword&gt;Clinical Trials as Topic&lt;/keyword&gt;&lt;keyword&gt;Diphosphonates/pharmacokinetics/*pharmacology/therapeutic use&lt;/keyword&gt;&lt;keyword&gt;Disease Models, Animal&lt;/keyword&gt;&lt;keyword&gt;Humans&lt;/keyword&gt;&lt;keyword&gt;Osteoclasts/drug effects&lt;/keyword&gt;&lt;keyword&gt;Osteoporosis/drug therapy&lt;/keyword&gt;&lt;keyword&gt;RANK Ligand/pharmacokinetics/*pharmacology/therapeutic use&lt;/keyword&gt;&lt;/keywords&gt;&lt;dates&gt;&lt;year&gt;2011&lt;/year&gt;&lt;pub-dates&gt;&lt;date&gt;Apr 1&lt;/date&gt;&lt;/pub-dates&gt;&lt;/dates&gt;&lt;isbn&gt;1873-2763 (Electronic)&amp;#xD;1873-2763 (Linking)&lt;/isbn&gt;&lt;accession-num&gt;21145999&lt;/accession-num&gt;&lt;urls&gt;&lt;related-urls&gt;&lt;url&gt;http://www.ncbi.nlm.nih.gov/pubmed/21145999&lt;/url&gt;&lt;/related-urls&gt;&lt;/urls&gt;&lt;electronic-resource-num&gt;10.1016/j.bone.2010.11.020&lt;/electronic-resource-num&gt;&lt;/record&gt;&lt;/Cite&gt;&lt;/EndNote&gt;</w:instrText>
      </w:r>
      <w:r w:rsidR="00F03DD6">
        <w:rPr>
          <w:rFonts w:ascii="Arial" w:hAnsi="Arial" w:cs="Arial"/>
        </w:rPr>
        <w:fldChar w:fldCharType="separate"/>
      </w:r>
      <w:r w:rsidR="005A347B">
        <w:rPr>
          <w:rFonts w:ascii="Arial" w:hAnsi="Arial" w:cs="Arial"/>
          <w:noProof/>
        </w:rPr>
        <w:t>(</w:t>
      </w:r>
      <w:hyperlink w:anchor="_ENREF_147" w:tooltip="Baron, 2011 #415" w:history="1">
        <w:r w:rsidR="003B725E">
          <w:rPr>
            <w:rFonts w:ascii="Arial" w:hAnsi="Arial" w:cs="Arial"/>
            <w:noProof/>
          </w:rPr>
          <w:t>147</w:t>
        </w:r>
      </w:hyperlink>
      <w:r w:rsidR="005A347B">
        <w:rPr>
          <w:rFonts w:ascii="Arial" w:hAnsi="Arial" w:cs="Arial"/>
          <w:noProof/>
        </w:rPr>
        <w:t>)</w:t>
      </w:r>
      <w:r w:rsidR="00F03DD6">
        <w:rPr>
          <w:rFonts w:ascii="Arial" w:hAnsi="Arial" w:cs="Arial"/>
        </w:rPr>
        <w:fldChar w:fldCharType="end"/>
      </w:r>
      <w:r w:rsidRPr="00E8424B">
        <w:rPr>
          <w:rFonts w:ascii="Arial" w:hAnsi="Arial" w:cs="Arial"/>
        </w:rPr>
        <w:t>.</w:t>
      </w:r>
      <w:r w:rsidR="000372FF">
        <w:rPr>
          <w:rFonts w:ascii="Arial" w:hAnsi="Arial" w:cs="Arial"/>
        </w:rPr>
        <w:t xml:space="preserve"> It bind</w:t>
      </w:r>
      <w:r w:rsidR="003B792E">
        <w:rPr>
          <w:rFonts w:ascii="Arial" w:hAnsi="Arial" w:cs="Arial"/>
        </w:rPr>
        <w:t>s</w:t>
      </w:r>
      <w:r w:rsidR="000372FF">
        <w:rPr>
          <w:rFonts w:ascii="Arial" w:hAnsi="Arial" w:cs="Arial"/>
        </w:rPr>
        <w:t xml:space="preserve"> to RANK and inhibits the production of mature osteoclasts reducing bone resorption </w:t>
      </w:r>
      <w:r w:rsidR="0040037A">
        <w:rPr>
          <w:rFonts w:ascii="Arial" w:hAnsi="Arial" w:cs="Arial"/>
        </w:rPr>
        <w:t xml:space="preserve">and increasing BMD more </w:t>
      </w:r>
      <w:r w:rsidR="000372FF">
        <w:rPr>
          <w:rFonts w:ascii="Arial" w:hAnsi="Arial" w:cs="Arial"/>
        </w:rPr>
        <w:t>than bisphosphonates</w:t>
      </w:r>
      <w:r w:rsidR="0040037A">
        <w:rPr>
          <w:rFonts w:ascii="Arial" w:hAnsi="Arial" w:cs="Arial"/>
        </w:rPr>
        <w:t xml:space="preserve"> </w:t>
      </w:r>
      <w:r w:rsidR="0040037A">
        <w:rPr>
          <w:rFonts w:ascii="Arial" w:hAnsi="Arial" w:cs="Arial"/>
        </w:rPr>
        <w:fldChar w:fldCharType="begin"/>
      </w:r>
      <w:r w:rsidR="00066E61">
        <w:rPr>
          <w:rFonts w:ascii="Arial" w:hAnsi="Arial" w:cs="Arial"/>
        </w:rPr>
        <w:instrText xml:space="preserve"> ADDIN EN.CITE &lt;EndNote&gt;&lt;Cite&gt;&lt;Author&gt;Reid&lt;/Author&gt;&lt;Year&gt;2015&lt;/Year&gt;&lt;RecNum&gt;331&lt;/RecNum&gt;&lt;DisplayText&gt;(481)&lt;/DisplayText&gt;&lt;record&gt;&lt;rec-number&gt;331&lt;/rec-number&gt;&lt;foreign-keys&gt;&lt;key app="EN" db-id="p9a5ttsvyvde9me5aw2x05fp5p55axf0wr90" timestamp="1434975015"&gt;331&lt;/key&gt;&lt;/foreign-keys&gt;&lt;ref-type name="Journal Article"&gt;17&lt;/ref-type&gt;&lt;contributors&gt;&lt;authors&gt;&lt;author&gt;Reid, I. R.&lt;/author&gt;&lt;/authors&gt;&lt;/contributors&gt;&lt;auth-address&gt;Faculty of Medical and Health Sciences, University of Auckland, Private Bag 92019, Auckland 1142, New Zealand.&lt;/auth-address&gt;&lt;titles&gt;&lt;title&gt;Short-term and long-term effects of osteoporosis therapies&lt;/title&gt;&lt;secondary-title&gt;Nat Rev Endocrinol&lt;/secondary-title&gt;&lt;/titles&gt;&lt;periodical&gt;&lt;full-title&gt;Nat Rev Endocrinol&lt;/full-title&gt;&lt;/periodical&gt;&lt;pages&gt;418-428&lt;/pages&gt;&lt;volume&gt;11&lt;/volume&gt;&lt;number&gt;7&lt;/number&gt;&lt;edition&gt;2015/05/13&lt;/edition&gt;&lt;dates&gt;&lt;year&gt;2015&lt;/year&gt;&lt;pub-dates&gt;&lt;date&gt;Jul&lt;/date&gt;&lt;/pub-dates&gt;&lt;/dates&gt;&lt;isbn&gt;1759-5037 (Electronic)&amp;#xD;1759-5029 (Linking)&lt;/isbn&gt;&lt;accession-num&gt;25963272&lt;/accession-num&gt;&lt;urls&gt;&lt;/urls&gt;&lt;electronic-resource-num&gt;10.1038/nrendo.2015.71&lt;/electronic-resource-num&gt;&lt;remote-database-provider&gt;NLM&lt;/remote-database-provider&gt;&lt;language&gt;Eng&lt;/language&gt;&lt;/record&gt;&lt;/Cite&gt;&lt;/EndNote&gt;</w:instrText>
      </w:r>
      <w:r w:rsidR="0040037A">
        <w:rPr>
          <w:rFonts w:ascii="Arial" w:hAnsi="Arial" w:cs="Arial"/>
        </w:rPr>
        <w:fldChar w:fldCharType="separate"/>
      </w:r>
      <w:r w:rsidR="00066E61">
        <w:rPr>
          <w:rFonts w:ascii="Arial" w:hAnsi="Arial" w:cs="Arial"/>
          <w:noProof/>
        </w:rPr>
        <w:t>(</w:t>
      </w:r>
      <w:hyperlink w:anchor="_ENREF_481" w:tooltip="Reid, 2015 #331" w:history="1">
        <w:r w:rsidR="003B725E">
          <w:rPr>
            <w:rFonts w:ascii="Arial" w:hAnsi="Arial" w:cs="Arial"/>
            <w:noProof/>
          </w:rPr>
          <w:t>481</w:t>
        </w:r>
      </w:hyperlink>
      <w:r w:rsidR="00066E61">
        <w:rPr>
          <w:rFonts w:ascii="Arial" w:hAnsi="Arial" w:cs="Arial"/>
          <w:noProof/>
        </w:rPr>
        <w:t>)</w:t>
      </w:r>
      <w:r w:rsidR="0040037A">
        <w:rPr>
          <w:rFonts w:ascii="Arial" w:hAnsi="Arial" w:cs="Arial"/>
        </w:rPr>
        <w:fldChar w:fldCharType="end"/>
      </w:r>
      <w:r w:rsidR="0040037A">
        <w:rPr>
          <w:rFonts w:ascii="Arial" w:hAnsi="Arial" w:cs="Arial"/>
        </w:rPr>
        <w:t xml:space="preserve">. </w:t>
      </w:r>
      <w:r w:rsidRPr="00E8424B">
        <w:rPr>
          <w:rFonts w:ascii="Arial" w:hAnsi="Arial" w:cs="Arial"/>
        </w:rPr>
        <w:t xml:space="preserve"> A future hypothesis could therefore be that </w:t>
      </w:r>
      <w:r w:rsidR="00EB7868">
        <w:rPr>
          <w:rFonts w:ascii="Arial" w:hAnsi="Arial" w:cs="Arial"/>
        </w:rPr>
        <w:t xml:space="preserve">denosumab </w:t>
      </w:r>
      <w:r w:rsidR="001D3F3F">
        <w:rPr>
          <w:rFonts w:ascii="Arial" w:hAnsi="Arial" w:cs="Arial"/>
        </w:rPr>
        <w:t>reduces</w:t>
      </w:r>
      <w:r w:rsidRPr="00E8424B">
        <w:rPr>
          <w:rFonts w:ascii="Arial" w:hAnsi="Arial" w:cs="Arial"/>
        </w:rPr>
        <w:t xml:space="preserve"> bone turnover and </w:t>
      </w:r>
      <w:r w:rsidR="00E8424B">
        <w:rPr>
          <w:rFonts w:ascii="Arial" w:hAnsi="Arial" w:cs="Arial"/>
        </w:rPr>
        <w:t>make</w:t>
      </w:r>
      <w:r w:rsidR="001D3F3F">
        <w:rPr>
          <w:rFonts w:ascii="Arial" w:hAnsi="Arial" w:cs="Arial"/>
        </w:rPr>
        <w:t>s</w:t>
      </w:r>
      <w:r w:rsidR="00E8424B" w:rsidRPr="00E8424B">
        <w:rPr>
          <w:rFonts w:ascii="Arial" w:hAnsi="Arial" w:cs="Arial"/>
        </w:rPr>
        <w:t xml:space="preserve"> bone balance more positive</w:t>
      </w:r>
      <w:r w:rsidR="007D737C">
        <w:rPr>
          <w:rFonts w:ascii="Arial" w:hAnsi="Arial" w:cs="Arial"/>
        </w:rPr>
        <w:t xml:space="preserve"> compared to baseline and healthy premenopausal women</w:t>
      </w:r>
      <w:r w:rsidR="00E8424B" w:rsidRPr="00E8424B">
        <w:rPr>
          <w:rFonts w:ascii="Arial" w:hAnsi="Arial" w:cs="Arial"/>
        </w:rPr>
        <w:t xml:space="preserve">. </w:t>
      </w:r>
    </w:p>
    <w:p w:rsidR="00E8424B" w:rsidRDefault="00E8424B" w:rsidP="003B725E">
      <w:pPr>
        <w:spacing w:line="360" w:lineRule="auto"/>
        <w:jc w:val="both"/>
        <w:rPr>
          <w:rFonts w:ascii="Arial" w:hAnsi="Arial" w:cs="Arial"/>
        </w:rPr>
      </w:pPr>
      <w:r>
        <w:rPr>
          <w:rFonts w:ascii="Arial" w:hAnsi="Arial" w:cs="Arial"/>
        </w:rPr>
        <w:t xml:space="preserve">In addition </w:t>
      </w:r>
      <w:r w:rsidR="00001E9B">
        <w:rPr>
          <w:rFonts w:ascii="Arial" w:hAnsi="Arial" w:cs="Arial"/>
        </w:rPr>
        <w:t>the T-score bone marker plot can</w:t>
      </w:r>
      <w:r>
        <w:rPr>
          <w:rFonts w:ascii="Arial" w:hAnsi="Arial" w:cs="Arial"/>
        </w:rPr>
        <w:t xml:space="preserve"> be used to investigate the effect of </w:t>
      </w:r>
      <w:r w:rsidR="00406DF3">
        <w:rPr>
          <w:rFonts w:ascii="Arial" w:hAnsi="Arial" w:cs="Arial"/>
        </w:rPr>
        <w:t>discontinuation</w:t>
      </w:r>
      <w:r>
        <w:rPr>
          <w:rFonts w:ascii="Arial" w:hAnsi="Arial" w:cs="Arial"/>
        </w:rPr>
        <w:t xml:space="preserve"> of treatments on bone turnover and bone balance</w:t>
      </w:r>
      <w:r w:rsidR="00CB30BC">
        <w:rPr>
          <w:rFonts w:ascii="Arial" w:hAnsi="Arial" w:cs="Arial"/>
        </w:rPr>
        <w:t>.</w:t>
      </w:r>
      <w:r w:rsidR="00406DF3">
        <w:rPr>
          <w:rFonts w:ascii="Arial" w:hAnsi="Arial" w:cs="Arial"/>
        </w:rPr>
        <w:t xml:space="preserve"> There are differences between and within treatment groups following discontinuation on BTMs, BMD and fracture risk </w:t>
      </w:r>
      <w:r w:rsidR="00A653F6">
        <w:rPr>
          <w:rFonts w:ascii="Arial" w:hAnsi="Arial" w:cs="Arial"/>
        </w:rPr>
        <w:fldChar w:fldCharType="begin"/>
      </w:r>
      <w:r w:rsidR="00066E61">
        <w:rPr>
          <w:rFonts w:ascii="Arial" w:hAnsi="Arial" w:cs="Arial"/>
        </w:rPr>
        <w:instrText xml:space="preserve"> ADDIN EN.CITE &lt;EndNote&gt;&lt;Cite&gt;&lt;Author&gt;Boonen&lt;/Author&gt;&lt;Year&gt;2012&lt;/Year&gt;&lt;RecNum&gt;334&lt;/RecNum&gt;&lt;DisplayText&gt;(482)&lt;/DisplayText&gt;&lt;record&gt;&lt;rec-number&gt;334&lt;/rec-number&gt;&lt;foreign-keys&gt;&lt;key app="EN" db-id="p9a5ttsvyvde9me5aw2x05fp5p55axf0wr90" timestamp="1434979422"&gt;334&lt;/key&gt;&lt;/foreign-keys&gt;&lt;ref-type name="Journal Article"&gt;17&lt;/ref-type&gt;&lt;contributors&gt;&lt;authors&gt;&lt;author&gt;Boonen, S.&lt;/author&gt;&lt;author&gt;Ferrari, S.&lt;/author&gt;&lt;author&gt;Miller, P. D.&lt;/author&gt;&lt;author&gt;Eriksen, E. F.&lt;/author&gt;&lt;author&gt;Sambrook, P. N.&lt;/author&gt;&lt;author&gt;Compston, J.&lt;/author&gt;&lt;author&gt;Reid, I. R.&lt;/author&gt;&lt;author&gt;Vanderschueren, D.&lt;/author&gt;&lt;author&gt;Cosman, F.&lt;/author&gt;&lt;/authors&gt;&lt;/contributors&gt;&lt;auth-address&gt;Leuven University Center for Metabolic Bone Diseases, Katholieke Universiteit Leuven, Leuven, Belgium.&lt;/auth-address&gt;&lt;titles&gt;&lt;title&gt;Postmenopausal osteoporosis treatment with antiresorptives: effects of discontinuation or long-term continuation on bone turnover and fracture risk--a perspective&lt;/title&gt;&lt;secondary-title&gt;J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Research&lt;/abbr-1&gt;&lt;/periodical&gt;&lt;pages&gt;963-74&lt;/pages&gt;&lt;volume&gt;27&lt;/volume&gt;&lt;number&gt;5&lt;/number&gt;&lt;edition&gt;2012/04/03&lt;/edition&gt;&lt;keywords&gt;&lt;keyword&gt;Bone Density Conservation Agents/ therapeutic use&lt;/keyword&gt;&lt;keyword&gt;Diphosphonates/therapeutic use&lt;/keyword&gt;&lt;keyword&gt;Female&lt;/keyword&gt;&lt;keyword&gt;Fractures, Bone/ drug therapy&lt;/keyword&gt;&lt;keyword&gt;Humans&lt;/keyword&gt;&lt;keyword&gt;Osteoporosis, Postmenopausal/ drug therapy&lt;/keyword&gt;&lt;keyword&gt;Risk Factors&lt;/keyword&gt;&lt;keyword&gt;Time&lt;/keyword&gt;&lt;/keywords&gt;&lt;dates&gt;&lt;year&gt;2012&lt;/year&gt;&lt;pub-dates&gt;&lt;date&gt;May&lt;/date&gt;&lt;/pub-dates&gt;&lt;/dates&gt;&lt;isbn&gt;1523-4681 (Electronic)&amp;#xD;0884-0431 (Linking)&lt;/isbn&gt;&lt;accession-num&gt;22467094&lt;/accession-num&gt;&lt;urls&gt;&lt;/urls&gt;&lt;electronic-resource-num&gt;10.1002/jbmr.1570&lt;/electronic-resource-num&gt;&lt;remote-database-provider&gt;NLM&lt;/remote-database-provider&gt;&lt;language&gt;eng&lt;/language&gt;&lt;/record&gt;&lt;/Cite&gt;&lt;/EndNote&gt;</w:instrText>
      </w:r>
      <w:r w:rsidR="00A653F6">
        <w:rPr>
          <w:rFonts w:ascii="Arial" w:hAnsi="Arial" w:cs="Arial"/>
        </w:rPr>
        <w:fldChar w:fldCharType="separate"/>
      </w:r>
      <w:r w:rsidR="00066E61">
        <w:rPr>
          <w:rFonts w:ascii="Arial" w:hAnsi="Arial" w:cs="Arial"/>
          <w:noProof/>
        </w:rPr>
        <w:t>(</w:t>
      </w:r>
      <w:hyperlink w:anchor="_ENREF_482" w:tooltip="Boonen, 2012 #334" w:history="1">
        <w:r w:rsidR="003B725E">
          <w:rPr>
            <w:rFonts w:ascii="Arial" w:hAnsi="Arial" w:cs="Arial"/>
            <w:noProof/>
          </w:rPr>
          <w:t>482</w:t>
        </w:r>
      </w:hyperlink>
      <w:r w:rsidR="00066E61">
        <w:rPr>
          <w:rFonts w:ascii="Arial" w:hAnsi="Arial" w:cs="Arial"/>
          <w:noProof/>
        </w:rPr>
        <w:t>)</w:t>
      </w:r>
      <w:r w:rsidR="00A653F6">
        <w:rPr>
          <w:rFonts w:ascii="Arial" w:hAnsi="Arial" w:cs="Arial"/>
        </w:rPr>
        <w:fldChar w:fldCharType="end"/>
      </w:r>
      <w:r w:rsidR="00A653F6">
        <w:rPr>
          <w:rFonts w:ascii="Arial" w:hAnsi="Arial" w:cs="Arial"/>
        </w:rPr>
        <w:t>.</w:t>
      </w:r>
      <w:r w:rsidR="00406DF3">
        <w:rPr>
          <w:rFonts w:ascii="Arial" w:hAnsi="Arial" w:cs="Arial"/>
        </w:rPr>
        <w:t xml:space="preserve"> </w:t>
      </w:r>
      <w:r w:rsidR="00CB30BC">
        <w:rPr>
          <w:rFonts w:ascii="Arial" w:hAnsi="Arial" w:cs="Arial"/>
        </w:rPr>
        <w:t xml:space="preserve"> </w:t>
      </w:r>
      <w:r w:rsidR="00833CBF">
        <w:rPr>
          <w:rFonts w:ascii="Arial" w:hAnsi="Arial" w:cs="Arial"/>
        </w:rPr>
        <w:t xml:space="preserve">In the FLEX trial, discontinuation of alendronate was associated to a gradual increase in BTMs and by 5 years levels were below that of baseline </w:t>
      </w:r>
      <w:r w:rsidR="00833CBF">
        <w:rPr>
          <w:rFonts w:ascii="Arial" w:hAnsi="Arial" w:cs="Arial"/>
        </w:rPr>
        <w:fldChar w:fldCharType="begin">
          <w:fldData xml:space="preserve">PEVuZE5vdGU+PENpdGU+PEF1dGhvcj5CbGFjazwvQXV0aG9yPjxZZWFyPjIwMDY8L1llYXI+PFJl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</w:fldData>
        </w:fldChar>
      </w:r>
      <w:r w:rsidR="00B64C0F">
        <w:rPr>
          <w:rFonts w:ascii="Arial" w:hAnsi="Arial" w:cs="Arial"/>
        </w:rPr>
        <w:instrText xml:space="preserve"> ADDIN EN.CITE </w:instrText>
      </w:r>
      <w:r w:rsidR="00B64C0F">
        <w:rPr>
          <w:rFonts w:ascii="Arial" w:hAnsi="Arial" w:cs="Arial"/>
        </w:rPr>
        <w:fldChar w:fldCharType="begin">
          <w:fldData xml:space="preserve">PEVuZE5vdGU+PENpdGU+PEF1dGhvcj5CbGFjazwvQXV0aG9yPjxZZWFyPjIwMDY8L1llYXI+PFJl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</w:fldData>
        </w:fldChar>
      </w:r>
      <w:r w:rsidR="00B64C0F">
        <w:rPr>
          <w:rFonts w:ascii="Arial" w:hAnsi="Arial" w:cs="Arial"/>
        </w:rPr>
        <w:instrText xml:space="preserve"> ADDIN EN.CITE.DATA </w:instrText>
      </w:r>
      <w:r w:rsidR="00B64C0F">
        <w:rPr>
          <w:rFonts w:ascii="Arial" w:hAnsi="Arial" w:cs="Arial"/>
        </w:rPr>
      </w:r>
      <w:r w:rsidR="00B64C0F">
        <w:rPr>
          <w:rFonts w:ascii="Arial" w:hAnsi="Arial" w:cs="Arial"/>
        </w:rPr>
        <w:fldChar w:fldCharType="end"/>
      </w:r>
      <w:r w:rsidR="00833CBF">
        <w:rPr>
          <w:rFonts w:ascii="Arial" w:hAnsi="Arial" w:cs="Arial"/>
        </w:rPr>
      </w:r>
      <w:r w:rsidR="00833CBF">
        <w:rPr>
          <w:rFonts w:ascii="Arial" w:hAnsi="Arial" w:cs="Arial"/>
        </w:rPr>
        <w:fldChar w:fldCharType="separate"/>
      </w:r>
      <w:r w:rsidR="00B64C0F">
        <w:rPr>
          <w:rFonts w:ascii="Arial" w:hAnsi="Arial" w:cs="Arial"/>
          <w:noProof/>
        </w:rPr>
        <w:t>(</w:t>
      </w:r>
      <w:hyperlink w:anchor="_ENREF_318" w:tooltip="Black, 2006 #332" w:history="1">
        <w:r w:rsidR="003B725E">
          <w:rPr>
            <w:rFonts w:ascii="Arial" w:hAnsi="Arial" w:cs="Arial"/>
            <w:noProof/>
          </w:rPr>
          <w:t>318</w:t>
        </w:r>
      </w:hyperlink>
      <w:r w:rsidR="00B64C0F">
        <w:rPr>
          <w:rFonts w:ascii="Arial" w:hAnsi="Arial" w:cs="Arial"/>
          <w:noProof/>
        </w:rPr>
        <w:t>)</w:t>
      </w:r>
      <w:r w:rsidR="00833CBF">
        <w:rPr>
          <w:rFonts w:ascii="Arial" w:hAnsi="Arial" w:cs="Arial"/>
        </w:rPr>
        <w:fldChar w:fldCharType="end"/>
      </w:r>
      <w:r w:rsidR="00833CBF">
        <w:rPr>
          <w:rFonts w:ascii="Arial" w:hAnsi="Arial" w:cs="Arial"/>
        </w:rPr>
        <w:t xml:space="preserve">. In contrast </w:t>
      </w:r>
      <w:r w:rsidR="00AA1907">
        <w:rPr>
          <w:rFonts w:ascii="Arial" w:hAnsi="Arial" w:cs="Arial"/>
        </w:rPr>
        <w:t xml:space="preserve">in the phase II multi-dose trial, </w:t>
      </w:r>
      <w:r w:rsidR="00833CBF">
        <w:rPr>
          <w:rFonts w:ascii="Arial" w:hAnsi="Arial" w:cs="Arial"/>
        </w:rPr>
        <w:t>discontinuation of denosumab</w:t>
      </w:r>
      <w:r w:rsidR="00AA1907">
        <w:rPr>
          <w:rFonts w:ascii="Arial" w:hAnsi="Arial" w:cs="Arial"/>
        </w:rPr>
        <w:t xml:space="preserve"> was associates with an increase in BTMs and by 1 year level were above that of baseline </w:t>
      </w:r>
      <w:r w:rsidR="00AA1907">
        <w:rPr>
          <w:rFonts w:ascii="Arial" w:hAnsi="Arial" w:cs="Arial"/>
        </w:rPr>
        <w:fldChar w:fldCharType="begin">
          <w:fldData xml:space="preserve">PEVuZE5vdGU+PENpdGU+PEF1dGhvcj5NaWxsZXI8L0F1dGhvcj48WWVhcj4yMDA4PC9ZZWFyPjxS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</w:fldData>
        </w:fldChar>
      </w:r>
      <w:r w:rsidR="00066E61">
        <w:rPr>
          <w:rFonts w:ascii="Arial" w:hAnsi="Arial" w:cs="Arial"/>
        </w:rPr>
        <w:instrText xml:space="preserve"> ADDIN EN.CITE </w:instrText>
      </w:r>
      <w:r w:rsidR="00066E61">
        <w:rPr>
          <w:rFonts w:ascii="Arial" w:hAnsi="Arial" w:cs="Arial"/>
        </w:rPr>
        <w:fldChar w:fldCharType="begin">
          <w:fldData xml:space="preserve">PEVuZE5vdGU+PENpdGU+PEF1dGhvcj5NaWxsZXI8L0F1dGhvcj48WWVhcj4yMDA4PC9ZZWFyPjxS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</w:fldData>
        </w:fldChar>
      </w:r>
      <w:r w:rsidR="00066E61">
        <w:rPr>
          <w:rFonts w:ascii="Arial" w:hAnsi="Arial" w:cs="Arial"/>
        </w:rPr>
        <w:instrText xml:space="preserve"> ADDIN EN.CITE.DATA </w:instrText>
      </w:r>
      <w:r w:rsidR="00066E61">
        <w:rPr>
          <w:rFonts w:ascii="Arial" w:hAnsi="Arial" w:cs="Arial"/>
        </w:rPr>
      </w:r>
      <w:r w:rsidR="00066E61">
        <w:rPr>
          <w:rFonts w:ascii="Arial" w:hAnsi="Arial" w:cs="Arial"/>
        </w:rPr>
        <w:fldChar w:fldCharType="end"/>
      </w:r>
      <w:r w:rsidR="00AA1907">
        <w:rPr>
          <w:rFonts w:ascii="Arial" w:hAnsi="Arial" w:cs="Arial"/>
        </w:rPr>
      </w:r>
      <w:r w:rsidR="00AA1907">
        <w:rPr>
          <w:rFonts w:ascii="Arial" w:hAnsi="Arial" w:cs="Arial"/>
        </w:rPr>
        <w:fldChar w:fldCharType="separate"/>
      </w:r>
      <w:r w:rsidR="00066E61">
        <w:rPr>
          <w:rFonts w:ascii="Arial" w:hAnsi="Arial" w:cs="Arial"/>
          <w:noProof/>
        </w:rPr>
        <w:t>(</w:t>
      </w:r>
      <w:hyperlink w:anchor="_ENREF_483" w:tooltip="Miller, 2008 #333" w:history="1">
        <w:r w:rsidR="003B725E">
          <w:rPr>
            <w:rFonts w:ascii="Arial" w:hAnsi="Arial" w:cs="Arial"/>
            <w:noProof/>
          </w:rPr>
          <w:t>483</w:t>
        </w:r>
      </w:hyperlink>
      <w:r w:rsidR="00066E61">
        <w:rPr>
          <w:rFonts w:ascii="Arial" w:hAnsi="Arial" w:cs="Arial"/>
          <w:noProof/>
        </w:rPr>
        <w:t>)</w:t>
      </w:r>
      <w:r w:rsidR="00AA1907">
        <w:rPr>
          <w:rFonts w:ascii="Arial" w:hAnsi="Arial" w:cs="Arial"/>
        </w:rPr>
        <w:fldChar w:fldCharType="end"/>
      </w:r>
      <w:r w:rsidR="00AA1907">
        <w:rPr>
          <w:rFonts w:ascii="Arial" w:hAnsi="Arial" w:cs="Arial"/>
        </w:rPr>
        <w:t xml:space="preserve">. By investigating the </w:t>
      </w:r>
      <w:r w:rsidR="00406DF3">
        <w:rPr>
          <w:rFonts w:ascii="Arial" w:hAnsi="Arial" w:cs="Arial"/>
        </w:rPr>
        <w:t xml:space="preserve">effect </w:t>
      </w:r>
      <w:r w:rsidR="00AA1907">
        <w:rPr>
          <w:rFonts w:ascii="Arial" w:hAnsi="Arial" w:cs="Arial"/>
        </w:rPr>
        <w:t>of the</w:t>
      </w:r>
      <w:r w:rsidR="00406DF3">
        <w:rPr>
          <w:rFonts w:ascii="Arial" w:hAnsi="Arial" w:cs="Arial"/>
        </w:rPr>
        <w:t>se</w:t>
      </w:r>
      <w:r w:rsidR="00AA1907">
        <w:rPr>
          <w:rFonts w:ascii="Arial" w:hAnsi="Arial" w:cs="Arial"/>
        </w:rPr>
        <w:t xml:space="preserve"> treatments on bone remodelling as a st</w:t>
      </w:r>
      <w:r w:rsidR="00406DF3">
        <w:rPr>
          <w:rFonts w:ascii="Arial" w:hAnsi="Arial" w:cs="Arial"/>
        </w:rPr>
        <w:t xml:space="preserve">ate of turnover and balance it can give an insight on the clinical implications of this rise in BTMs once treatments have stopped, which is currently unclear. It may be that the effect on bone balance may be related to the change in BMD and fracture risk. </w:t>
      </w:r>
      <w:r w:rsidR="00A653F6">
        <w:rPr>
          <w:rFonts w:ascii="Arial" w:hAnsi="Arial" w:cs="Arial"/>
        </w:rPr>
        <w:t>Initial investigations can now be carried out using the T-score bone marker plot be</w:t>
      </w:r>
      <w:r w:rsidR="00CB30BC">
        <w:rPr>
          <w:rFonts w:ascii="Arial" w:hAnsi="Arial" w:cs="Arial"/>
        </w:rPr>
        <w:t xml:space="preserve"> within our Unit as part of the TRIO offset study. </w:t>
      </w:r>
      <w:r w:rsidR="00A653F6">
        <w:rPr>
          <w:rFonts w:ascii="Arial" w:hAnsi="Arial" w:cs="Arial"/>
        </w:rPr>
        <w:t>Here, a</w:t>
      </w:r>
      <w:r w:rsidR="00CB30BC">
        <w:rPr>
          <w:rFonts w:ascii="Arial" w:hAnsi="Arial" w:cs="Arial"/>
        </w:rPr>
        <w:t xml:space="preserve"> subset of patients (N = 60) were followed up for 2 years after </w:t>
      </w:r>
      <w:r w:rsidR="00CB30BC">
        <w:rPr>
          <w:rFonts w:ascii="Arial" w:hAnsi="Arial" w:cs="Arial"/>
        </w:rPr>
        <w:lastRenderedPageBreak/>
        <w:t>bisphosphonate treatment stopped. Serum samples were collected at regular intervals throug</w:t>
      </w:r>
      <w:r w:rsidR="00001E9B">
        <w:rPr>
          <w:rFonts w:ascii="Arial" w:hAnsi="Arial" w:cs="Arial"/>
        </w:rPr>
        <w:t>hout and</w:t>
      </w:r>
      <w:r w:rsidR="00CB30BC">
        <w:rPr>
          <w:rFonts w:ascii="Arial" w:hAnsi="Arial" w:cs="Arial"/>
        </w:rPr>
        <w:t xml:space="preserve"> BTM measurements have been performed. The aim would be to determine the effects of </w:t>
      </w:r>
      <w:r w:rsidR="00A653F6">
        <w:rPr>
          <w:rFonts w:ascii="Arial" w:hAnsi="Arial" w:cs="Arial"/>
        </w:rPr>
        <w:t>the discontinuation</w:t>
      </w:r>
      <w:r w:rsidR="00CB30BC">
        <w:rPr>
          <w:rFonts w:ascii="Arial" w:hAnsi="Arial" w:cs="Arial"/>
        </w:rPr>
        <w:t xml:space="preserve"> of bisphosphonate treatment on bone turnover and bone balance in postmenopausal women with osteoporosis.</w:t>
      </w:r>
    </w:p>
    <w:p w:rsidR="00503B0B" w:rsidRDefault="00503B0B" w:rsidP="003B725E">
      <w:pPr>
        <w:spacing w:line="360" w:lineRule="auto"/>
        <w:jc w:val="both"/>
        <w:rPr>
          <w:rFonts w:ascii="Arial" w:hAnsi="Arial" w:cs="Arial"/>
        </w:rPr>
      </w:pPr>
      <w:r>
        <w:rPr>
          <w:rFonts w:ascii="Arial" w:hAnsi="Arial" w:cs="Arial"/>
        </w:rPr>
        <w:t xml:space="preserve">Another research goal is to explore </w:t>
      </w:r>
      <w:r w:rsidR="00451D41">
        <w:rPr>
          <w:rFonts w:ascii="Arial" w:hAnsi="Arial" w:cs="Arial"/>
        </w:rPr>
        <w:t xml:space="preserve">further </w:t>
      </w:r>
      <w:r>
        <w:rPr>
          <w:rFonts w:ascii="Arial" w:hAnsi="Arial" w:cs="Arial"/>
        </w:rPr>
        <w:t>the native α- and isomerised</w:t>
      </w:r>
      <w:r w:rsidR="00451D41">
        <w:rPr>
          <w:rFonts w:ascii="Arial" w:hAnsi="Arial" w:cs="Arial"/>
        </w:rPr>
        <w:t xml:space="preserve"> age-related</w:t>
      </w:r>
      <w:r>
        <w:rPr>
          <w:rFonts w:ascii="Arial" w:hAnsi="Arial" w:cs="Arial"/>
        </w:rPr>
        <w:t xml:space="preserve"> β-forms of type I collagen</w:t>
      </w:r>
      <w:r w:rsidR="00451D41">
        <w:rPr>
          <w:rFonts w:ascii="Arial" w:hAnsi="Arial" w:cs="Arial"/>
        </w:rPr>
        <w:t xml:space="preserve"> in postmenopausal women</w:t>
      </w:r>
      <w:r w:rsidR="00D94A8F">
        <w:rPr>
          <w:rFonts w:ascii="Arial" w:hAnsi="Arial" w:cs="Arial"/>
        </w:rPr>
        <w:t xml:space="preserve">. </w:t>
      </w:r>
      <w:r w:rsidR="00451D41">
        <w:rPr>
          <w:rFonts w:ascii="Arial" w:hAnsi="Arial" w:cs="Arial"/>
        </w:rPr>
        <w:t xml:space="preserve">Garnero et al has previously demonstrated that in </w:t>
      </w:r>
      <w:r w:rsidR="00D94A8F">
        <w:rPr>
          <w:rFonts w:ascii="Arial" w:hAnsi="Arial" w:cs="Arial"/>
        </w:rPr>
        <w:t xml:space="preserve">patients with </w:t>
      </w:r>
      <w:r w:rsidR="00451D41">
        <w:rPr>
          <w:rFonts w:ascii="Arial" w:hAnsi="Arial" w:cs="Arial"/>
        </w:rPr>
        <w:t xml:space="preserve">Paget’s disease </w:t>
      </w:r>
      <w:r w:rsidR="00D94A8F">
        <w:rPr>
          <w:rFonts w:ascii="Arial" w:hAnsi="Arial" w:cs="Arial"/>
        </w:rPr>
        <w:t xml:space="preserve">the </w:t>
      </w:r>
      <w:r w:rsidR="00D94A8F" w:rsidRPr="00451D41">
        <w:rPr>
          <w:rFonts w:ascii="Arial" w:hAnsi="Arial" w:cs="Arial"/>
          <w:lang w:val="el-GR"/>
        </w:rPr>
        <w:t>α</w:t>
      </w:r>
      <w:r w:rsidR="00D94A8F" w:rsidRPr="00451D41">
        <w:rPr>
          <w:rFonts w:ascii="Arial" w:hAnsi="Arial" w:cs="Arial"/>
        </w:rPr>
        <w:t>/</w:t>
      </w:r>
      <w:r w:rsidR="00D94A8F" w:rsidRPr="00451D41">
        <w:rPr>
          <w:rFonts w:ascii="Arial" w:hAnsi="Arial" w:cs="Arial"/>
          <w:lang w:val="el-GR"/>
        </w:rPr>
        <w:t>β</w:t>
      </w:r>
      <w:r w:rsidR="00D94A8F" w:rsidRPr="00451D41">
        <w:rPr>
          <w:rFonts w:ascii="Arial" w:hAnsi="Arial" w:cs="Arial"/>
        </w:rPr>
        <w:t xml:space="preserve"> CTX rati</w:t>
      </w:r>
      <w:r w:rsidR="00D94A8F">
        <w:rPr>
          <w:rFonts w:ascii="Arial" w:hAnsi="Arial" w:cs="Arial"/>
        </w:rPr>
        <w:t xml:space="preserve">o was significantly increased and this was possibly due to there being a lower portion of βCTX in this disease, </w:t>
      </w:r>
      <w:r w:rsidR="00D94A8F">
        <w:rPr>
          <w:rFonts w:ascii="Arial" w:hAnsi="Arial" w:cs="Arial"/>
        </w:rPr>
        <w:fldChar w:fldCharType="begin"/>
      </w:r>
      <w:r w:rsidR="005A347B">
        <w:rPr>
          <w:rFonts w:ascii="Arial" w:hAnsi="Arial" w:cs="Arial"/>
        </w:rPr>
        <w:instrText xml:space="preserve"> ADDIN EN.CITE &lt;EndNote&gt;&lt;Cite&gt;&lt;Author&gt;Garnero&lt;/Author&gt;&lt;Year&gt;1997&lt;/Year&gt;&lt;RecNum&gt;319&lt;/RecNum&gt;&lt;DisplayText&gt;(181)&lt;/DisplayText&gt;&lt;record&gt;&lt;rec-number&gt;319&lt;/rec-number&gt;&lt;foreign-keys&gt;&lt;key app="EN" db-id="p9a5ttsvyvde9me5aw2x05fp5p55axf0wr90" timestamp="1434038005"&gt;319&lt;/key&gt;&lt;/foreign-keys&gt;&lt;ref-type name="Journal Article"&gt;17&lt;/ref-type&gt;&lt;contributors&gt;&lt;authors&gt;&lt;author&gt;Garnero, P.&lt;/author&gt;&lt;author&gt;Fledelius, C.&lt;/author&gt;&lt;author&gt;Gineyts, E.&lt;/author&gt;&lt;author&gt;Serre, C. M.&lt;/author&gt;&lt;author&gt;Vignot, E.&lt;/author&gt;&lt;author&gt;Delmas, P. D.&lt;/author&gt;&lt;/authors&gt;&lt;/contributors&gt;&lt;auth-address&gt;INSERM Unit 403, Hopital E. Herriot, Lyon, France.&lt;/auth-address&gt;&lt;titles&gt;&lt;title&gt;Decreased beta-isomerization of the C-terminal telopeptide of type I collagen alpha 1 chain in Paget&amp;apos;s disease of bone&lt;/title&gt;&lt;secondary-title&gt;J Bone Miner Res&lt;/secondary-title&gt;&lt;/titles&gt;&lt;periodical&gt;&lt;full-title&gt;J Bone Miner Res&lt;/full-title&gt;&lt;abbr-1&gt;Journal of bone and mineral research : the official journal of the American Society for Bone and Mineral Research&lt;/abbr-1&gt;&lt;/periodical&gt;&lt;pages&gt;1407-15&lt;/pages&gt;&lt;volume&gt;12&lt;/volume&gt;&lt;number&gt;9&lt;/number&gt;&lt;edition&gt;1997/09/01&lt;/edition&gt;&lt;keywords&gt;&lt;keyword&gt;Adult&lt;/keyword&gt;&lt;keyword&gt;Aged&lt;/keyword&gt;&lt;keyword&gt;Aged, 80 and over&lt;/keyword&gt;&lt;keyword&gt;Amino Acids/urine&lt;/keyword&gt;&lt;keyword&gt;Biological Markers&lt;/keyword&gt;&lt;keyword&gt;Bone and Bones/chemistry&lt;/keyword&gt;&lt;keyword&gt;Collagen/chemistry/ metabolism/urine&lt;/keyword&gt;&lt;keyword&gt;Collagen Type I&lt;/keyword&gt;&lt;keyword&gt;Female&lt;/keyword&gt;&lt;keyword&gt;Humans&lt;/keyword&gt;&lt;keyword&gt;Isomerism&lt;/keyword&gt;&lt;keyword&gt;Male&lt;/keyword&gt;&lt;keyword&gt;Middle Aged&lt;/keyword&gt;&lt;keyword&gt;Models, Chemical&lt;/keyword&gt;&lt;keyword&gt;Osteitis Deformans/ metabolism&lt;/keyword&gt;&lt;keyword&gt;Peptides/chemistry/ metabolism/urine&lt;/keyword&gt;&lt;/keywords&gt;&lt;dates&gt;&lt;year&gt;1997&lt;/year&gt;&lt;pub-dates&gt;&lt;date&gt;Sep&lt;/date&gt;&lt;/pub-dates&gt;&lt;/dates&gt;&lt;isbn&gt;0884-0431 (Print)&amp;#xD;0884-0431 (Linking)&lt;/isbn&gt;&lt;accession-num&gt;9286756&lt;/accession-num&gt;&lt;urls&gt;&lt;/urls&gt;&lt;electronic-resource-num&gt;10.1359/jbmr.1997.12.9.1407&lt;/electronic-resource-num&gt;&lt;remote-database-provider&gt;NLM&lt;/remote-database-provider&gt;&lt;language&gt;eng&lt;/language&gt;&lt;/record&gt;&lt;/Cite&gt;&lt;/EndNote&gt;</w:instrText>
      </w:r>
      <w:r w:rsidR="00D94A8F">
        <w:rPr>
          <w:rFonts w:ascii="Arial" w:hAnsi="Arial" w:cs="Arial"/>
        </w:rPr>
        <w:fldChar w:fldCharType="separate"/>
      </w:r>
      <w:r w:rsidR="005A347B">
        <w:rPr>
          <w:rFonts w:ascii="Arial" w:hAnsi="Arial" w:cs="Arial"/>
          <w:noProof/>
        </w:rPr>
        <w:t>(</w:t>
      </w:r>
      <w:hyperlink w:anchor="_ENREF_181" w:tooltip="Garnero, 1997 #319" w:history="1">
        <w:r w:rsidR="003B725E">
          <w:rPr>
            <w:rFonts w:ascii="Arial" w:hAnsi="Arial" w:cs="Arial"/>
            <w:noProof/>
          </w:rPr>
          <w:t>181</w:t>
        </w:r>
      </w:hyperlink>
      <w:r w:rsidR="005A347B">
        <w:rPr>
          <w:rFonts w:ascii="Arial" w:hAnsi="Arial" w:cs="Arial"/>
          <w:noProof/>
        </w:rPr>
        <w:t>)</w:t>
      </w:r>
      <w:r w:rsidR="00D94A8F">
        <w:rPr>
          <w:rFonts w:ascii="Arial" w:hAnsi="Arial" w:cs="Arial"/>
        </w:rPr>
        <w:fldChar w:fldCharType="end"/>
      </w:r>
      <w:r w:rsidR="00AF5F6E">
        <w:rPr>
          <w:rFonts w:ascii="Arial" w:hAnsi="Arial" w:cs="Arial"/>
        </w:rPr>
        <w:t xml:space="preserve"> and was restored with zoledronate treatment </w:t>
      </w:r>
      <w:r w:rsidR="00A5287E">
        <w:rPr>
          <w:rFonts w:ascii="Arial" w:hAnsi="Arial" w:cs="Arial"/>
        </w:rPr>
        <w:fldChar w:fldCharType="begin"/>
      </w:r>
      <w:r w:rsidR="00066E61">
        <w:rPr>
          <w:rFonts w:ascii="Arial" w:hAnsi="Arial" w:cs="Arial"/>
        </w:rPr>
        <w:instrText xml:space="preserve"> ADDIN EN.CITE &lt;EndNote&gt;&lt;Cite&gt;&lt;Author&gt;Garnero&lt;/Author&gt;&lt;Year&gt;1998&lt;/Year&gt;&lt;RecNum&gt;320&lt;/RecNum&gt;&lt;DisplayText&gt;(484)&lt;/DisplayText&gt;&lt;record&gt;&lt;rec-number&gt;320&lt;/rec-number&gt;&lt;foreign-keys&gt;&lt;key app="EN" db-id="p9a5ttsvyvde9me5aw2x05fp5p55axf0wr90" timestamp="1434038558"&gt;320&lt;/key&gt;&lt;/foreign-keys&gt;&lt;ref-type name="Journal Article"&gt;17&lt;/ref-type&gt;&lt;contributors&gt;&lt;authors&gt;&lt;author&gt;Garnero, P.&lt;/author&gt;&lt;author&gt;Gineyts, E.&lt;/author&gt;&lt;author&gt;Schaffer, A. V.&lt;/author&gt;&lt;author&gt;Seaman, J.&lt;/author&gt;&lt;author&gt;Delmas, P. D.&lt;/author&gt;&lt;/authors&gt;&lt;/contributors&gt;&lt;auth-address&gt;INSERM, Lyon, France.&lt;/auth-address&gt;&lt;titles&gt;&lt;title&gt;Measurement of urinary excretion of nonisomerized and beta-isomerized forms of type I collagen breakdown products to monitor the effects of the bisphosphonate zoledronate in Paget&amp;apos;s disease&lt;/title&gt;&lt;secondary-title&gt;Arthritis Rheum&lt;/secondary-title&gt;&lt;/titles&gt;&lt;periodical&gt;&lt;full-title&gt;Arthritis Rheum&lt;/full-title&gt;&lt;abbr-1&gt;Arthritis and rheumatism&lt;/abbr-1&gt;&lt;/periodical&gt;&lt;pages&gt;354-60&lt;/pages&gt;&lt;volume&gt;41&lt;/volume&gt;&lt;number&gt;2&lt;/number&gt;&lt;edition&gt;1998/03/04&lt;/edition&gt;&lt;keywords&gt;&lt;keyword&gt;Aged&lt;/keyword&gt;&lt;keyword&gt;Aged, 80 and over&lt;/keyword&gt;&lt;keyword&gt;Biological Markers&lt;/keyword&gt;&lt;keyword&gt;Bone and Bones/metabolism&lt;/keyword&gt;&lt;keyword&gt;Collagen/blood/ metabolism/ urine&lt;/keyword&gt;&lt;keyword&gt;Collagen Type I&lt;/keyword&gt;&lt;keyword&gt;Diphosphonates/ therapeutic use&lt;/keyword&gt;&lt;keyword&gt;Female&lt;/keyword&gt;&lt;keyword&gt;Humans&lt;/keyword&gt;&lt;keyword&gt;Imidazoles/ therapeutic use&lt;/keyword&gt;&lt;keyword&gt;Isomerism&lt;/keyword&gt;&lt;keyword&gt;Male&lt;/keyword&gt;&lt;keyword&gt;Middle Aged&lt;/keyword&gt;&lt;keyword&gt;Osteitis Deformans/blood/ drug therapy/ urine&lt;/keyword&gt;&lt;keyword&gt;Peptides/blood/ urine&lt;/keyword&gt;&lt;keyword&gt;Urine/ chemistry&lt;/keyword&gt;&lt;/keywords&gt;&lt;dates&gt;&lt;year&gt;1998&lt;/year&gt;&lt;pub-dates&gt;&lt;date&gt;Feb&lt;/date&gt;&lt;/pub-dates&gt;&lt;/dates&gt;&lt;isbn&gt;0004-3591 (Print)&amp;#xD;0004-3591 (Linking)&lt;/isbn&gt;&lt;accession-num&gt;9485094&lt;/accession-num&gt;&lt;urls&gt;&lt;/urls&gt;&lt;electronic-resource-num&gt;10.1002/1529-0131(199802)41:2&amp;lt;354::aid-art20&amp;gt;3.0.co;2-5&lt;/electronic-resource-num&gt;&lt;remote-database-provider&gt;NLM&lt;/remote-database-provider&gt;&lt;language&gt;eng&lt;/language&gt;&lt;/record&gt;&lt;/Cite&gt;&lt;/EndNote&gt;</w:instrText>
      </w:r>
      <w:r w:rsidR="00A5287E">
        <w:rPr>
          <w:rFonts w:ascii="Arial" w:hAnsi="Arial" w:cs="Arial"/>
        </w:rPr>
        <w:fldChar w:fldCharType="separate"/>
      </w:r>
      <w:r w:rsidR="00066E61">
        <w:rPr>
          <w:rFonts w:ascii="Arial" w:hAnsi="Arial" w:cs="Arial"/>
          <w:noProof/>
        </w:rPr>
        <w:t>(</w:t>
      </w:r>
      <w:hyperlink w:anchor="_ENREF_484" w:tooltip="Garnero, 1998 #320" w:history="1">
        <w:r w:rsidR="003B725E">
          <w:rPr>
            <w:rFonts w:ascii="Arial" w:hAnsi="Arial" w:cs="Arial"/>
            <w:noProof/>
          </w:rPr>
          <w:t>484</w:t>
        </w:r>
      </w:hyperlink>
      <w:r w:rsidR="00066E61">
        <w:rPr>
          <w:rFonts w:ascii="Arial" w:hAnsi="Arial" w:cs="Arial"/>
          <w:noProof/>
        </w:rPr>
        <w:t>)</w:t>
      </w:r>
      <w:r w:rsidR="00A5287E">
        <w:rPr>
          <w:rFonts w:ascii="Arial" w:hAnsi="Arial" w:cs="Arial"/>
        </w:rPr>
        <w:fldChar w:fldCharType="end"/>
      </w:r>
      <w:r w:rsidR="00D26FBC">
        <w:rPr>
          <w:rFonts w:ascii="Arial" w:hAnsi="Arial" w:cs="Arial"/>
        </w:rPr>
        <w:t xml:space="preserve">. I aim to investigate the effects of ibandronate, alendronate and risedronate on the </w:t>
      </w:r>
      <w:r w:rsidR="00D26FBC" w:rsidRPr="00451D41">
        <w:rPr>
          <w:rFonts w:ascii="Arial" w:hAnsi="Arial" w:cs="Arial"/>
          <w:lang w:val="el-GR"/>
        </w:rPr>
        <w:t>α</w:t>
      </w:r>
      <w:r w:rsidR="00D26FBC" w:rsidRPr="00451D41">
        <w:rPr>
          <w:rFonts w:ascii="Arial" w:hAnsi="Arial" w:cs="Arial"/>
        </w:rPr>
        <w:t>/</w:t>
      </w:r>
      <w:r w:rsidR="00D26FBC" w:rsidRPr="00451D41">
        <w:rPr>
          <w:rFonts w:ascii="Arial" w:hAnsi="Arial" w:cs="Arial"/>
          <w:lang w:val="el-GR"/>
        </w:rPr>
        <w:t>β</w:t>
      </w:r>
      <w:r w:rsidR="00D26FBC" w:rsidRPr="00451D41">
        <w:rPr>
          <w:rFonts w:ascii="Arial" w:hAnsi="Arial" w:cs="Arial"/>
        </w:rPr>
        <w:t xml:space="preserve"> CTX rati</w:t>
      </w:r>
      <w:r w:rsidR="00D26FBC">
        <w:rPr>
          <w:rFonts w:ascii="Arial" w:hAnsi="Arial" w:cs="Arial"/>
        </w:rPr>
        <w:t>o in postmenopausal women with osteoporosis</w:t>
      </w:r>
      <w:r w:rsidR="0027508F">
        <w:rPr>
          <w:rFonts w:ascii="Arial" w:hAnsi="Arial" w:cs="Arial"/>
        </w:rPr>
        <w:t xml:space="preserve">. It may be that each bisphosphonate decreases </w:t>
      </w:r>
      <w:r w:rsidR="0027508F" w:rsidRPr="00451D41">
        <w:rPr>
          <w:rFonts w:ascii="Arial" w:hAnsi="Arial" w:cs="Arial"/>
          <w:lang w:val="el-GR"/>
        </w:rPr>
        <w:t>α</w:t>
      </w:r>
      <w:r w:rsidR="0027508F">
        <w:rPr>
          <w:rFonts w:ascii="Arial" w:hAnsi="Arial" w:cs="Arial"/>
        </w:rPr>
        <w:t xml:space="preserve"> and </w:t>
      </w:r>
      <w:r w:rsidR="0027508F" w:rsidRPr="00451D41">
        <w:rPr>
          <w:rFonts w:ascii="Arial" w:hAnsi="Arial" w:cs="Arial"/>
          <w:lang w:val="el-GR"/>
        </w:rPr>
        <w:t>β</w:t>
      </w:r>
      <w:r w:rsidR="0027508F" w:rsidRPr="00451D41">
        <w:rPr>
          <w:rFonts w:ascii="Arial" w:hAnsi="Arial" w:cs="Arial"/>
        </w:rPr>
        <w:t xml:space="preserve"> CTX</w:t>
      </w:r>
      <w:r w:rsidR="0027508F">
        <w:rPr>
          <w:rFonts w:ascii="Arial" w:hAnsi="Arial" w:cs="Arial"/>
        </w:rPr>
        <w:t xml:space="preserve"> by a different magnitude hence having different effects on the ratio. This may help further understand the mechanism of action of bisphosphonates.</w:t>
      </w:r>
    </w:p>
    <w:p w:rsidR="00A774F4" w:rsidRDefault="001B27BF" w:rsidP="003B725E">
      <w:pPr>
        <w:spacing w:line="360" w:lineRule="auto"/>
        <w:jc w:val="both"/>
        <w:rPr>
          <w:rFonts w:ascii="Arial" w:hAnsi="Arial" w:cs="Arial"/>
        </w:rPr>
      </w:pPr>
      <w:r>
        <w:rPr>
          <w:rFonts w:ascii="Arial" w:hAnsi="Arial" w:cs="Arial"/>
        </w:rPr>
        <w:t xml:space="preserve">The method used to stain, identify and quantify osteoclast precursor cells in PBMCs in postmenopausal and premenopausal women </w:t>
      </w:r>
      <w:r w:rsidR="007B57FD">
        <w:rPr>
          <w:rFonts w:ascii="Arial" w:hAnsi="Arial" w:cs="Arial"/>
        </w:rPr>
        <w:t>has been establis</w:t>
      </w:r>
      <w:r w:rsidR="00A87E30">
        <w:rPr>
          <w:rFonts w:ascii="Arial" w:hAnsi="Arial" w:cs="Arial"/>
        </w:rPr>
        <w:t xml:space="preserve">hed. </w:t>
      </w:r>
      <w:r w:rsidR="007B57FD">
        <w:rPr>
          <w:rFonts w:ascii="Arial" w:hAnsi="Arial" w:cs="Arial"/>
        </w:rPr>
        <w:t xml:space="preserve">It is straight forward to perform and can be used to assess the effects of antiresorptives and anabolic treatments on this cell population. </w:t>
      </w:r>
      <w:r w:rsidR="00A653F6">
        <w:rPr>
          <w:rFonts w:ascii="Arial" w:hAnsi="Arial" w:cs="Arial"/>
        </w:rPr>
        <w:t>Bisphosphonates, denosumab and cathepsin K inhibitors reduce BTMs by different magnit</w:t>
      </w:r>
      <w:r w:rsidR="000363E4">
        <w:rPr>
          <w:rFonts w:ascii="Arial" w:hAnsi="Arial" w:cs="Arial"/>
        </w:rPr>
        <w:t>udes and have varied effects</w:t>
      </w:r>
      <w:r w:rsidR="00A774F4">
        <w:rPr>
          <w:rFonts w:ascii="Arial" w:hAnsi="Arial" w:cs="Arial"/>
        </w:rPr>
        <w:t xml:space="preserve"> on BMD and</w:t>
      </w:r>
      <w:r w:rsidR="000363E4">
        <w:rPr>
          <w:rFonts w:ascii="Arial" w:hAnsi="Arial" w:cs="Arial"/>
        </w:rPr>
        <w:t xml:space="preserve"> fracture risk reduction. This may </w:t>
      </w:r>
      <w:r w:rsidR="00A774F4">
        <w:rPr>
          <w:rFonts w:ascii="Arial" w:hAnsi="Arial" w:cs="Arial"/>
        </w:rPr>
        <w:t xml:space="preserve">partly </w:t>
      </w:r>
      <w:r w:rsidR="000363E4">
        <w:rPr>
          <w:rFonts w:ascii="Arial" w:hAnsi="Arial" w:cs="Arial"/>
        </w:rPr>
        <w:t>be due to the effects they have</w:t>
      </w:r>
      <w:r w:rsidR="00A774F4">
        <w:rPr>
          <w:rFonts w:ascii="Arial" w:hAnsi="Arial" w:cs="Arial"/>
        </w:rPr>
        <w:t xml:space="preserve"> on a cellular level, in particular </w:t>
      </w:r>
      <w:r w:rsidR="000363E4">
        <w:rPr>
          <w:rFonts w:ascii="Arial" w:hAnsi="Arial" w:cs="Arial"/>
        </w:rPr>
        <w:t xml:space="preserve">on osteoclast precursor cells as well as on mature osteoclast </w:t>
      </w:r>
      <w:r w:rsidR="000363E4">
        <w:rPr>
          <w:rFonts w:ascii="Arial" w:hAnsi="Arial" w:cs="Arial"/>
        </w:rPr>
        <w:fldChar w:fldCharType="begin"/>
      </w:r>
      <w:r w:rsidR="00066E61">
        <w:rPr>
          <w:rFonts w:ascii="Arial" w:hAnsi="Arial" w:cs="Arial"/>
        </w:rPr>
        <w:instrText xml:space="preserve"> ADDIN EN.CITE &lt;EndNote&gt;&lt;Cite&gt;&lt;Author&gt;Russell&lt;/Author&gt;&lt;Year&gt;2015&lt;/Year&gt;&lt;RecNum&gt;335&lt;/RecNum&gt;&lt;DisplayText&gt;(485)&lt;/DisplayText&gt;&lt;record&gt;&lt;rec-number&gt;335&lt;/rec-number&gt;&lt;foreign-keys&gt;&lt;key app="EN" db-id="p9a5ttsvyvde9me5aw2x05fp5p55axf0wr90" timestamp="1434980320"&gt;335&lt;/key&gt;&lt;/foreign-keys&gt;&lt;ref-type name="Journal Article"&gt;17&lt;/ref-type&gt;&lt;contributors&gt;&lt;authors&gt;&lt;author&gt;Russell, R. G.&lt;/author&gt;&lt;/authors&gt;&lt;/contributors&gt;&lt;auth-address&gt;The Botnar Research Centre, Nuffield Department of Orthopaedics, Rheumatology and Musculoskeletal Sciences, University of Oxford, United Kingdom; The Mellanby Centre for Bone Research, University of Sheffield Medical School, Sheffield S10 2RX, United Kingdom. Electronic address: graham.russell@ndorms.ox.ac.uk.&lt;/auth-address&gt;&lt;titles&gt;&lt;title&gt;Pharmacological diversity among drugs that inhibit bone resorption&lt;/title&gt;&lt;secondary-title&gt;Curr Opin Pharmacol&lt;/secondary-title&gt;&lt;/titles&gt;&lt;periodical&gt;&lt;full-title&gt;Curr Opin Pharmacol&lt;/full-title&gt;&lt;/periodical&gt;&lt;pages&gt;115-130&lt;/pages&gt;&lt;volume&gt;22&lt;/volume&gt;&lt;edition&gt;2015/06/07&lt;/edition&gt;&lt;dates&gt;&lt;year&gt;2015&lt;/year&gt;&lt;pub-dates&gt;&lt;date&gt;Jun&lt;/date&gt;&lt;/pub-dates&gt;&lt;/dates&gt;&lt;isbn&gt;1471-4973 (Electronic)&amp;#xD;1471-4892 (Linking)&lt;/isbn&gt;&lt;accession-num&gt;26048735&lt;/accession-num&gt;&lt;urls&gt;&lt;/urls&gt;&lt;electronic-resource-num&gt;10.1016/j.coph.2015.05.005&lt;/electronic-resource-num&gt;&lt;remote-database-provider&gt;NLM&lt;/remote-database-provider&gt;&lt;language&gt;Eng&lt;/language&gt;&lt;/record&gt;&lt;/Cite&gt;&lt;/EndNote&gt;</w:instrText>
      </w:r>
      <w:r w:rsidR="000363E4">
        <w:rPr>
          <w:rFonts w:ascii="Arial" w:hAnsi="Arial" w:cs="Arial"/>
        </w:rPr>
        <w:fldChar w:fldCharType="separate"/>
      </w:r>
      <w:r w:rsidR="00066E61">
        <w:rPr>
          <w:rFonts w:ascii="Arial" w:hAnsi="Arial" w:cs="Arial"/>
          <w:noProof/>
        </w:rPr>
        <w:t>(</w:t>
      </w:r>
      <w:hyperlink w:anchor="_ENREF_485" w:tooltip="Russell, 2015 #335" w:history="1">
        <w:r w:rsidR="003B725E">
          <w:rPr>
            <w:rFonts w:ascii="Arial" w:hAnsi="Arial" w:cs="Arial"/>
            <w:noProof/>
          </w:rPr>
          <w:t>485</w:t>
        </w:r>
      </w:hyperlink>
      <w:r w:rsidR="00066E61">
        <w:rPr>
          <w:rFonts w:ascii="Arial" w:hAnsi="Arial" w:cs="Arial"/>
          <w:noProof/>
        </w:rPr>
        <w:t>)</w:t>
      </w:r>
      <w:r w:rsidR="000363E4">
        <w:rPr>
          <w:rFonts w:ascii="Arial" w:hAnsi="Arial" w:cs="Arial"/>
        </w:rPr>
        <w:fldChar w:fldCharType="end"/>
      </w:r>
      <w:r w:rsidR="000363E4">
        <w:rPr>
          <w:rFonts w:ascii="Arial" w:hAnsi="Arial" w:cs="Arial"/>
        </w:rPr>
        <w:t xml:space="preserve">. </w:t>
      </w:r>
      <w:r w:rsidR="00A774F4">
        <w:rPr>
          <w:rFonts w:ascii="Arial" w:hAnsi="Arial" w:cs="Arial"/>
        </w:rPr>
        <w:t>The data and findings from this thesis can be used as a basis for investigating these effects further.</w:t>
      </w:r>
    </w:p>
    <w:p w:rsidR="002E0D83" w:rsidRPr="001C48F2" w:rsidRDefault="002E0D83" w:rsidP="003B725E">
      <w:pPr>
        <w:spacing w:line="360" w:lineRule="auto"/>
        <w:jc w:val="both"/>
        <w:rPr>
          <w:rFonts w:ascii="Arial" w:hAnsi="Arial" w:cs="Arial"/>
        </w:rPr>
      </w:pPr>
      <w:r w:rsidRPr="001C48F2">
        <w:rPr>
          <w:rFonts w:ascii="Arial" w:hAnsi="Arial" w:cs="Arial"/>
        </w:rPr>
        <w:t>Another potential area of interest that can be further explored relates to the role of miRNAs in osteoclast</w:t>
      </w:r>
      <w:r w:rsidR="00DA32F3" w:rsidRPr="001C48F2">
        <w:rPr>
          <w:rFonts w:ascii="Arial" w:hAnsi="Arial" w:cs="Arial"/>
        </w:rPr>
        <w:t xml:space="preserve"> and osteoblast</w:t>
      </w:r>
      <w:r w:rsidRPr="001C48F2">
        <w:rPr>
          <w:rFonts w:ascii="Arial" w:hAnsi="Arial" w:cs="Arial"/>
        </w:rPr>
        <w:t xml:space="preserve"> differentiation. </w:t>
      </w:r>
      <w:r w:rsidR="00DA32F3" w:rsidRPr="001C48F2">
        <w:rPr>
          <w:rFonts w:ascii="Arial" w:hAnsi="Arial" w:cs="Arial"/>
          <w:i/>
        </w:rPr>
        <w:t xml:space="preserve">In vitro </w:t>
      </w:r>
      <w:r w:rsidR="00DA32F3" w:rsidRPr="001C48F2">
        <w:rPr>
          <w:rFonts w:ascii="Arial" w:hAnsi="Arial" w:cs="Arial"/>
        </w:rPr>
        <w:t>studies have demonstrated that s</w:t>
      </w:r>
      <w:r w:rsidR="00BF1612" w:rsidRPr="001C48F2">
        <w:rPr>
          <w:rFonts w:ascii="Arial" w:hAnsi="Arial" w:cs="Arial"/>
        </w:rPr>
        <w:t xml:space="preserve">everal miRNAs have been identified to either inhibit or enhance bone resorption and formation </w:t>
      </w:r>
      <w:r w:rsidR="00BF1612" w:rsidRPr="001C48F2">
        <w:rPr>
          <w:rFonts w:ascii="Arial" w:hAnsi="Arial" w:cs="Arial"/>
        </w:rPr>
        <w:fldChar w:fldCharType="begin"/>
      </w:r>
      <w:r w:rsidR="00066E61">
        <w:rPr>
          <w:rFonts w:ascii="Arial" w:hAnsi="Arial" w:cs="Arial"/>
        </w:rPr>
        <w:instrText xml:space="preserve"> ADDIN EN.CITE &lt;EndNote&gt;&lt;Cite&gt;&lt;Author&gt;Fang&lt;/Author&gt;&lt;Year&gt;2015&lt;/Year&gt;&lt;RecNum&gt;378&lt;/RecNum&gt;&lt;DisplayText&gt;(486)&lt;/DisplayText&gt;&lt;record&gt;&lt;rec-number&gt;378&lt;/rec-number&gt;&lt;foreign-keys&gt;&lt;key app="EN" db-id="p9a5ttsvyvde9me5aw2x05fp5p55axf0wr90" timestamp="1435756295"&gt;378&lt;/key&gt;&lt;/foreign-keys&gt;&lt;ref-type name="Journal Article"&gt;17&lt;/ref-type&gt;&lt;contributors&gt;&lt;authors&gt;&lt;author&gt;Fang, S.&lt;/author&gt;&lt;author&gt;Deng, Y.&lt;/author&gt;&lt;author&gt;Gu, P.&lt;/author&gt;&lt;author&gt;Fan, X.&lt;/author&gt;&lt;/authors&gt;&lt;/contributors&gt;&lt;auth-address&gt;Department of Ophthalmology, Shanghai Ninth People&amp;apos;s Hospital, Shanghai JiaoTong University School of Medicine, Shanghai 200011, China. fangsijie89@hotmail.com.&amp;#xD;Department of Ophthalmology, Shanghai Ninth People&amp;apos;s Hospital, Shanghai JiaoTong University School of Medicine, Shanghai 200011, China. ophden@163.com.&amp;#xD;Department of Ophthalmology, Shanghai Ninth People&amp;apos;s Hospital, Shanghai JiaoTong University School of Medicine, Shanghai 200011, China. guping2009@hotmail.com.&amp;#xD;Department of Ophthalmology, Shanghai Ninth People&amp;apos;s Hospital, Shanghai JiaoTong University School of Medicine, Shanghai 200011, China. fanxq@sh163.net.&lt;/auth-address&gt;&lt;titles&gt;&lt;title&gt;MicroRNAs regulate bone development and regeneration&lt;/title&gt;&lt;secondary-title&gt;Int J Mol Sci&lt;/secondary-title&gt;&lt;/titles&gt;&lt;periodical&gt;&lt;full-title&gt;Int J Mol Sci&lt;/full-title&gt;&lt;/periodical&gt;&lt;pages&gt;8227-53&lt;/pages&gt;&lt;volume&gt;16&lt;/volume&gt;&lt;number&gt;4&lt;/number&gt;&lt;edition&gt;2015/04/15&lt;/edition&gt;&lt;dates&gt;&lt;year&gt;2015&lt;/year&gt;&lt;/dates&gt;&lt;isbn&gt;1422-0067 (Electronic)&amp;#xD;1422-0067 (Linking)&lt;/isbn&gt;&lt;accession-num&gt;25872144&lt;/accession-num&gt;&lt;urls&gt;&lt;/urls&gt;&lt;custom2&gt;PMC4425078&lt;/custom2&gt;&lt;electronic-resource-num&gt;10.3390/ijms16048227&lt;/electronic-resource-num&gt;&lt;remote-database-provider&gt;NLM&lt;/remote-database-provider&gt;&lt;language&gt;eng&lt;/language&gt;&lt;/record&gt;&lt;/Cite&gt;&lt;/EndNote&gt;</w:instrText>
      </w:r>
      <w:r w:rsidR="00BF1612" w:rsidRPr="001C48F2">
        <w:rPr>
          <w:rFonts w:ascii="Arial" w:hAnsi="Arial" w:cs="Arial"/>
        </w:rPr>
        <w:fldChar w:fldCharType="separate"/>
      </w:r>
      <w:r w:rsidR="00066E61">
        <w:rPr>
          <w:rFonts w:ascii="Arial" w:hAnsi="Arial" w:cs="Arial"/>
          <w:noProof/>
        </w:rPr>
        <w:t>(</w:t>
      </w:r>
      <w:hyperlink w:anchor="_ENREF_486" w:tooltip="Fang, 2015 #378" w:history="1">
        <w:r w:rsidR="003B725E">
          <w:rPr>
            <w:rFonts w:ascii="Arial" w:hAnsi="Arial" w:cs="Arial"/>
            <w:noProof/>
          </w:rPr>
          <w:t>486</w:t>
        </w:r>
      </w:hyperlink>
      <w:r w:rsidR="00066E61">
        <w:rPr>
          <w:rFonts w:ascii="Arial" w:hAnsi="Arial" w:cs="Arial"/>
          <w:noProof/>
        </w:rPr>
        <w:t>)</w:t>
      </w:r>
      <w:r w:rsidR="00BF1612" w:rsidRPr="001C48F2">
        <w:rPr>
          <w:rFonts w:ascii="Arial" w:hAnsi="Arial" w:cs="Arial"/>
        </w:rPr>
        <w:fldChar w:fldCharType="end"/>
      </w:r>
      <w:r w:rsidR="00DA32F3" w:rsidRPr="001C48F2">
        <w:rPr>
          <w:rFonts w:ascii="Arial" w:hAnsi="Arial" w:cs="Arial"/>
        </w:rPr>
        <w:t xml:space="preserve">. Five miRNAs have so far be identified and are highly expressed in patients with osteoporosis, namely: miR-21, miR-23a, miR-24, miR-25, miR-100, and miR-125b </w:t>
      </w:r>
      <w:r w:rsidR="00DA32F3" w:rsidRPr="001C48F2">
        <w:rPr>
          <w:rFonts w:ascii="Arial" w:hAnsi="Arial" w:cs="Arial"/>
        </w:rPr>
        <w:fldChar w:fldCharType="begin"/>
      </w:r>
      <w:r w:rsidR="00EF6236">
        <w:rPr>
          <w:rFonts w:ascii="Arial" w:hAnsi="Arial" w:cs="Arial"/>
        </w:rPr>
        <w:instrText xml:space="preserve"> ADDIN EN.CITE &lt;EndNote&gt;&lt;Cite&gt;&lt;Author&gt;Seeliger&lt;/Author&gt;&lt;Year&gt;2014&lt;/Year&gt;&lt;RecNum&gt;38&lt;/RecNum&gt;&lt;DisplayText&gt;(44)&lt;/DisplayText&gt;&lt;record&gt;&lt;rec-number&gt;38&lt;/rec-number&gt;&lt;foreign-keys&gt;&lt;key app="EN" db-id="p9a5ttsvyvde9me5aw2x05fp5p55axf0wr90" timestamp="1417714995"&gt;38&lt;/key&gt;&lt;/foreign-keys&gt;&lt;ref-type name="Journal Article"&gt;17&lt;/ref-type&gt;&lt;contributors&gt;&lt;authors&gt;&lt;author&gt;Seeliger, C.&lt;/author&gt;&lt;author&gt;Karpinski, K.&lt;/author&gt;&lt;author&gt;Haug, A. T.&lt;/author&gt;&lt;author&gt;Vester, H.&lt;/author&gt;&lt;author&gt;Schmitt, A.&lt;/author&gt;&lt;author&gt;Bauer, J. S.&lt;/author&gt;&lt;author&gt;van Griensven, M.&lt;/author&gt;&lt;/authors&gt;&lt;/contributors&gt;&lt;auth-address&gt;Department of Experimental Trauma Surgery, Klinikum rechts der Isar, Technical University Munich, Munich, Germany.&lt;/auth-address&gt;&lt;titles&gt;&lt;title&gt;Five freely circulating miRNAs and bone tissue miRNAs are associated with osteoporotic fractures&lt;/title&gt;&lt;secondary-title&gt;J Bone Miner Res&lt;/secondary-title&gt;&lt;alt-title&gt;Journal of bone and mineral research : the official journal of the American Society for Bone and Mineral Research&lt;/alt-title&gt;&lt;/titles&gt;&lt;periodical&gt;&lt;full-title&gt;J Bone Miner Res&lt;/full-title&gt;&lt;abbr-1&gt;Journal of bone and mineral research : the official journal of the American Society for Bone and Mineral Research&lt;/abbr-1&gt;&lt;/periodical&gt;&lt;alt-periodical&gt;&lt;full-title&gt;J Bone Miner Res&lt;/full-title&gt;&lt;abbr-1&gt;Journal of bone and mineral research : the official journal of the American Society for Bone and Mineral Research&lt;/abbr-1&gt;&lt;/alt-periodical&gt;&lt;pages&gt;1718-28&lt;/pages&gt;&lt;volume&gt;29&lt;/volume&gt;&lt;number&gt;8&lt;/number&gt;&lt;edition&gt;2014/01/17&lt;/edition&gt;&lt;dates&gt;&lt;year&gt;2014&lt;/year&gt;&lt;pub-dates&gt;&lt;date&gt;Aug&lt;/date&gt;&lt;/pub-dates&gt;&lt;/dates&gt;&lt;isbn&gt;1523-4681 (Electronic)&amp;#xD;0884-0431 (Linking)&lt;/isbn&gt;&lt;accession-num&gt;24431276&lt;/accession-num&gt;&lt;urls&gt;&lt;/urls&gt;&lt;electronic-resource-num&gt;10.1002/jbmr.2175&lt;/electronic-resource-num&gt;&lt;remote-database-provider&gt;NLM&lt;/remote-database-provider&gt;&lt;language&gt;eng&lt;/language&gt;&lt;/record&gt;&lt;/Cite&gt;&lt;/EndNote&gt;</w:instrText>
      </w:r>
      <w:r w:rsidR="00DA32F3" w:rsidRPr="001C48F2">
        <w:rPr>
          <w:rFonts w:ascii="Arial" w:hAnsi="Arial" w:cs="Arial"/>
        </w:rPr>
        <w:fldChar w:fldCharType="separate"/>
      </w:r>
      <w:r w:rsidR="00EF6236">
        <w:rPr>
          <w:rFonts w:ascii="Arial" w:hAnsi="Arial" w:cs="Arial"/>
          <w:noProof/>
        </w:rPr>
        <w:t>(</w:t>
      </w:r>
      <w:hyperlink w:anchor="_ENREF_44" w:tooltip="Seeliger, 2014 #38" w:history="1">
        <w:r w:rsidR="003B725E">
          <w:rPr>
            <w:rFonts w:ascii="Arial" w:hAnsi="Arial" w:cs="Arial"/>
            <w:noProof/>
          </w:rPr>
          <w:t>44</w:t>
        </w:r>
      </w:hyperlink>
      <w:r w:rsidR="00EF6236">
        <w:rPr>
          <w:rFonts w:ascii="Arial" w:hAnsi="Arial" w:cs="Arial"/>
          <w:noProof/>
        </w:rPr>
        <w:t>)</w:t>
      </w:r>
      <w:r w:rsidR="00DA32F3" w:rsidRPr="001C48F2">
        <w:rPr>
          <w:rFonts w:ascii="Arial" w:hAnsi="Arial" w:cs="Arial"/>
        </w:rPr>
        <w:fldChar w:fldCharType="end"/>
      </w:r>
      <w:r w:rsidR="00014C14" w:rsidRPr="001C48F2">
        <w:rPr>
          <w:rFonts w:ascii="Arial" w:hAnsi="Arial" w:cs="Arial"/>
        </w:rPr>
        <w:t>. Further investigations are required on miRNAs</w:t>
      </w:r>
      <w:r w:rsidR="00F00823">
        <w:rPr>
          <w:rFonts w:ascii="Arial" w:hAnsi="Arial" w:cs="Arial"/>
        </w:rPr>
        <w:t xml:space="preserve"> to</w:t>
      </w:r>
      <w:r w:rsidR="001C48F2" w:rsidRPr="001C48F2">
        <w:rPr>
          <w:rFonts w:ascii="Arial" w:hAnsi="Arial" w:cs="Arial"/>
        </w:rPr>
        <w:t>;</w:t>
      </w:r>
      <w:r w:rsidR="00014C14" w:rsidRPr="001C48F2">
        <w:rPr>
          <w:rFonts w:ascii="Arial" w:hAnsi="Arial" w:cs="Arial"/>
        </w:rPr>
        <w:t xml:space="preserve"> i) determine levels of expression in postmenopausal women with osteoporosis compared to premenopausal women, ii) establish the effects </w:t>
      </w:r>
      <w:r w:rsidR="00F00823">
        <w:rPr>
          <w:rFonts w:ascii="Arial" w:hAnsi="Arial" w:cs="Arial"/>
        </w:rPr>
        <w:t xml:space="preserve">of </w:t>
      </w:r>
      <w:r w:rsidR="00014C14" w:rsidRPr="001C48F2">
        <w:rPr>
          <w:rFonts w:ascii="Arial" w:hAnsi="Arial" w:cs="Arial"/>
        </w:rPr>
        <w:t>antiresorptive treatments</w:t>
      </w:r>
      <w:r w:rsidR="001C48F2" w:rsidRPr="001C48F2">
        <w:rPr>
          <w:rFonts w:ascii="Arial" w:hAnsi="Arial" w:cs="Arial"/>
        </w:rPr>
        <w:t xml:space="preserve">, iii) assess the relationship with bone loss and fracture risk and iv) identify possible treatment targets. The designs of the studies and some of the methodologies/data described in this thesis may be able to partly contribute to these investigations. </w:t>
      </w:r>
    </w:p>
    <w:p w:rsidR="007E0FBA" w:rsidRPr="00AF478F" w:rsidRDefault="00A774F4" w:rsidP="00AD2E23">
      <w:pPr>
        <w:spacing w:line="360" w:lineRule="auto"/>
        <w:jc w:val="both"/>
        <w:rPr>
          <w:rFonts w:ascii="Arial" w:hAnsi="Arial" w:cs="Arial"/>
        </w:rPr>
      </w:pPr>
      <w:r>
        <w:rPr>
          <w:rFonts w:ascii="Arial" w:hAnsi="Arial" w:cs="Arial"/>
        </w:rPr>
        <w:t>Treatments for postmenopausal osteoporosis are continually being developed and investigated in o</w:t>
      </w:r>
      <w:r w:rsidR="004B7D35">
        <w:rPr>
          <w:rFonts w:ascii="Arial" w:hAnsi="Arial" w:cs="Arial"/>
        </w:rPr>
        <w:t>rder to identify</w:t>
      </w:r>
      <w:r>
        <w:rPr>
          <w:rFonts w:ascii="Arial" w:hAnsi="Arial" w:cs="Arial"/>
        </w:rPr>
        <w:t xml:space="preserve"> the ‘perfect’ treatment</w:t>
      </w:r>
      <w:r w:rsidR="004B7D35">
        <w:rPr>
          <w:rFonts w:ascii="Arial" w:hAnsi="Arial" w:cs="Arial"/>
        </w:rPr>
        <w:t>. Ideally this would reduce</w:t>
      </w:r>
      <w:r>
        <w:rPr>
          <w:rFonts w:ascii="Arial" w:hAnsi="Arial" w:cs="Arial"/>
        </w:rPr>
        <w:t xml:space="preserve"> bone resorption, increases bo</w:t>
      </w:r>
      <w:r w:rsidR="00C335C5">
        <w:rPr>
          <w:rFonts w:ascii="Arial" w:hAnsi="Arial" w:cs="Arial"/>
        </w:rPr>
        <w:t>ne formation and BMD and reduce</w:t>
      </w:r>
      <w:r>
        <w:rPr>
          <w:rFonts w:ascii="Arial" w:hAnsi="Arial" w:cs="Arial"/>
        </w:rPr>
        <w:t xml:space="preserve"> fracture risk. T</w:t>
      </w:r>
      <w:r w:rsidR="004B7D35">
        <w:rPr>
          <w:rFonts w:ascii="Arial" w:hAnsi="Arial" w:cs="Arial"/>
        </w:rPr>
        <w:t xml:space="preserve">he methods </w:t>
      </w:r>
      <w:r>
        <w:rPr>
          <w:rFonts w:ascii="Arial" w:hAnsi="Arial" w:cs="Arial"/>
        </w:rPr>
        <w:t xml:space="preserve">in </w:t>
      </w:r>
      <w:r>
        <w:rPr>
          <w:rFonts w:ascii="Arial" w:hAnsi="Arial" w:cs="Arial"/>
        </w:rPr>
        <w:lastRenderedPageBreak/>
        <w:t xml:space="preserve">this thesis </w:t>
      </w:r>
      <w:r w:rsidR="004B7D35">
        <w:rPr>
          <w:rFonts w:ascii="Arial" w:hAnsi="Arial" w:cs="Arial"/>
        </w:rPr>
        <w:t xml:space="preserve">have investigated the clinical utility of bone turnover markers and these </w:t>
      </w:r>
      <w:r>
        <w:rPr>
          <w:rFonts w:ascii="Arial" w:hAnsi="Arial" w:cs="Arial"/>
        </w:rPr>
        <w:t>can be adapted to be used in</w:t>
      </w:r>
      <w:r w:rsidR="001C48F2">
        <w:rPr>
          <w:rFonts w:ascii="Arial" w:hAnsi="Arial" w:cs="Arial"/>
        </w:rPr>
        <w:t xml:space="preserve"> ongoing and</w:t>
      </w:r>
      <w:r w:rsidR="00AF478F">
        <w:rPr>
          <w:rFonts w:ascii="Arial" w:hAnsi="Arial" w:cs="Arial"/>
        </w:rPr>
        <w:t xml:space="preserve"> future clinical trials.</w:t>
      </w:r>
    </w:p>
    <w:p w:rsidR="00AA41E0" w:rsidRDefault="00AA41E0" w:rsidP="00900F2C">
      <w:pPr>
        <w:spacing w:after="0" w:line="240" w:lineRule="auto"/>
        <w:rPr>
          <w:rFonts w:ascii="Arial" w:hAnsi="Arial" w:cs="Arial"/>
        </w:rPr>
      </w:pPr>
    </w:p>
    <w:p w:rsidR="0012156C" w:rsidRDefault="0012156C" w:rsidP="00900F2C">
      <w:pPr>
        <w:spacing w:after="0" w:line="240" w:lineRule="auto"/>
        <w:rPr>
          <w:rFonts w:ascii="Arial" w:hAnsi="Arial" w:cs="Arial"/>
        </w:rPr>
      </w:pPr>
    </w:p>
    <w:p w:rsidR="0012156C" w:rsidRDefault="0012156C" w:rsidP="00900F2C">
      <w:pPr>
        <w:spacing w:after="0" w:line="240" w:lineRule="auto"/>
        <w:rPr>
          <w:rFonts w:ascii="Arial" w:hAnsi="Arial" w:cs="Arial"/>
        </w:rPr>
      </w:pPr>
    </w:p>
    <w:p w:rsidR="002E0D83" w:rsidRDefault="002E0D83" w:rsidP="00900F2C">
      <w:pPr>
        <w:pStyle w:val="Heading1"/>
      </w:pPr>
    </w:p>
    <w:p w:rsidR="002E0D83" w:rsidRDefault="002E0D83" w:rsidP="00900F2C">
      <w:pPr>
        <w:pStyle w:val="Heading1"/>
      </w:pPr>
    </w:p>
    <w:p w:rsidR="002E0D83" w:rsidRDefault="002E0D83" w:rsidP="00900F2C">
      <w:pPr>
        <w:pStyle w:val="Heading1"/>
      </w:pPr>
    </w:p>
    <w:p w:rsidR="002E0D83" w:rsidRDefault="002E0D83" w:rsidP="00900F2C">
      <w:pPr>
        <w:pStyle w:val="Heading1"/>
      </w:pPr>
    </w:p>
    <w:p w:rsidR="002E0D83" w:rsidRDefault="002E0D83" w:rsidP="00900F2C">
      <w:pPr>
        <w:pStyle w:val="Heading1"/>
      </w:pPr>
    </w:p>
    <w:p w:rsidR="00AF478F" w:rsidRDefault="00AF478F" w:rsidP="00900F2C"/>
    <w:p w:rsidR="00AF478F" w:rsidRDefault="00AF478F" w:rsidP="00900F2C"/>
    <w:p w:rsidR="00AF478F" w:rsidRPr="00AF478F" w:rsidRDefault="00AF478F" w:rsidP="00900F2C"/>
    <w:p w:rsidR="002E0D83" w:rsidRDefault="002E0D83" w:rsidP="00900F2C">
      <w:pPr>
        <w:pStyle w:val="Heading1"/>
      </w:pPr>
    </w:p>
    <w:p w:rsidR="002E0D83" w:rsidRPr="002E0D83" w:rsidRDefault="002E0D83" w:rsidP="00900F2C"/>
    <w:p w:rsidR="002E0D83" w:rsidRDefault="002E0D83" w:rsidP="00900F2C">
      <w:pPr>
        <w:pStyle w:val="Heading1"/>
        <w:spacing w:before="0"/>
      </w:pPr>
    </w:p>
    <w:p w:rsidR="002E0D83" w:rsidRDefault="002E0D83" w:rsidP="00900F2C"/>
    <w:p w:rsidR="00704CB0" w:rsidRDefault="00704CB0" w:rsidP="00900F2C"/>
    <w:p w:rsidR="00704CB0" w:rsidRDefault="00704CB0" w:rsidP="00900F2C"/>
    <w:p w:rsidR="00704CB0" w:rsidRDefault="00704CB0" w:rsidP="00900F2C"/>
    <w:p w:rsidR="00704CB0" w:rsidRDefault="00704CB0" w:rsidP="00900F2C"/>
    <w:p w:rsidR="00704CB0" w:rsidRDefault="00704CB0" w:rsidP="00900F2C"/>
    <w:p w:rsidR="00704CB0" w:rsidRDefault="00704CB0" w:rsidP="00900F2C"/>
    <w:p w:rsidR="00704CB0" w:rsidRDefault="00704CB0" w:rsidP="00900F2C"/>
    <w:p w:rsidR="00704CB0" w:rsidRDefault="00704CB0" w:rsidP="00900F2C"/>
    <w:p w:rsidR="00704CB0" w:rsidRPr="002E0D83" w:rsidRDefault="00704CB0" w:rsidP="00900F2C"/>
    <w:p w:rsidR="0012156C" w:rsidRDefault="0012156C" w:rsidP="00AD2E23">
      <w:pPr>
        <w:pStyle w:val="Heading1"/>
        <w:spacing w:before="0"/>
        <w:jc w:val="both"/>
      </w:pPr>
      <w:bookmarkStart w:id="264" w:name="_Toc425418982"/>
      <w:r>
        <w:t>REFERENCES</w:t>
      </w:r>
      <w:bookmarkEnd w:id="264"/>
    </w:p>
    <w:p w:rsidR="003B725E" w:rsidRPr="003B725E" w:rsidRDefault="000267DF" w:rsidP="003B725E">
      <w:pPr>
        <w:pStyle w:val="EndNoteBibliography"/>
        <w:spacing w:after="0"/>
      </w:pPr>
      <w:r>
        <w:rPr>
          <w:rFonts w:ascii="Arial" w:hAnsi="Arial" w:cs="Arial"/>
        </w:rPr>
        <w:fldChar w:fldCharType="begin"/>
      </w:r>
      <w:r>
        <w:rPr>
          <w:rFonts w:ascii="Arial" w:hAnsi="Arial" w:cs="Arial"/>
        </w:rPr>
        <w:instrText xml:space="preserve"> ADDIN EN.REFLIST </w:instrText>
      </w:r>
      <w:r>
        <w:rPr>
          <w:rFonts w:ascii="Arial" w:hAnsi="Arial" w:cs="Arial"/>
        </w:rPr>
        <w:fldChar w:fldCharType="separate"/>
      </w:r>
      <w:bookmarkStart w:id="265" w:name="_ENREF_1"/>
      <w:r w:rsidR="003B725E" w:rsidRPr="003B725E">
        <w:t>1.</w:t>
      </w:r>
      <w:r w:rsidR="003B725E" w:rsidRPr="003B725E">
        <w:tab/>
        <w:t>Osteoporosis prevention, diagnosis, and therapy. NIH Consens Statement. 2000;17(1):1-45.</w:t>
      </w:r>
      <w:bookmarkEnd w:id="265"/>
    </w:p>
    <w:p w:rsidR="003B725E" w:rsidRPr="003B725E" w:rsidRDefault="003B725E" w:rsidP="003B725E">
      <w:pPr>
        <w:pStyle w:val="EndNoteBibliography"/>
        <w:spacing w:after="0"/>
      </w:pPr>
      <w:bookmarkStart w:id="266" w:name="_ENREF_2"/>
      <w:r w:rsidRPr="003B725E">
        <w:lastRenderedPageBreak/>
        <w:t>2.</w:t>
      </w:r>
      <w:r w:rsidRPr="003B725E">
        <w:tab/>
        <w:t>Prevention and management of osteoporosis. World Health Organ Tech Rep Ser. 2003;921:1-164, back cover.</w:t>
      </w:r>
      <w:bookmarkEnd w:id="266"/>
    </w:p>
    <w:p w:rsidR="003B725E" w:rsidRPr="003B725E" w:rsidRDefault="003B725E" w:rsidP="003B725E">
      <w:pPr>
        <w:pStyle w:val="EndNoteBibliography"/>
        <w:spacing w:after="0"/>
      </w:pPr>
      <w:bookmarkStart w:id="267" w:name="_ENREF_3"/>
      <w:r w:rsidRPr="003B725E">
        <w:t>3.</w:t>
      </w:r>
      <w:r w:rsidRPr="003B725E">
        <w:tab/>
        <w:t>Dennison E, Cole Z, Cooper C. Diagnosis and epidemiology of osteoporosis. Current opinion in rheumatology. 2005;17(4):456-61.</w:t>
      </w:r>
      <w:bookmarkEnd w:id="267"/>
    </w:p>
    <w:p w:rsidR="003B725E" w:rsidRPr="003B725E" w:rsidRDefault="003B725E" w:rsidP="003B725E">
      <w:pPr>
        <w:pStyle w:val="EndNoteBibliography"/>
        <w:spacing w:after="0"/>
      </w:pPr>
      <w:bookmarkStart w:id="268" w:name="_ENREF_4"/>
      <w:r w:rsidRPr="003B725E">
        <w:t>4.</w:t>
      </w:r>
      <w:r w:rsidRPr="003B725E">
        <w:tab/>
        <w:t>Kanis JA, Johnell O, Oden A, Jonsson B, De Laet C, Dawson A. Risk of hip fracture according to the World Health Organization criteria for osteopenia and osteoporosis. Bone. 2000;27(5):585-90.</w:t>
      </w:r>
      <w:bookmarkEnd w:id="268"/>
    </w:p>
    <w:p w:rsidR="003B725E" w:rsidRPr="003B725E" w:rsidRDefault="003B725E" w:rsidP="003B725E">
      <w:pPr>
        <w:pStyle w:val="EndNoteBibliography"/>
        <w:spacing w:after="0"/>
      </w:pPr>
      <w:bookmarkStart w:id="269" w:name="_ENREF_5"/>
      <w:r w:rsidRPr="003B725E">
        <w:t>5.</w:t>
      </w:r>
      <w:r w:rsidRPr="003B725E">
        <w:tab/>
        <w:t>Silverman SL. Quality-of-life issues in osteoporosis. Current rheumatology reports. 2005;7(1):39-45.</w:t>
      </w:r>
      <w:bookmarkEnd w:id="269"/>
    </w:p>
    <w:p w:rsidR="003B725E" w:rsidRPr="003B725E" w:rsidRDefault="003B725E" w:rsidP="003B725E">
      <w:pPr>
        <w:pStyle w:val="EndNoteBibliography"/>
        <w:spacing w:after="0"/>
      </w:pPr>
      <w:bookmarkStart w:id="270" w:name="_ENREF_6"/>
      <w:r w:rsidRPr="003B725E">
        <w:t>6.</w:t>
      </w:r>
      <w:r w:rsidRPr="003B725E">
        <w:tab/>
        <w:t>Geusens P. Osteoporosis: clinical features. Minerva medica. 2008;99(2):167-75.</w:t>
      </w:r>
      <w:bookmarkEnd w:id="270"/>
    </w:p>
    <w:p w:rsidR="003B725E" w:rsidRPr="003B725E" w:rsidRDefault="003B725E" w:rsidP="003B725E">
      <w:pPr>
        <w:pStyle w:val="EndNoteBibliography"/>
        <w:spacing w:after="0"/>
      </w:pPr>
      <w:bookmarkStart w:id="271" w:name="_ENREF_7"/>
      <w:r w:rsidRPr="003B725E">
        <w:t>7.</w:t>
      </w:r>
      <w:r w:rsidRPr="003B725E">
        <w:tab/>
        <w:t>Borgstrom F, Lekander I, Ivergard M, Strom O, Svedbom A, Alekna V, et al. The International Costs and Utilities Related to Osteoporotic Fractures Study (ICUROS)--quality of life during the first 4 months after fracture. Osteoporosis international : a journal established as result of cooperation between the European Foundation for Osteoporosis and the National Osteoporosis Foundation of the USA. 2013;24(3):811-23.</w:t>
      </w:r>
      <w:bookmarkEnd w:id="271"/>
    </w:p>
    <w:p w:rsidR="003B725E" w:rsidRPr="003B725E" w:rsidRDefault="003B725E" w:rsidP="003B725E">
      <w:pPr>
        <w:pStyle w:val="EndNoteBibliography"/>
        <w:spacing w:after="0"/>
      </w:pPr>
      <w:bookmarkStart w:id="272" w:name="_ENREF_8"/>
      <w:r w:rsidRPr="003B725E">
        <w:t>8.</w:t>
      </w:r>
      <w:r w:rsidRPr="003B725E">
        <w:tab/>
        <w:t>Harvey N, Dennison E, Cooper C. Osteoporosis: impact on health and economics. Nat Rev Rheumatol. 2010;6(2):99-105.</w:t>
      </w:r>
      <w:bookmarkEnd w:id="272"/>
    </w:p>
    <w:p w:rsidR="003B725E" w:rsidRPr="003B725E" w:rsidRDefault="003B725E" w:rsidP="003B725E">
      <w:pPr>
        <w:pStyle w:val="EndNoteBibliography"/>
        <w:spacing w:after="0"/>
      </w:pPr>
      <w:bookmarkStart w:id="273" w:name="_ENREF_9"/>
      <w:r w:rsidRPr="003B725E">
        <w:t>9.</w:t>
      </w:r>
      <w:r w:rsidRPr="003B725E">
        <w:tab/>
        <w:t>Assessment of fracture risk and its application to screening for postmenopausal osteoporosis. Report of a WHO Study Group. World Health Organ Tech Rep Ser. 1994;843:1-129.</w:t>
      </w:r>
      <w:bookmarkEnd w:id="273"/>
    </w:p>
    <w:p w:rsidR="003B725E" w:rsidRPr="003B725E" w:rsidRDefault="003B725E" w:rsidP="003B725E">
      <w:pPr>
        <w:pStyle w:val="EndNoteBibliography"/>
        <w:spacing w:after="0"/>
      </w:pPr>
      <w:bookmarkStart w:id="274" w:name="_ENREF_10"/>
      <w:r w:rsidRPr="003B725E">
        <w:t>10.</w:t>
      </w:r>
      <w:r w:rsidRPr="003B725E">
        <w:tab/>
        <w:t>Clarke B. Normal bone anatomy and physiology. Clinical journal of the American Society of Nephrology : CJASN. 2008;3 Suppl 3:S131-9.</w:t>
      </w:r>
      <w:bookmarkEnd w:id="274"/>
    </w:p>
    <w:p w:rsidR="003B725E" w:rsidRPr="003B725E" w:rsidRDefault="003B725E" w:rsidP="003B725E">
      <w:pPr>
        <w:pStyle w:val="EndNoteBibliography"/>
        <w:spacing w:after="0"/>
      </w:pPr>
      <w:bookmarkStart w:id="275" w:name="_ENREF_11"/>
      <w:r w:rsidRPr="003B725E">
        <w:t>11.</w:t>
      </w:r>
      <w:r w:rsidRPr="003B725E">
        <w:tab/>
        <w:t>Taichman RS. Blood and bone: two tissues whose fates are intertwined to create the hematopoietic stem-cell niche. Blood. 2005;105(7):2631-9.</w:t>
      </w:r>
      <w:bookmarkEnd w:id="275"/>
    </w:p>
    <w:p w:rsidR="003B725E" w:rsidRPr="003B725E" w:rsidRDefault="003B725E" w:rsidP="003B725E">
      <w:pPr>
        <w:pStyle w:val="EndNoteBibliography"/>
        <w:spacing w:after="0"/>
      </w:pPr>
      <w:bookmarkStart w:id="276" w:name="_ENREF_12"/>
      <w:r w:rsidRPr="003B725E">
        <w:t>12.</w:t>
      </w:r>
      <w:r w:rsidRPr="003B725E">
        <w:tab/>
        <w:t>Datta HK, Ng WF, Walker JA, Tuck SP, Varanasi SS. The cell biology of bone metabolism. Journal of clinical pathology. 2008;61(5):577-87.</w:t>
      </w:r>
      <w:bookmarkEnd w:id="276"/>
    </w:p>
    <w:p w:rsidR="003B725E" w:rsidRPr="003B725E" w:rsidRDefault="003B725E" w:rsidP="003B725E">
      <w:pPr>
        <w:pStyle w:val="EndNoteBibliography"/>
        <w:spacing w:after="0"/>
      </w:pPr>
      <w:bookmarkStart w:id="277" w:name="_ENREF_13"/>
      <w:r w:rsidRPr="003B725E">
        <w:t>13.</w:t>
      </w:r>
      <w:r w:rsidRPr="003B725E">
        <w:tab/>
        <w:t>Boskey AL. Assessment of bone mineral and matrix using backscatter electron imaging and FTIR imaging. Current osteoporosis reports. 2006;4(2):71-5.</w:t>
      </w:r>
      <w:bookmarkEnd w:id="277"/>
    </w:p>
    <w:p w:rsidR="003B725E" w:rsidRPr="003B725E" w:rsidRDefault="003B725E" w:rsidP="003B725E">
      <w:pPr>
        <w:pStyle w:val="EndNoteBibliography"/>
        <w:spacing w:after="0"/>
      </w:pPr>
      <w:bookmarkStart w:id="278" w:name="_ENREF_14"/>
      <w:r w:rsidRPr="003B725E">
        <w:t>14.</w:t>
      </w:r>
      <w:r w:rsidRPr="003B725E">
        <w:tab/>
        <w:t>Boskey AL, Robey PG. The Composition of Bone.  Primer on the Metabolic Bone Diseases and Disorders of Mineral Metabolism: John Wiley &amp; Sons, Inc.; 2013. p. 49-58.</w:t>
      </w:r>
      <w:bookmarkEnd w:id="278"/>
    </w:p>
    <w:p w:rsidR="003B725E" w:rsidRPr="003B725E" w:rsidRDefault="003B725E" w:rsidP="003B725E">
      <w:pPr>
        <w:pStyle w:val="EndNoteBibliography"/>
        <w:spacing w:after="0"/>
      </w:pPr>
      <w:bookmarkStart w:id="279" w:name="_ENREF_15"/>
      <w:r w:rsidRPr="003B725E">
        <w:t>15.</w:t>
      </w:r>
      <w:r w:rsidRPr="003B725E">
        <w:tab/>
        <w:t>Bilezikian JP, Raisz LG, Rodan GA. Principles of Bone Biology: Harcourt Academic; 2001.</w:t>
      </w:r>
      <w:bookmarkEnd w:id="279"/>
    </w:p>
    <w:p w:rsidR="003B725E" w:rsidRPr="003B725E" w:rsidRDefault="003B725E" w:rsidP="003B725E">
      <w:pPr>
        <w:pStyle w:val="EndNoteBibliography"/>
        <w:spacing w:after="0"/>
      </w:pPr>
      <w:bookmarkStart w:id="280" w:name="_ENREF_16"/>
      <w:r w:rsidRPr="003B725E">
        <w:t>16.</w:t>
      </w:r>
      <w:r w:rsidRPr="003B725E">
        <w:tab/>
        <w:t>Grynpas MD, Omelon S. Transient precursor strategy or very small biological apatite crystals? Bone. 2007;41(2):162-4.</w:t>
      </w:r>
      <w:bookmarkEnd w:id="280"/>
    </w:p>
    <w:p w:rsidR="003B725E" w:rsidRPr="003B725E" w:rsidRDefault="003B725E" w:rsidP="003B725E">
      <w:pPr>
        <w:pStyle w:val="EndNoteBibliography"/>
        <w:spacing w:after="0"/>
      </w:pPr>
      <w:bookmarkStart w:id="281" w:name="_ENREF_17"/>
      <w:r w:rsidRPr="003B725E">
        <w:t>17.</w:t>
      </w:r>
      <w:r w:rsidRPr="003B725E">
        <w:tab/>
        <w:t>Dorozhkin SV. Amorphous calcium (ortho)phosphates. Acta biomaterialia. 2010;6(12):4457-75.</w:t>
      </w:r>
      <w:bookmarkEnd w:id="281"/>
    </w:p>
    <w:p w:rsidR="003B725E" w:rsidRPr="003B725E" w:rsidRDefault="003B725E" w:rsidP="003B725E">
      <w:pPr>
        <w:pStyle w:val="EndNoteBibliography"/>
        <w:spacing w:after="0"/>
      </w:pPr>
      <w:bookmarkStart w:id="282" w:name="_ENREF_18"/>
      <w:r w:rsidRPr="003B725E">
        <w:t>18.</w:t>
      </w:r>
      <w:r w:rsidRPr="003B725E">
        <w:tab/>
        <w:t>Trackman PC. Diverse biological functions of extracellular collagen processing enzymes. Journal of cellular biochemistry. 2005;96(5):927-37.</w:t>
      </w:r>
      <w:bookmarkEnd w:id="282"/>
    </w:p>
    <w:p w:rsidR="003B725E" w:rsidRPr="003B725E" w:rsidRDefault="003B725E" w:rsidP="003B725E">
      <w:pPr>
        <w:pStyle w:val="EndNoteBibliography"/>
        <w:spacing w:after="0"/>
      </w:pPr>
      <w:bookmarkStart w:id="283" w:name="_ENREF_19"/>
      <w:r w:rsidRPr="003B725E">
        <w:t>19.</w:t>
      </w:r>
      <w:r w:rsidRPr="003B725E">
        <w:tab/>
        <w:t>Ge G, Greenspan DS. Developmental roles of the BMP1/TLD metalloproteinases. Birth defects research Part C, Embryo today : reviews. 2006;78(1):47-68.</w:t>
      </w:r>
      <w:bookmarkEnd w:id="283"/>
    </w:p>
    <w:p w:rsidR="003B725E" w:rsidRPr="003B725E" w:rsidRDefault="003B725E" w:rsidP="003B725E">
      <w:pPr>
        <w:pStyle w:val="EndNoteBibliography"/>
        <w:spacing w:after="0"/>
      </w:pPr>
      <w:bookmarkStart w:id="284" w:name="_ENREF_20"/>
      <w:r w:rsidRPr="003B725E">
        <w:t>20.</w:t>
      </w:r>
      <w:r w:rsidRPr="003B725E">
        <w:tab/>
        <w:t>Goldberg M, Boskey AL. Lipids and Biomineralizations. Progress in Histochemistry and Cytochemistry. 1996;31(2):III-187.</w:t>
      </w:r>
      <w:bookmarkEnd w:id="284"/>
    </w:p>
    <w:p w:rsidR="003B725E" w:rsidRPr="003B725E" w:rsidRDefault="003B725E" w:rsidP="003B725E">
      <w:pPr>
        <w:pStyle w:val="EndNoteBibliography"/>
        <w:spacing w:after="0"/>
      </w:pPr>
      <w:bookmarkStart w:id="285" w:name="_ENREF_21"/>
      <w:r w:rsidRPr="003B725E">
        <w:t>21.</w:t>
      </w:r>
      <w:r w:rsidRPr="003B725E">
        <w:tab/>
        <w:t>Seeman E. Age- and menopause-related bone loss compromise cortical and trabecular microstructure. J Gerontol A Biol Sci Med Sci. 2013;68(10):1218-25.</w:t>
      </w:r>
      <w:bookmarkEnd w:id="285"/>
    </w:p>
    <w:p w:rsidR="003B725E" w:rsidRPr="003B725E" w:rsidRDefault="003B725E" w:rsidP="003B725E">
      <w:pPr>
        <w:pStyle w:val="EndNoteBibliography"/>
        <w:spacing w:after="0"/>
      </w:pPr>
      <w:bookmarkStart w:id="286" w:name="_ENREF_22"/>
      <w:r w:rsidRPr="003B725E">
        <w:t>22.</w:t>
      </w:r>
      <w:r w:rsidRPr="003B725E">
        <w:tab/>
        <w:t>Boyle WJ, Simonet WS, Lacey DL. Osteoclast differentiation and activation. Nature. 2003;423(6937):337-42.</w:t>
      </w:r>
      <w:bookmarkEnd w:id="286"/>
    </w:p>
    <w:p w:rsidR="003B725E" w:rsidRPr="003B725E" w:rsidRDefault="003B725E" w:rsidP="003B725E">
      <w:pPr>
        <w:pStyle w:val="EndNoteBibliography"/>
        <w:spacing w:after="0"/>
      </w:pPr>
      <w:bookmarkStart w:id="287" w:name="_ENREF_23"/>
      <w:r w:rsidRPr="003B725E">
        <w:t>23.</w:t>
      </w:r>
      <w:r w:rsidRPr="003B725E">
        <w:tab/>
        <w:t>Akashi K, Traver D, Miyamoto T, Weissman IL. A clonogenic common myeloid progenitor that gives rise to all myeloid lineages. Nature. 2000;404(6774):193-7.</w:t>
      </w:r>
      <w:bookmarkEnd w:id="287"/>
    </w:p>
    <w:p w:rsidR="003B725E" w:rsidRPr="003B725E" w:rsidRDefault="003B725E" w:rsidP="003B725E">
      <w:pPr>
        <w:pStyle w:val="EndNoteBibliography"/>
        <w:spacing w:after="0"/>
      </w:pPr>
      <w:bookmarkStart w:id="288" w:name="_ENREF_24"/>
      <w:r w:rsidRPr="003B725E">
        <w:t>24.</w:t>
      </w:r>
      <w:r w:rsidRPr="003B725E">
        <w:tab/>
        <w:t>Clanchy FI, Holloway AC, Lari R, Cameron PU, Hamilton JA. Detection and properties of the human proliferative monocyte subpopulation. J Leukoc Biol. 2006;79(4):757-66.</w:t>
      </w:r>
      <w:bookmarkEnd w:id="288"/>
    </w:p>
    <w:p w:rsidR="003B725E" w:rsidRPr="003B725E" w:rsidRDefault="003B725E" w:rsidP="003B725E">
      <w:pPr>
        <w:pStyle w:val="EndNoteBibliography"/>
        <w:spacing w:after="0"/>
      </w:pPr>
      <w:bookmarkStart w:id="289" w:name="_ENREF_25"/>
      <w:r w:rsidRPr="003B725E">
        <w:t>25.</w:t>
      </w:r>
      <w:r w:rsidRPr="003B725E">
        <w:tab/>
        <w:t>Passlick B, Flieger D, Ziegler-Heitbrock HW. Identification and characterization of a novel monocyte subpopulation in human peripheral blood. Blood. 1989;74(7):2527-34.</w:t>
      </w:r>
      <w:bookmarkEnd w:id="289"/>
    </w:p>
    <w:p w:rsidR="003B725E" w:rsidRPr="003B725E" w:rsidRDefault="003B725E" w:rsidP="003B725E">
      <w:pPr>
        <w:pStyle w:val="EndNoteBibliography"/>
        <w:spacing w:after="0"/>
      </w:pPr>
      <w:bookmarkStart w:id="290" w:name="_ENREF_26"/>
      <w:r w:rsidRPr="003B725E">
        <w:t>26.</w:t>
      </w:r>
      <w:r w:rsidRPr="003B725E">
        <w:tab/>
        <w:t>Khosla S, Westendorf JJ, Oursler MJ. Building bone to reverse osteoporosis and repair fractures. The Journal of clinical investigation. 2008;118(2):421-8.</w:t>
      </w:r>
      <w:bookmarkEnd w:id="290"/>
    </w:p>
    <w:p w:rsidR="003B725E" w:rsidRPr="003B725E" w:rsidRDefault="003B725E" w:rsidP="003B725E">
      <w:pPr>
        <w:pStyle w:val="EndNoteBibliography"/>
        <w:spacing w:after="0"/>
      </w:pPr>
      <w:bookmarkStart w:id="291" w:name="_ENREF_27"/>
      <w:r w:rsidRPr="003B725E">
        <w:lastRenderedPageBreak/>
        <w:t>27.</w:t>
      </w:r>
      <w:r w:rsidRPr="003B725E">
        <w:tab/>
        <w:t>Muto A, Mizoguchi T, Udagawa N, Ito S, Kawahara I, Abiko Y, et al. Lineage-committed osteoclast precursors circulate in blood and settle down into bone. Journal of bone and mineral research : the official journal of the American Society for Bone and Mineral Research. 2011;26(12):2978-90.</w:t>
      </w:r>
      <w:bookmarkEnd w:id="291"/>
    </w:p>
    <w:p w:rsidR="003B725E" w:rsidRPr="003B725E" w:rsidRDefault="003B725E" w:rsidP="003B725E">
      <w:pPr>
        <w:pStyle w:val="EndNoteBibliography"/>
        <w:spacing w:after="0"/>
      </w:pPr>
      <w:bookmarkStart w:id="292" w:name="_ENREF_28"/>
      <w:r w:rsidRPr="003B725E">
        <w:t>28.</w:t>
      </w:r>
      <w:r w:rsidRPr="003B725E">
        <w:tab/>
        <w:t>Asagiri M, Takayanagi H. The molecular understanding of osteoclast differentiation. Bone. 2007;40(2):251-64.</w:t>
      </w:r>
      <w:bookmarkEnd w:id="292"/>
    </w:p>
    <w:p w:rsidR="003B725E" w:rsidRPr="003B725E" w:rsidRDefault="003B725E" w:rsidP="003B725E">
      <w:pPr>
        <w:pStyle w:val="EndNoteBibliography"/>
        <w:spacing w:after="0"/>
      </w:pPr>
      <w:bookmarkStart w:id="293" w:name="_ENREF_29"/>
      <w:r w:rsidRPr="003B725E">
        <w:t>29.</w:t>
      </w:r>
      <w:r w:rsidRPr="003B725E">
        <w:tab/>
        <w:t>Nakamura I, Takahashi N, Jimi E, Udagawa N, Suda T. Regulation of osteoclast function. Modern rheumatology / the Japan Rheumatism Association. 2012;22(2):167-77.</w:t>
      </w:r>
      <w:bookmarkEnd w:id="293"/>
    </w:p>
    <w:p w:rsidR="003B725E" w:rsidRPr="003B725E" w:rsidRDefault="003B725E" w:rsidP="003B725E">
      <w:pPr>
        <w:pStyle w:val="EndNoteBibliography"/>
        <w:spacing w:after="0"/>
      </w:pPr>
      <w:bookmarkStart w:id="294" w:name="_ENREF_30"/>
      <w:r w:rsidRPr="003B725E">
        <w:t>30.</w:t>
      </w:r>
      <w:r w:rsidRPr="003B725E">
        <w:tab/>
        <w:t>Fuller K, Owens JM, Jagger CJ, Wilson A, Moss R, Chambers TJ. Macrophage colony-stimulating factor stimulates survival and chemotactic behavior in isolated osteoclasts. The Journal of experimental medicine. 1993;178(5):1733-44.</w:t>
      </w:r>
      <w:bookmarkEnd w:id="294"/>
    </w:p>
    <w:p w:rsidR="003B725E" w:rsidRPr="003B725E" w:rsidRDefault="003B725E" w:rsidP="003B725E">
      <w:pPr>
        <w:pStyle w:val="EndNoteBibliography"/>
        <w:spacing w:after="0"/>
      </w:pPr>
      <w:bookmarkStart w:id="295" w:name="_ENREF_31"/>
      <w:r w:rsidRPr="003B725E">
        <w:t>31.</w:t>
      </w:r>
      <w:r w:rsidRPr="003B725E">
        <w:tab/>
        <w:t>Lacey DL, Timms E, Tan HL, Kelley MJ, Dunstan CR, Burgess T, et al. Osteoprotegerin ligand is a cytokine that regulates osteoclast differentiation and activation. Cell. 1998;93(2):165-76.</w:t>
      </w:r>
      <w:bookmarkEnd w:id="295"/>
    </w:p>
    <w:p w:rsidR="003B725E" w:rsidRPr="003B725E" w:rsidRDefault="003B725E" w:rsidP="003B725E">
      <w:pPr>
        <w:pStyle w:val="EndNoteBibliography"/>
        <w:spacing w:after="0"/>
      </w:pPr>
      <w:bookmarkStart w:id="296" w:name="_ENREF_32"/>
      <w:r w:rsidRPr="003B725E">
        <w:t>32.</w:t>
      </w:r>
      <w:r w:rsidRPr="003B725E">
        <w:tab/>
        <w:t>Kobayashi K, Takahashi N, Jimi E, Udagawa N, Takami M, Kotake S, et al. Tumor necrosis factor alpha stimulates osteoclast differentiation by a mechanism independent of the ODF/RANKL-RANK interaction. The Journal of experimental medicine. 2000;191(2):275-86.</w:t>
      </w:r>
      <w:bookmarkEnd w:id="296"/>
    </w:p>
    <w:p w:rsidR="003B725E" w:rsidRPr="003B725E" w:rsidRDefault="003B725E" w:rsidP="003B725E">
      <w:pPr>
        <w:pStyle w:val="EndNoteBibliography"/>
        <w:spacing w:after="0"/>
      </w:pPr>
      <w:bookmarkStart w:id="297" w:name="_ENREF_33"/>
      <w:r w:rsidRPr="003B725E">
        <w:t>33.</w:t>
      </w:r>
      <w:r w:rsidRPr="003B725E">
        <w:tab/>
        <w:t>Thomson BM, Mundy GR, Chambers TJ. Tumor necrosis factors alpha and beta induce osteoblastic cells to stimulate osteoclastic bone resorption. Journal of immunology (Baltimore, Md : 1950). 1987;138(3):775-9.</w:t>
      </w:r>
      <w:bookmarkEnd w:id="297"/>
    </w:p>
    <w:p w:rsidR="003B725E" w:rsidRPr="003B725E" w:rsidRDefault="003B725E" w:rsidP="003B725E">
      <w:pPr>
        <w:pStyle w:val="EndNoteBibliography"/>
        <w:spacing w:after="0"/>
      </w:pPr>
      <w:bookmarkStart w:id="298" w:name="_ENREF_34"/>
      <w:r w:rsidRPr="003B725E">
        <w:t>34.</w:t>
      </w:r>
      <w:r w:rsidRPr="003B725E">
        <w:tab/>
        <w:t>Li Z, Hassan MQ, Volinia S, van Wijnen AJ, Stein JL, Croce CM, et al. A microRNA signature for a BMP2-induced osteoblast lineage commitment program. Proceedings of the National Academy of Sciences of the United States of America. 2008;105(37):13906-11.</w:t>
      </w:r>
      <w:bookmarkEnd w:id="298"/>
    </w:p>
    <w:p w:rsidR="003B725E" w:rsidRPr="003B725E" w:rsidRDefault="003B725E" w:rsidP="003B725E">
      <w:pPr>
        <w:pStyle w:val="EndNoteBibliography"/>
        <w:spacing w:after="0"/>
      </w:pPr>
      <w:bookmarkStart w:id="299" w:name="_ENREF_35"/>
      <w:r w:rsidRPr="003B725E">
        <w:t>35.</w:t>
      </w:r>
      <w:r w:rsidRPr="003B725E">
        <w:tab/>
        <w:t>Inose H, Ochi H, Kimura A, Fujita K, Xu R, Sato S, et al. A microRNA regulatory mechanism of osteoblast differentiation. Proceedings of the National Academy of Sciences of the United States of America. 2009;106(49):20794-9.</w:t>
      </w:r>
      <w:bookmarkEnd w:id="299"/>
    </w:p>
    <w:p w:rsidR="003B725E" w:rsidRPr="003B725E" w:rsidRDefault="003B725E" w:rsidP="003B725E">
      <w:pPr>
        <w:pStyle w:val="EndNoteBibliography"/>
        <w:spacing w:after="0"/>
      </w:pPr>
      <w:bookmarkStart w:id="300" w:name="_ENREF_36"/>
      <w:r w:rsidRPr="003B725E">
        <w:t>36.</w:t>
      </w:r>
      <w:r w:rsidRPr="003B725E">
        <w:tab/>
        <w:t>Liu T, Qin AP, Liao B, Shao HG, Guo LJ, Xie GQ, et al. A novel microRNA regulates osteoclast differentiation via targeting protein inhibitor of activated STAT3 (PIAS3). Bone. 2014;67:156-65.</w:t>
      </w:r>
      <w:bookmarkEnd w:id="300"/>
    </w:p>
    <w:p w:rsidR="003B725E" w:rsidRPr="003B725E" w:rsidRDefault="003B725E" w:rsidP="003B725E">
      <w:pPr>
        <w:pStyle w:val="EndNoteBibliography"/>
        <w:spacing w:after="0"/>
      </w:pPr>
      <w:bookmarkStart w:id="301" w:name="_ENREF_37"/>
      <w:r w:rsidRPr="003B725E">
        <w:t>37.</w:t>
      </w:r>
      <w:r w:rsidRPr="003B725E">
        <w:tab/>
        <w:t>Papaioannou G, Mirzamohammadi F, Kobayashi T. MicroRNAs involved in bone formation. Cellular and molecular life sciences : CMLS. 2014.</w:t>
      </w:r>
      <w:bookmarkEnd w:id="301"/>
    </w:p>
    <w:p w:rsidR="003B725E" w:rsidRPr="003B725E" w:rsidRDefault="003B725E" w:rsidP="003B725E">
      <w:pPr>
        <w:pStyle w:val="EndNoteBibliography"/>
        <w:spacing w:after="0"/>
      </w:pPr>
      <w:bookmarkStart w:id="302" w:name="_ENREF_38"/>
      <w:r w:rsidRPr="003B725E">
        <w:t>38.</w:t>
      </w:r>
      <w:r w:rsidRPr="003B725E">
        <w:tab/>
        <w:t>Wu Z, Yin H, Liu T, Yan W, Li Z, Chen J, et al. MiR-126-5p regulates osteoclast differentiation and bone resorption in giant cell tumor through inhibition of MMP-13. Biochemical and biophysical research communications. 2014;443(3):944-9.</w:t>
      </w:r>
      <w:bookmarkEnd w:id="302"/>
    </w:p>
    <w:p w:rsidR="003B725E" w:rsidRPr="003B725E" w:rsidRDefault="003B725E" w:rsidP="003B725E">
      <w:pPr>
        <w:pStyle w:val="EndNoteBibliography"/>
        <w:spacing w:after="0"/>
      </w:pPr>
      <w:bookmarkStart w:id="303" w:name="_ENREF_39"/>
      <w:r w:rsidRPr="003B725E">
        <w:t>39.</w:t>
      </w:r>
      <w:r w:rsidRPr="003B725E">
        <w:tab/>
        <w:t>Xia Z, Chen C, Chen P, Xie H, Luo X. MicroRNAs and their roles in osteoclast differentiation. Frontiers of medicine. 2011;5(4):414-9.</w:t>
      </w:r>
      <w:bookmarkEnd w:id="303"/>
    </w:p>
    <w:p w:rsidR="003B725E" w:rsidRPr="003B725E" w:rsidRDefault="003B725E" w:rsidP="003B725E">
      <w:pPr>
        <w:pStyle w:val="EndNoteBibliography"/>
        <w:spacing w:after="0"/>
      </w:pPr>
      <w:bookmarkStart w:id="304" w:name="_ENREF_40"/>
      <w:r w:rsidRPr="003B725E">
        <w:t>40.</w:t>
      </w:r>
      <w:r w:rsidRPr="003B725E">
        <w:tab/>
        <w:t>Ebert MS, Sharp PA. Roles for microRNAs in conferring robustness to biological processes. Cell. 2012;149(3):515-24.</w:t>
      </w:r>
      <w:bookmarkEnd w:id="304"/>
    </w:p>
    <w:p w:rsidR="003B725E" w:rsidRPr="003B725E" w:rsidRDefault="003B725E" w:rsidP="003B725E">
      <w:pPr>
        <w:pStyle w:val="EndNoteBibliography"/>
        <w:spacing w:after="0"/>
      </w:pPr>
      <w:bookmarkStart w:id="305" w:name="_ENREF_41"/>
      <w:r w:rsidRPr="003B725E">
        <w:t>41.</w:t>
      </w:r>
      <w:r w:rsidRPr="003B725E">
        <w:tab/>
        <w:t>Nakasa T, Shibuya H, Nagata Y, Niimoto T, Ochi M. The inhibitory effect of microRNA-146a expression on bone destruction in collagen-induced arthritis. Arthritis and rheumatism. 2011;63(6):1582-90.</w:t>
      </w:r>
      <w:bookmarkEnd w:id="305"/>
    </w:p>
    <w:p w:rsidR="003B725E" w:rsidRPr="003B725E" w:rsidRDefault="003B725E" w:rsidP="003B725E">
      <w:pPr>
        <w:pStyle w:val="EndNoteBibliography"/>
        <w:spacing w:after="0"/>
      </w:pPr>
      <w:bookmarkStart w:id="306" w:name="_ENREF_42"/>
      <w:r w:rsidRPr="003B725E">
        <w:t>42.</w:t>
      </w:r>
      <w:r w:rsidRPr="003B725E">
        <w:tab/>
        <w:t>Cheng P, Chen C, He HB, Hu R, Zhou HD, Xie H, et al. miR-148a regulates osteoclastogenesis by targeting V-maf musculoaponeurotic fibrosarcoma oncogene homolog B. Journal of bone and mineral research : the official journal of the American Society for Bone and Mineral Research. 2013;28(5):1180-90.</w:t>
      </w:r>
      <w:bookmarkEnd w:id="306"/>
    </w:p>
    <w:p w:rsidR="003B725E" w:rsidRPr="003B725E" w:rsidRDefault="003B725E" w:rsidP="003B725E">
      <w:pPr>
        <w:pStyle w:val="EndNoteBibliography"/>
        <w:spacing w:after="0"/>
      </w:pPr>
      <w:bookmarkStart w:id="307" w:name="_ENREF_43"/>
      <w:r w:rsidRPr="003B725E">
        <w:t>43.</w:t>
      </w:r>
      <w:r w:rsidRPr="003B725E">
        <w:tab/>
        <w:t>Li H, Wang Z, Fu Q, Zhang J. Plasma miRNA levels correlate with sensitivity to bone mineral density in postmenopausal osteoporosis patients. Biomarkers : biochemical indicators of exposure, response, and susceptibility to chemicals. 2014;19(7):553-6.</w:t>
      </w:r>
      <w:bookmarkEnd w:id="307"/>
    </w:p>
    <w:p w:rsidR="003B725E" w:rsidRPr="003B725E" w:rsidRDefault="003B725E" w:rsidP="003B725E">
      <w:pPr>
        <w:pStyle w:val="EndNoteBibliography"/>
        <w:spacing w:after="0"/>
        <w:rPr>
          <w:lang w:val="fr-FR"/>
        </w:rPr>
      </w:pPr>
      <w:bookmarkStart w:id="308" w:name="_ENREF_44"/>
      <w:r w:rsidRPr="003B725E">
        <w:t>44.</w:t>
      </w:r>
      <w:r w:rsidRPr="003B725E">
        <w:tab/>
        <w:t xml:space="preserve">Seeliger C, Karpinski K, Haug AT, Vester H, Schmitt A, Bauer JS, et al. Five freely circulating miRNAs and bone tissue miRNAs are associated with osteoporotic fractures. Journal of bone and mineral research : the official journal of the American Society for Bone and Mineral Research. </w:t>
      </w:r>
      <w:r w:rsidRPr="003B725E">
        <w:rPr>
          <w:lang w:val="fr-FR"/>
        </w:rPr>
        <w:t>2014;29(8):1718-28.</w:t>
      </w:r>
      <w:bookmarkEnd w:id="308"/>
    </w:p>
    <w:p w:rsidR="003B725E" w:rsidRPr="003B725E" w:rsidRDefault="003B725E" w:rsidP="003B725E">
      <w:pPr>
        <w:pStyle w:val="EndNoteBibliography"/>
        <w:spacing w:after="0"/>
      </w:pPr>
      <w:bookmarkStart w:id="309" w:name="_ENREF_45"/>
      <w:r w:rsidRPr="003B725E">
        <w:rPr>
          <w:lang w:val="fr-FR"/>
        </w:rPr>
        <w:t>45.</w:t>
      </w:r>
      <w:r w:rsidRPr="003B725E">
        <w:rPr>
          <w:lang w:val="fr-FR"/>
        </w:rPr>
        <w:tab/>
        <w:t xml:space="preserve">Zhao X, Xu D, Li Y, Zhang J, Liu T, Ji Y, et al. </w:t>
      </w:r>
      <w:r w:rsidRPr="003B725E">
        <w:t>MicroRNAs regulate bone metabolism. Journal of bone and mineral metabolism. 2014;32(3):221-31.</w:t>
      </w:r>
      <w:bookmarkEnd w:id="309"/>
    </w:p>
    <w:p w:rsidR="003B725E" w:rsidRPr="003B725E" w:rsidRDefault="003B725E" w:rsidP="003B725E">
      <w:pPr>
        <w:pStyle w:val="EndNoteBibliography"/>
        <w:spacing w:after="0"/>
      </w:pPr>
      <w:bookmarkStart w:id="310" w:name="_ENREF_46"/>
      <w:r w:rsidRPr="003B725E">
        <w:lastRenderedPageBreak/>
        <w:t>46.</w:t>
      </w:r>
      <w:r w:rsidRPr="003B725E">
        <w:tab/>
        <w:t xml:space="preserve">Cao Z, Moore BT, Wang Y, Peng XH, Lappe JM, Recker RR, et al. </w:t>
      </w:r>
      <w:r w:rsidRPr="003B725E">
        <w:rPr>
          <w:lang w:val="pt-PT"/>
        </w:rPr>
        <w:t xml:space="preserve">MiR-422a as a potential cellular microRNA biomarker for postmenopausal osteoporosis. </w:t>
      </w:r>
      <w:r w:rsidRPr="003B725E">
        <w:t>PloS one. 2014;9(5):e97098.</w:t>
      </w:r>
      <w:bookmarkEnd w:id="310"/>
    </w:p>
    <w:p w:rsidR="003B725E" w:rsidRPr="003B725E" w:rsidRDefault="003B725E" w:rsidP="003B725E">
      <w:pPr>
        <w:pStyle w:val="EndNoteBibliography"/>
        <w:spacing w:after="0"/>
      </w:pPr>
      <w:bookmarkStart w:id="311" w:name="_ENREF_47"/>
      <w:r w:rsidRPr="003B725E">
        <w:t>47.</w:t>
      </w:r>
      <w:r w:rsidRPr="003B725E">
        <w:tab/>
        <w:t>Ross FP, Teitelbaum SL. alphavbeta3 and macrophage colony-stimulating factor: partners in osteoclast biology. Immunological reviews. 2005;208:88-105.</w:t>
      </w:r>
      <w:bookmarkEnd w:id="311"/>
    </w:p>
    <w:p w:rsidR="003B725E" w:rsidRPr="003B725E" w:rsidRDefault="003B725E" w:rsidP="003B725E">
      <w:pPr>
        <w:pStyle w:val="EndNoteBibliography"/>
        <w:spacing w:after="0"/>
      </w:pPr>
      <w:bookmarkStart w:id="312" w:name="_ENREF_48"/>
      <w:r w:rsidRPr="003B725E">
        <w:t>48.</w:t>
      </w:r>
      <w:r w:rsidRPr="003B725E">
        <w:tab/>
        <w:t>McHugh KP, Hodivala-Dilke K, Zheng MH, Namba N, Lam J, Novack D, et al. Mice lacking beta3 integrins are osteosclerotic because of dysfunctional osteoclasts. The Journal of clinical investigation. 2000;105(4):433-40.</w:t>
      </w:r>
      <w:bookmarkEnd w:id="312"/>
    </w:p>
    <w:p w:rsidR="003B725E" w:rsidRPr="003B725E" w:rsidRDefault="003B725E" w:rsidP="003B725E">
      <w:pPr>
        <w:pStyle w:val="EndNoteBibliography"/>
        <w:spacing w:after="0"/>
      </w:pPr>
      <w:bookmarkStart w:id="313" w:name="_ENREF_49"/>
      <w:r w:rsidRPr="003B725E">
        <w:t>49.</w:t>
      </w:r>
      <w:r w:rsidRPr="003B725E">
        <w:tab/>
        <w:t>Teitelbaum SL. Osteoporosis and integrins. The Journal of clinical endocrinology and metabolism. 2005;90(4):2466-8.</w:t>
      </w:r>
      <w:bookmarkEnd w:id="313"/>
    </w:p>
    <w:p w:rsidR="003B725E" w:rsidRPr="003B725E" w:rsidRDefault="003B725E" w:rsidP="003B725E">
      <w:pPr>
        <w:pStyle w:val="EndNoteBibliography"/>
        <w:spacing w:after="0"/>
      </w:pPr>
      <w:bookmarkStart w:id="314" w:name="_ENREF_50"/>
      <w:r w:rsidRPr="003B725E">
        <w:t>50.</w:t>
      </w:r>
      <w:r w:rsidRPr="003B725E">
        <w:tab/>
        <w:t>Vaananen HK, Zhao H, Mulari M, Halleen JM. The cell biology of osteoclast function. J Cell Sci. 2000;113 ( Pt 3):377-81.</w:t>
      </w:r>
      <w:bookmarkEnd w:id="314"/>
    </w:p>
    <w:p w:rsidR="003B725E" w:rsidRPr="003B725E" w:rsidRDefault="003B725E" w:rsidP="003B725E">
      <w:pPr>
        <w:pStyle w:val="EndNoteBibliography"/>
        <w:spacing w:after="0"/>
      </w:pPr>
      <w:bookmarkStart w:id="315" w:name="_ENREF_51"/>
      <w:r w:rsidRPr="003B725E">
        <w:t>51.</w:t>
      </w:r>
      <w:r w:rsidRPr="003B725E">
        <w:tab/>
        <w:t>Teitelbaum SL, Cao X, Mimura H, Chiba M, Ross FP. Cellular and molecular mechanisms of bone resorption. Mineral and electrolyte metabolism. 1995;21(1-3):193-6.</w:t>
      </w:r>
      <w:bookmarkEnd w:id="315"/>
    </w:p>
    <w:p w:rsidR="003B725E" w:rsidRPr="003B725E" w:rsidRDefault="003B725E" w:rsidP="003B725E">
      <w:pPr>
        <w:pStyle w:val="EndNoteBibliography"/>
        <w:spacing w:after="0"/>
      </w:pPr>
      <w:bookmarkStart w:id="316" w:name="_ENREF_52"/>
      <w:r w:rsidRPr="003B725E">
        <w:t>52.</w:t>
      </w:r>
      <w:r w:rsidRPr="003B725E">
        <w:tab/>
        <w:t>Ross FP. Osteoclast Biology and Bone Resorption.  Primer on the Metabolic Bone Diseases and Disorders of Mineral Metabolism: John Wiley &amp; Sons, Inc.; 2013. p. 25-33.</w:t>
      </w:r>
      <w:bookmarkEnd w:id="316"/>
    </w:p>
    <w:p w:rsidR="003B725E" w:rsidRPr="003B725E" w:rsidRDefault="003B725E" w:rsidP="003B725E">
      <w:pPr>
        <w:pStyle w:val="EndNoteBibliography"/>
        <w:spacing w:after="0"/>
      </w:pPr>
      <w:bookmarkStart w:id="317" w:name="_ENREF_53"/>
      <w:r w:rsidRPr="003B725E">
        <w:t>53.</w:t>
      </w:r>
      <w:r w:rsidRPr="003B725E">
        <w:tab/>
        <w:t>Zhao B, Ivashkiv LB. Negative regulation of osteoclastogenesis and bone resorption by cytokines and transcriptional repressors. Arthritis Res Ther. 2011;13(4):234.</w:t>
      </w:r>
      <w:bookmarkEnd w:id="317"/>
    </w:p>
    <w:p w:rsidR="003B725E" w:rsidRPr="003B725E" w:rsidRDefault="003B725E" w:rsidP="003B725E">
      <w:pPr>
        <w:pStyle w:val="EndNoteBibliography"/>
        <w:spacing w:after="0"/>
      </w:pPr>
      <w:bookmarkStart w:id="318" w:name="_ENREF_54"/>
      <w:r w:rsidRPr="003B725E">
        <w:t>54.</w:t>
      </w:r>
      <w:r w:rsidRPr="003B725E">
        <w:tab/>
        <w:t>Hofbauer LC, Khosla S, Dunstan CR, Lacey DL, Boyle WJ, Riggs BL. The roles of osteoprotegerin and osteoprotegerin ligand in the paracrine regulation of bone resorption. Journal of bone and mineral research : the official journal of the American Society for Bone and Mineral Research. 2000;15(1):2-12.</w:t>
      </w:r>
      <w:bookmarkEnd w:id="318"/>
    </w:p>
    <w:p w:rsidR="003B725E" w:rsidRPr="003B725E" w:rsidRDefault="003B725E" w:rsidP="003B725E">
      <w:pPr>
        <w:pStyle w:val="EndNoteBibliography"/>
        <w:spacing w:after="0"/>
      </w:pPr>
      <w:bookmarkStart w:id="319" w:name="_ENREF_55"/>
      <w:r w:rsidRPr="003B725E">
        <w:t>55.</w:t>
      </w:r>
      <w:r w:rsidRPr="003B725E">
        <w:tab/>
        <w:t>Eriksen EF. Cellular mechanisms of bone remodeling. Reviews in endocrine &amp; metabolic disorders. 2010;11(4):219-27.</w:t>
      </w:r>
      <w:bookmarkEnd w:id="319"/>
    </w:p>
    <w:p w:rsidR="003B725E" w:rsidRPr="003B725E" w:rsidRDefault="003B725E" w:rsidP="003B725E">
      <w:pPr>
        <w:pStyle w:val="EndNoteBibliography"/>
        <w:spacing w:after="0"/>
      </w:pPr>
      <w:bookmarkStart w:id="320" w:name="_ENREF_56"/>
      <w:r w:rsidRPr="003B725E">
        <w:t>56.</w:t>
      </w:r>
      <w:r w:rsidRPr="003B725E">
        <w:tab/>
        <w:t>Stuss M, Rieske P, Ceglowska A, Stepien-Klos W, Liberski PP, Brzezianska E, et al. Assessment of OPG/RANK/RANKL gene expression levels in peripheral blood mononuclear cells (PBMC) after treatment with strontium ranelate and ibandronate in patients with postmenopausal osteoporosis. The Journal of clinical endocrinology and metabolism. 2013;98(5):E1007-11.</w:t>
      </w:r>
      <w:bookmarkEnd w:id="320"/>
    </w:p>
    <w:p w:rsidR="003B725E" w:rsidRPr="003B725E" w:rsidRDefault="003B725E" w:rsidP="003B725E">
      <w:pPr>
        <w:pStyle w:val="EndNoteBibliography"/>
        <w:spacing w:after="0"/>
      </w:pPr>
      <w:bookmarkStart w:id="321" w:name="_ENREF_57"/>
      <w:r w:rsidRPr="003B725E">
        <w:t>57.</w:t>
      </w:r>
      <w:r w:rsidRPr="003B725E">
        <w:tab/>
        <w:t>LaCroix AZ, Jackson RD, Aragaki A, Kooperberg C, Cauley JA, Chen Z, et al. OPG and sRANKL serum levels and incident hip fracture in postmenopausal Caucasian women in the Women's Health Initiative Observational Study. Bone. 2013;56(2):474-81.</w:t>
      </w:r>
      <w:bookmarkEnd w:id="321"/>
    </w:p>
    <w:p w:rsidR="003B725E" w:rsidRPr="003B725E" w:rsidRDefault="003B725E" w:rsidP="003B725E">
      <w:pPr>
        <w:pStyle w:val="EndNoteBibliography"/>
        <w:spacing w:after="0"/>
      </w:pPr>
      <w:bookmarkStart w:id="322" w:name="_ENREF_58"/>
      <w:r w:rsidRPr="003B725E">
        <w:t>58.</w:t>
      </w:r>
      <w:r w:rsidRPr="003B725E">
        <w:tab/>
        <w:t>Tu P, Duan P, Zhang RS, Xu DB, Wang Y, Wu HP, et al. Polymorphisms in genes in the RANKL/RANK/OPG pathway are associated with bone mineral density at different skeletal sites in post-menopausal women. Osteoporosis international : a journal established as result of cooperation between the European Foundation for Osteoporosis and the National Osteoporosis Foundation of the USA. 2014.</w:t>
      </w:r>
      <w:bookmarkEnd w:id="322"/>
    </w:p>
    <w:p w:rsidR="003B725E" w:rsidRPr="003B725E" w:rsidRDefault="003B725E" w:rsidP="003B725E">
      <w:pPr>
        <w:pStyle w:val="EndNoteBibliography"/>
        <w:spacing w:after="0"/>
      </w:pPr>
      <w:bookmarkStart w:id="323" w:name="_ENREF_59"/>
      <w:r w:rsidRPr="003B725E">
        <w:t>59.</w:t>
      </w:r>
      <w:r w:rsidRPr="003B725E">
        <w:tab/>
        <w:t>Eghbali-Fatourechi G, Khosla S, Sanyal A, Boyle WJ, Lacey DL, Riggs BL. Role of RANK ligand in mediating increased bone resorption in early postmenopausal women. The Journal of clinical investigation. 2003;111(8):1221-30.</w:t>
      </w:r>
      <w:bookmarkEnd w:id="323"/>
    </w:p>
    <w:p w:rsidR="003B725E" w:rsidRPr="003B725E" w:rsidRDefault="003B725E" w:rsidP="003B725E">
      <w:pPr>
        <w:pStyle w:val="EndNoteBibliography"/>
        <w:spacing w:after="0"/>
      </w:pPr>
      <w:bookmarkStart w:id="324" w:name="_ENREF_60"/>
      <w:r w:rsidRPr="003B725E">
        <w:t>60.</w:t>
      </w:r>
      <w:r w:rsidRPr="003B725E">
        <w:tab/>
        <w:t>Schieferdecker A, Voigt M, Riecken K, Braig F, Schinke T, Loges S, et al. Denosumab mimics the natural decoy receptor osteoprotegerin by interacting with its major binding site on RANKL. Oncotarget. 2014.</w:t>
      </w:r>
      <w:bookmarkEnd w:id="324"/>
    </w:p>
    <w:p w:rsidR="003B725E" w:rsidRPr="003B725E" w:rsidRDefault="003B725E" w:rsidP="003B725E">
      <w:pPr>
        <w:pStyle w:val="EndNoteBibliography"/>
        <w:spacing w:after="0"/>
      </w:pPr>
      <w:bookmarkStart w:id="325" w:name="_ENREF_61"/>
      <w:r w:rsidRPr="003B725E">
        <w:t>61.</w:t>
      </w:r>
      <w:r w:rsidRPr="003B725E">
        <w:tab/>
        <w:t>Mackie EJ. Osteoblasts: novel roles in orchestration of skeletal architecture. The international journal of biochemistry &amp; cell biology. 2003;35(9):1301-5.</w:t>
      </w:r>
      <w:bookmarkEnd w:id="325"/>
    </w:p>
    <w:p w:rsidR="003B725E" w:rsidRPr="003B725E" w:rsidRDefault="003B725E" w:rsidP="003B725E">
      <w:pPr>
        <w:pStyle w:val="EndNoteBibliography"/>
        <w:spacing w:after="0"/>
      </w:pPr>
      <w:bookmarkStart w:id="326" w:name="_ENREF_62"/>
      <w:r w:rsidRPr="003B725E">
        <w:t>62.</w:t>
      </w:r>
      <w:r w:rsidRPr="003B725E">
        <w:tab/>
        <w:t>Hesse E, Saito H, Kiviranta R, Correa D, Yamana K, Neff L, et al. Zfp521 controls bone mass by HDAC3-dependent attenuation of Runx2 activity. The Journal of cell biology. 2010;191(7):1271-83.</w:t>
      </w:r>
      <w:bookmarkEnd w:id="326"/>
    </w:p>
    <w:p w:rsidR="003B725E" w:rsidRPr="003B725E" w:rsidRDefault="003B725E" w:rsidP="003B725E">
      <w:pPr>
        <w:pStyle w:val="EndNoteBibliography"/>
        <w:spacing w:after="0"/>
      </w:pPr>
      <w:bookmarkStart w:id="327" w:name="_ENREF_63"/>
      <w:r w:rsidRPr="003B725E">
        <w:t>63.</w:t>
      </w:r>
      <w:r w:rsidRPr="003B725E">
        <w:tab/>
        <w:t>Bi W, Deng JM, Zhang Z, Behringer RR, de Crombrugghe B. Sox9 is required for cartilage formation. Nature genetics. 1999;22(1):85-9.</w:t>
      </w:r>
      <w:bookmarkEnd w:id="327"/>
    </w:p>
    <w:p w:rsidR="003B725E" w:rsidRPr="003B725E" w:rsidRDefault="003B725E" w:rsidP="003B725E">
      <w:pPr>
        <w:pStyle w:val="EndNoteBibliography"/>
        <w:spacing w:after="0"/>
      </w:pPr>
      <w:bookmarkStart w:id="328" w:name="_ENREF_64"/>
      <w:r w:rsidRPr="003B725E">
        <w:t>64.</w:t>
      </w:r>
      <w:r w:rsidRPr="003B725E">
        <w:tab/>
        <w:t>Akiyama H, Chaboissier MC, Martin JF, Schedl A, de Crombrugghe B. The transcription factor Sox9 has essential roles in successive steps of the chondrocyte differentiation pathway and is required for expression of Sox5 and Sox6. Genes &amp; development. 2002;16(21):2813-28.</w:t>
      </w:r>
      <w:bookmarkEnd w:id="328"/>
    </w:p>
    <w:p w:rsidR="003B725E" w:rsidRPr="003B725E" w:rsidRDefault="003B725E" w:rsidP="003B725E">
      <w:pPr>
        <w:pStyle w:val="EndNoteBibliography"/>
        <w:spacing w:after="0"/>
      </w:pPr>
      <w:bookmarkStart w:id="329" w:name="_ENREF_65"/>
      <w:r w:rsidRPr="003B725E">
        <w:lastRenderedPageBreak/>
        <w:t>65.</w:t>
      </w:r>
      <w:r w:rsidRPr="003B725E">
        <w:tab/>
        <w:t>Harada H, Tagashira S, Fujiwara M, Ogawa S, Katsumata T, Yamaguchi A, et al. Cbfa1 isoforms exert functional differences in osteoblast differentiation. The Journal of biological chemistry. 1999;274(11):6972-8.</w:t>
      </w:r>
      <w:bookmarkEnd w:id="329"/>
    </w:p>
    <w:p w:rsidR="003B725E" w:rsidRPr="003B725E" w:rsidRDefault="003B725E" w:rsidP="003B725E">
      <w:pPr>
        <w:pStyle w:val="EndNoteBibliography"/>
        <w:spacing w:after="0"/>
      </w:pPr>
      <w:bookmarkStart w:id="330" w:name="_ENREF_66"/>
      <w:r w:rsidRPr="003B725E">
        <w:t>66.</w:t>
      </w:r>
      <w:r w:rsidRPr="003B725E">
        <w:tab/>
        <w:t>Kern B, Shen J, Starbuck M, Karsenty G. Cbfa1 contributes to the osteoblast-specific expression of type I collagen genes. The Journal of biological chemistry. 2001;276(10):7101-7.</w:t>
      </w:r>
      <w:bookmarkEnd w:id="330"/>
    </w:p>
    <w:p w:rsidR="003B725E" w:rsidRPr="003B725E" w:rsidRDefault="003B725E" w:rsidP="003B725E">
      <w:pPr>
        <w:pStyle w:val="EndNoteBibliography"/>
        <w:spacing w:after="0"/>
      </w:pPr>
      <w:bookmarkStart w:id="331" w:name="_ENREF_67"/>
      <w:r w:rsidRPr="003B725E">
        <w:t>67.</w:t>
      </w:r>
      <w:r w:rsidRPr="003B725E">
        <w:tab/>
        <w:t>Otto F, Thornell AP, Crompton T, Denzel A, Gilmour KC, Rosewell IR, et al. Cbfa1, a candidate gene for cleidocranial dysplasia syndrome, is essential for osteoblast differentiation and bone development. Cell. 1997;89(5):765-71.</w:t>
      </w:r>
      <w:bookmarkEnd w:id="331"/>
    </w:p>
    <w:p w:rsidR="003B725E" w:rsidRPr="003B725E" w:rsidRDefault="003B725E" w:rsidP="003B725E">
      <w:pPr>
        <w:pStyle w:val="EndNoteBibliography"/>
        <w:spacing w:after="0"/>
      </w:pPr>
      <w:bookmarkStart w:id="332" w:name="_ENREF_68"/>
      <w:r w:rsidRPr="003B725E">
        <w:t>68.</w:t>
      </w:r>
      <w:r w:rsidRPr="003B725E">
        <w:tab/>
        <w:t>Nakashima K, Zhou X, Kunkel G, Zhang Z, Deng JM, Behringer RR, et al. The novel zinc finger-containing transcription factor osterix is required for osteoblast differentiation and bone formation. Cell. 2002;108(1):17-29.</w:t>
      </w:r>
      <w:bookmarkEnd w:id="332"/>
    </w:p>
    <w:p w:rsidR="003B725E" w:rsidRPr="003B725E" w:rsidRDefault="003B725E" w:rsidP="003B725E">
      <w:pPr>
        <w:pStyle w:val="EndNoteBibliography"/>
        <w:spacing w:after="0"/>
      </w:pPr>
      <w:bookmarkStart w:id="333" w:name="_ENREF_69"/>
      <w:r w:rsidRPr="003B725E">
        <w:t>69.</w:t>
      </w:r>
      <w:r w:rsidRPr="003B725E">
        <w:tab/>
        <w:t>Chen D, Zhao M, Mundy GR. Bone morphogenetic proteins. Growth factors (Chur, Switzerland). 2004;22(4):233-41.</w:t>
      </w:r>
      <w:bookmarkEnd w:id="333"/>
    </w:p>
    <w:p w:rsidR="003B725E" w:rsidRPr="003B725E" w:rsidRDefault="003B725E" w:rsidP="003B725E">
      <w:pPr>
        <w:pStyle w:val="EndNoteBibliography"/>
        <w:spacing w:after="0"/>
      </w:pPr>
      <w:bookmarkStart w:id="334" w:name="_ENREF_70"/>
      <w:r w:rsidRPr="003B725E">
        <w:t>70.</w:t>
      </w:r>
      <w:r w:rsidRPr="003B725E">
        <w:tab/>
        <w:t>Gazzerro E, Canalis E. Bone morphogenetic proteins and their antagonists. Reviews in endocrine &amp; metabolic disorders. 2006;7(1-2):51-65.</w:t>
      </w:r>
      <w:bookmarkEnd w:id="334"/>
    </w:p>
    <w:p w:rsidR="003B725E" w:rsidRPr="003B725E" w:rsidRDefault="003B725E" w:rsidP="003B725E">
      <w:pPr>
        <w:pStyle w:val="EndNoteBibliography"/>
        <w:spacing w:after="0"/>
      </w:pPr>
      <w:bookmarkStart w:id="335" w:name="_ENREF_71"/>
      <w:r w:rsidRPr="003B725E">
        <w:t>71.</w:t>
      </w:r>
      <w:r w:rsidRPr="003B725E">
        <w:tab/>
        <w:t>Janssens K, ten Dijke P, Janssens S, Van Hul W. Transforming growth factor-beta1 to the bone. Endocrine reviews. 2005;26(6):743-74.</w:t>
      </w:r>
      <w:bookmarkEnd w:id="335"/>
    </w:p>
    <w:p w:rsidR="003B725E" w:rsidRPr="003B725E" w:rsidRDefault="003B725E" w:rsidP="003B725E">
      <w:pPr>
        <w:pStyle w:val="EndNoteBibliography"/>
        <w:spacing w:after="0"/>
      </w:pPr>
      <w:bookmarkStart w:id="336" w:name="_ENREF_72"/>
      <w:r w:rsidRPr="003B725E">
        <w:t>72.</w:t>
      </w:r>
      <w:r w:rsidRPr="003B725E">
        <w:tab/>
        <w:t>Sims NA, Martin TJ. Coupling the activities of bone formation and resorption: a multitude of signals within the basic multicellular unit. Bonekey Rep. 2014;3:481.</w:t>
      </w:r>
      <w:bookmarkEnd w:id="336"/>
    </w:p>
    <w:p w:rsidR="003B725E" w:rsidRPr="003B725E" w:rsidRDefault="003B725E" w:rsidP="003B725E">
      <w:pPr>
        <w:pStyle w:val="EndNoteBibliography"/>
        <w:spacing w:after="0"/>
      </w:pPr>
      <w:bookmarkStart w:id="337" w:name="_ENREF_73"/>
      <w:r w:rsidRPr="003B725E">
        <w:t>73.</w:t>
      </w:r>
      <w:r w:rsidRPr="003B725E">
        <w:tab/>
        <w:t>Capulli M, Paone R, Rucci N. Osteoblast and osteocyte: games without frontiers. Archives of biochemistry and biophysics. 2014;561:3-12.</w:t>
      </w:r>
      <w:bookmarkEnd w:id="337"/>
    </w:p>
    <w:p w:rsidR="003B725E" w:rsidRPr="003B725E" w:rsidRDefault="003B725E" w:rsidP="003B725E">
      <w:pPr>
        <w:pStyle w:val="EndNoteBibliography"/>
        <w:spacing w:after="0"/>
      </w:pPr>
      <w:bookmarkStart w:id="338" w:name="_ENREF_74"/>
      <w:r w:rsidRPr="003B725E">
        <w:t>74.</w:t>
      </w:r>
      <w:r w:rsidRPr="003B725E">
        <w:tab/>
        <w:t>Russell RG, Fleisch H. Pyrophosphate and diphosphonates in skeletal metabolism. Physiological, clinical and therapeutic aspects. Clin Orthop Relat Res. 1975(108):241-63.</w:t>
      </w:r>
      <w:bookmarkEnd w:id="338"/>
    </w:p>
    <w:p w:rsidR="003B725E" w:rsidRPr="003B725E" w:rsidRDefault="003B725E" w:rsidP="003B725E">
      <w:pPr>
        <w:pStyle w:val="EndNoteBibliography"/>
        <w:spacing w:after="0"/>
      </w:pPr>
      <w:bookmarkStart w:id="339" w:name="_ENREF_75"/>
      <w:r w:rsidRPr="003B725E">
        <w:t>75.</w:t>
      </w:r>
      <w:r w:rsidRPr="003B725E">
        <w:tab/>
        <w:t>Noble BS. The osteocyte lineage. Archives of biochemistry and biophysics. 2008;473(2):106-11.</w:t>
      </w:r>
      <w:bookmarkEnd w:id="339"/>
    </w:p>
    <w:p w:rsidR="003B725E" w:rsidRPr="003B725E" w:rsidRDefault="003B725E" w:rsidP="003B725E">
      <w:pPr>
        <w:pStyle w:val="EndNoteBibliography"/>
        <w:spacing w:after="0"/>
      </w:pPr>
      <w:bookmarkStart w:id="340" w:name="_ENREF_76"/>
      <w:r w:rsidRPr="003B725E">
        <w:t>76.</w:t>
      </w:r>
      <w:r w:rsidRPr="003B725E">
        <w:tab/>
        <w:t>Bonewald LF, Kneissel M, Johnson M. Preface: The Osteocyte. Bone. 2013;54(2):181.</w:t>
      </w:r>
      <w:bookmarkEnd w:id="340"/>
    </w:p>
    <w:p w:rsidR="003B725E" w:rsidRPr="003B725E" w:rsidRDefault="003B725E" w:rsidP="003B725E">
      <w:pPr>
        <w:pStyle w:val="EndNoteBibliography"/>
        <w:spacing w:after="0"/>
      </w:pPr>
      <w:bookmarkStart w:id="341" w:name="_ENREF_77"/>
      <w:r w:rsidRPr="003B725E">
        <w:t>77.</w:t>
      </w:r>
      <w:r w:rsidRPr="003B725E">
        <w:tab/>
        <w:t>Owen M. Uptake of [3H] uridine into precursor pools and RNA in osteogenic cells. Journal of cell science. 1967;2(1):39-56.</w:t>
      </w:r>
      <w:bookmarkEnd w:id="341"/>
    </w:p>
    <w:p w:rsidR="003B725E" w:rsidRPr="003B725E" w:rsidRDefault="003B725E" w:rsidP="003B725E">
      <w:pPr>
        <w:pStyle w:val="EndNoteBibliography"/>
        <w:spacing w:after="0"/>
      </w:pPr>
      <w:bookmarkStart w:id="342" w:name="_ENREF_78"/>
      <w:r w:rsidRPr="003B725E">
        <w:t>78.</w:t>
      </w:r>
      <w:r w:rsidRPr="003B725E">
        <w:tab/>
        <w:t>Poole KE, van Bezooijen RL, Loveridge N, Hamersma H, Papapoulos SE, Lowik CW, et al. Sclerostin is a delayed secreted product of osteocytes that inhibits bone formation. FASEB journal : official publication of the Federation of American Societies for Experimental Biology. 2005;19(13):1842-4.</w:t>
      </w:r>
      <w:bookmarkEnd w:id="342"/>
    </w:p>
    <w:p w:rsidR="003B725E" w:rsidRPr="003B725E" w:rsidRDefault="003B725E" w:rsidP="003B725E">
      <w:pPr>
        <w:pStyle w:val="EndNoteBibliography"/>
        <w:spacing w:after="0"/>
      </w:pPr>
      <w:bookmarkStart w:id="343" w:name="_ENREF_79"/>
      <w:r w:rsidRPr="003B725E">
        <w:t>79.</w:t>
      </w:r>
      <w:r w:rsidRPr="003B725E">
        <w:tab/>
        <w:t>Toyosawa S, Shintani S, Fujiwara T, Ooshima T, Sato A, Ijuhin N, et al. Dentin matrix protein 1 is predominantly expressed in chicken and rat osteocytes but not in osteoblasts. Journal of bone and mineral research : the official journal of the American Society for Bone and Mineral Research. 2001;16(11):2017-26.</w:t>
      </w:r>
      <w:bookmarkEnd w:id="343"/>
    </w:p>
    <w:p w:rsidR="003B725E" w:rsidRPr="003B725E" w:rsidRDefault="003B725E" w:rsidP="003B725E">
      <w:pPr>
        <w:pStyle w:val="EndNoteBibliography"/>
        <w:spacing w:after="0"/>
      </w:pPr>
      <w:bookmarkStart w:id="344" w:name="_ENREF_80"/>
      <w:r w:rsidRPr="003B725E">
        <w:t>80.</w:t>
      </w:r>
      <w:r w:rsidRPr="003B725E">
        <w:tab/>
        <w:t>Burra S, Nicolella DP, Jiang JX. Dark horse in osteocyte biology: Glycocalyx around the dendrites is critical for osteocyte mechanosensing. Commun Integr Biol. 2011;4(1):48-50.</w:t>
      </w:r>
      <w:bookmarkEnd w:id="344"/>
    </w:p>
    <w:p w:rsidR="003B725E" w:rsidRPr="003B725E" w:rsidRDefault="003B725E" w:rsidP="003B725E">
      <w:pPr>
        <w:pStyle w:val="EndNoteBibliography"/>
        <w:spacing w:after="0"/>
      </w:pPr>
      <w:bookmarkStart w:id="345" w:name="_ENREF_81"/>
      <w:r w:rsidRPr="003B725E">
        <w:t>81.</w:t>
      </w:r>
      <w:r w:rsidRPr="003B725E">
        <w:tab/>
        <w:t>Buenzli PR, Sims NA. Quantifying the osteocyte network in the human skeleton. Bone. 2015;75:144-50.</w:t>
      </w:r>
      <w:bookmarkEnd w:id="345"/>
    </w:p>
    <w:p w:rsidR="003B725E" w:rsidRPr="003B725E" w:rsidRDefault="003B725E" w:rsidP="003B725E">
      <w:pPr>
        <w:pStyle w:val="EndNoteBibliography"/>
        <w:spacing w:after="0"/>
      </w:pPr>
      <w:bookmarkStart w:id="346" w:name="_ENREF_82"/>
      <w:r w:rsidRPr="003B725E">
        <w:t>82.</w:t>
      </w:r>
      <w:r w:rsidRPr="003B725E">
        <w:tab/>
        <w:t>Civitelli R. Cell-cell communication in the osteoblast/osteocyte lineage. Archives of biochemistry and biophysics. 2008;473(2):188-92.</w:t>
      </w:r>
      <w:bookmarkEnd w:id="346"/>
    </w:p>
    <w:p w:rsidR="003B725E" w:rsidRPr="003B725E" w:rsidRDefault="003B725E" w:rsidP="003B725E">
      <w:pPr>
        <w:pStyle w:val="EndNoteBibliography"/>
        <w:spacing w:after="0"/>
      </w:pPr>
      <w:bookmarkStart w:id="347" w:name="_ENREF_83"/>
      <w:r w:rsidRPr="003B725E">
        <w:t>83.</w:t>
      </w:r>
      <w:r w:rsidRPr="003B725E">
        <w:tab/>
        <w:t>Knothe Tate ML, Adamson JR, Tami AE, Bauer TW. The osteocyte. The international journal of biochemistry &amp; cell biology. 2004;36(1):1-8.</w:t>
      </w:r>
      <w:bookmarkEnd w:id="347"/>
    </w:p>
    <w:p w:rsidR="003B725E" w:rsidRPr="003B725E" w:rsidRDefault="003B725E" w:rsidP="003B725E">
      <w:pPr>
        <w:pStyle w:val="EndNoteBibliography"/>
        <w:spacing w:after="0"/>
      </w:pPr>
      <w:bookmarkStart w:id="348" w:name="_ENREF_84"/>
      <w:r w:rsidRPr="003B725E">
        <w:t>84.</w:t>
      </w:r>
      <w:r w:rsidRPr="003B725E">
        <w:tab/>
        <w:t>Price C, Zhou X, Li W, Wang L. Real-time measurement of solute transport within the lacunar-canalicular system of mechanically loaded bone: direct evidence for load-induced fluid flow. Journal of bone and mineral research : the official journal of the American Society for Bone and Mineral Research. 2011;26(2):277-85.</w:t>
      </w:r>
      <w:bookmarkEnd w:id="348"/>
    </w:p>
    <w:p w:rsidR="003B725E" w:rsidRPr="003B725E" w:rsidRDefault="003B725E" w:rsidP="003B725E">
      <w:pPr>
        <w:pStyle w:val="EndNoteBibliography"/>
        <w:spacing w:after="0"/>
      </w:pPr>
      <w:bookmarkStart w:id="349" w:name="_ENREF_85"/>
      <w:r w:rsidRPr="003B725E">
        <w:t>85.</w:t>
      </w:r>
      <w:r w:rsidRPr="003B725E">
        <w:tab/>
        <w:t>Harris SE, Gluhak-Heinrich J, Harris MA, Yang W, Bonewald LF, Riha D, et al. DMP1 and MEPE expression are elevated in osteocytes after mechanical loading in vivo: theoretical role in controlling mineral quality in the perilacunar matrix. Journal of musculoskeletal &amp; neuronal interactions. 2007;7(4):313-5.</w:t>
      </w:r>
      <w:bookmarkEnd w:id="349"/>
    </w:p>
    <w:p w:rsidR="003B725E" w:rsidRPr="003B725E" w:rsidRDefault="003B725E" w:rsidP="003B725E">
      <w:pPr>
        <w:pStyle w:val="EndNoteBibliography"/>
        <w:spacing w:after="0"/>
      </w:pPr>
      <w:bookmarkStart w:id="350" w:name="_ENREF_86"/>
      <w:r w:rsidRPr="003B725E">
        <w:t>86.</w:t>
      </w:r>
      <w:r w:rsidRPr="003B725E">
        <w:tab/>
        <w:t xml:space="preserve">Xiao Z, Dallas M, Qiu N, Nicolella D, Cao L, Johnson M, et al. Conditional deletion of Pkd1 in osteocytes disrupts skeletal mechanosensing in mice. FASEB journal : official </w:t>
      </w:r>
      <w:r w:rsidRPr="003B725E">
        <w:lastRenderedPageBreak/>
        <w:t>publication of the Federation of American Societies for Experimental Biology. 2011;25(7):2418-32.</w:t>
      </w:r>
      <w:bookmarkEnd w:id="350"/>
    </w:p>
    <w:p w:rsidR="003B725E" w:rsidRPr="003B725E" w:rsidRDefault="003B725E" w:rsidP="003B725E">
      <w:pPr>
        <w:pStyle w:val="EndNoteBibliography"/>
        <w:spacing w:after="0"/>
      </w:pPr>
      <w:bookmarkStart w:id="351" w:name="_ENREF_87"/>
      <w:r w:rsidRPr="003B725E">
        <w:t>87.</w:t>
      </w:r>
      <w:r w:rsidRPr="003B725E">
        <w:tab/>
        <w:t>Spatz JM, Ellman R, Cloutier AM, Louis L, van Vliet M, Suva LJ, et al. Sclerostin antibody inhibits skeletal deterioration due to reduced mechanical loading. Journal of bone and mineral research : the official journal of the American Society for Bone and Mineral Research. 2013;28(4):865-74.</w:t>
      </w:r>
      <w:bookmarkEnd w:id="351"/>
    </w:p>
    <w:p w:rsidR="003B725E" w:rsidRPr="003B725E" w:rsidRDefault="003B725E" w:rsidP="003B725E">
      <w:pPr>
        <w:pStyle w:val="EndNoteBibliography"/>
        <w:spacing w:after="0"/>
      </w:pPr>
      <w:bookmarkStart w:id="352" w:name="_ENREF_88"/>
      <w:r w:rsidRPr="003B725E">
        <w:t>88.</w:t>
      </w:r>
      <w:r w:rsidRPr="003B725E">
        <w:tab/>
        <w:t>Sakai A. [Mechanical stress and Wnt signal]. Clinical calcium. 2013;23(6):839-45.</w:t>
      </w:r>
      <w:bookmarkEnd w:id="352"/>
    </w:p>
    <w:p w:rsidR="003B725E" w:rsidRPr="003B725E" w:rsidRDefault="003B725E" w:rsidP="003B725E">
      <w:pPr>
        <w:pStyle w:val="EndNoteBibliography"/>
        <w:spacing w:after="0"/>
      </w:pPr>
      <w:bookmarkStart w:id="353" w:name="_ENREF_89"/>
      <w:r w:rsidRPr="003B725E">
        <w:t>89.</w:t>
      </w:r>
      <w:r w:rsidRPr="003B725E">
        <w:tab/>
        <w:t>Tu X, Rhee Y, Condon KW, Bivi N, Allen MR, Dwyer D, et al. Sost downregulation and local Wnt signaling are required for the osteogenic response to mechanical loading. Bone. 2012;50(1):209-17.</w:t>
      </w:r>
      <w:bookmarkEnd w:id="353"/>
    </w:p>
    <w:p w:rsidR="003B725E" w:rsidRPr="003B725E" w:rsidRDefault="003B725E" w:rsidP="003B725E">
      <w:pPr>
        <w:pStyle w:val="EndNoteBibliography"/>
        <w:spacing w:after="0"/>
      </w:pPr>
      <w:bookmarkStart w:id="354" w:name="_ENREF_90"/>
      <w:r w:rsidRPr="003B725E">
        <w:t>90.</w:t>
      </w:r>
      <w:r w:rsidRPr="003B725E">
        <w:tab/>
        <w:t>Kido R, Matsumoto T. [Space flight/bedrest immobilization and bone. Signaling cascade induced by mechanical stress]. Clinical calcium. 2012;22(12):1837-43.</w:t>
      </w:r>
      <w:bookmarkEnd w:id="354"/>
    </w:p>
    <w:p w:rsidR="003B725E" w:rsidRPr="003B725E" w:rsidRDefault="003B725E" w:rsidP="003B725E">
      <w:pPr>
        <w:pStyle w:val="EndNoteBibliography"/>
        <w:spacing w:after="0"/>
      </w:pPr>
      <w:bookmarkStart w:id="355" w:name="_ENREF_91"/>
      <w:r w:rsidRPr="003B725E">
        <w:t>91.</w:t>
      </w:r>
      <w:r w:rsidRPr="003B725E">
        <w:tab/>
        <w:t>Rodan GA. Introduction to bone biology. Bone. 1992;13 Suppl 1:S3-6.</w:t>
      </w:r>
      <w:bookmarkEnd w:id="355"/>
    </w:p>
    <w:p w:rsidR="003B725E" w:rsidRPr="003B725E" w:rsidRDefault="003B725E" w:rsidP="003B725E">
      <w:pPr>
        <w:pStyle w:val="EndNoteBibliography"/>
        <w:spacing w:after="0"/>
      </w:pPr>
      <w:bookmarkStart w:id="356" w:name="_ENREF_92"/>
      <w:r w:rsidRPr="003B725E">
        <w:t>92.</w:t>
      </w:r>
      <w:r w:rsidRPr="003B725E">
        <w:tab/>
        <w:t>Nakashima T, Hayashi M, Fukunaga T, Kurata K, Oh-Hora M, Feng JQ, et al. Evidence for osteocyte regulation of bone homeostasis through RANKL expression. Nature medicine. 2011;17(10):1231-4.</w:t>
      </w:r>
      <w:bookmarkEnd w:id="356"/>
    </w:p>
    <w:p w:rsidR="003B725E" w:rsidRPr="003B725E" w:rsidRDefault="003B725E" w:rsidP="003B725E">
      <w:pPr>
        <w:pStyle w:val="EndNoteBibliography"/>
        <w:spacing w:after="0"/>
      </w:pPr>
      <w:bookmarkStart w:id="357" w:name="_ENREF_93"/>
      <w:r w:rsidRPr="003B725E">
        <w:t>93.</w:t>
      </w:r>
      <w:r w:rsidRPr="003B725E">
        <w:tab/>
        <w:t>Kramer I, Halleux C, Keller H, Pegurri M, Gooi JH, Weber PB, et al. Osteocyte Wnt/beta-catenin signaling is required for normal bone homeostasis. Molecular and cellular biology. 2010;30(12):3071-85.</w:t>
      </w:r>
      <w:bookmarkEnd w:id="357"/>
    </w:p>
    <w:p w:rsidR="003B725E" w:rsidRPr="003B725E" w:rsidRDefault="003B725E" w:rsidP="003B725E">
      <w:pPr>
        <w:pStyle w:val="EndNoteBibliography"/>
        <w:spacing w:after="0"/>
      </w:pPr>
      <w:bookmarkStart w:id="358" w:name="_ENREF_94"/>
      <w:r w:rsidRPr="003B725E">
        <w:t>94.</w:t>
      </w:r>
      <w:r w:rsidRPr="003B725E">
        <w:tab/>
        <w:t>Harris SE, MacDougall M, Horn D, Woodruff K, Zimmer SN, Rebel VI, et al. Meox2Cre-mediated disruption of CSF-1 leads to osteopetrosis and osteocyte defects. Bone. 2012;50(1):42-53.</w:t>
      </w:r>
      <w:bookmarkEnd w:id="358"/>
    </w:p>
    <w:p w:rsidR="003B725E" w:rsidRPr="003B725E" w:rsidRDefault="003B725E" w:rsidP="003B725E">
      <w:pPr>
        <w:pStyle w:val="EndNoteBibliography"/>
        <w:spacing w:after="0"/>
      </w:pPr>
      <w:bookmarkStart w:id="359" w:name="_ENREF_95"/>
      <w:r w:rsidRPr="003B725E">
        <w:t>95.</w:t>
      </w:r>
      <w:r w:rsidRPr="003B725E">
        <w:tab/>
        <w:t>Yoshiko Y, Wang H, Minamizaki T, Ijuin C, Yamamoto R, Suemune S, et al. Mineralized tissue cells are a principal source of FGF23. Bone. 2007;40(6):1565-73.</w:t>
      </w:r>
      <w:bookmarkEnd w:id="359"/>
    </w:p>
    <w:p w:rsidR="003B725E" w:rsidRPr="003B725E" w:rsidRDefault="003B725E" w:rsidP="003B725E">
      <w:pPr>
        <w:pStyle w:val="EndNoteBibliography"/>
        <w:spacing w:after="0"/>
      </w:pPr>
      <w:bookmarkStart w:id="360" w:name="_ENREF_96"/>
      <w:r w:rsidRPr="003B725E">
        <w:t>96.</w:t>
      </w:r>
      <w:r w:rsidRPr="003B725E">
        <w:tab/>
        <w:t>Feng JQ, Ward LM, Liu S, Lu Y, Xie Y, Yuan B, et al. Loss of DMP1 causes rickets and osteomalacia and identifies a role for osteocytes in mineral metabolism. Nature genetics. 2006;38(11):1310-5.</w:t>
      </w:r>
      <w:bookmarkEnd w:id="360"/>
    </w:p>
    <w:p w:rsidR="003B725E" w:rsidRPr="003B725E" w:rsidRDefault="003B725E" w:rsidP="003B725E">
      <w:pPr>
        <w:pStyle w:val="EndNoteBibliography"/>
        <w:spacing w:after="0"/>
      </w:pPr>
      <w:bookmarkStart w:id="361" w:name="_ENREF_97"/>
      <w:r w:rsidRPr="003B725E">
        <w:t>97.</w:t>
      </w:r>
      <w:r w:rsidRPr="003B725E">
        <w:tab/>
        <w:t>Wang H, Yoshiko Y, Yamamoto R, Minamizaki T, Kozai K, Tanne K, et al. Overexpression of fibroblast growth factor 23 suppresses osteoblast differentiation and matrix mineralization in vitro. Journal of bone and mineral research : the official journal of the American Society for Bone and Mineral Research. 2008;23(6):939-48.</w:t>
      </w:r>
      <w:bookmarkEnd w:id="361"/>
    </w:p>
    <w:p w:rsidR="003B725E" w:rsidRPr="003B725E" w:rsidRDefault="003B725E" w:rsidP="003B725E">
      <w:pPr>
        <w:pStyle w:val="EndNoteBibliography"/>
        <w:spacing w:after="0"/>
      </w:pPr>
      <w:bookmarkStart w:id="362" w:name="_ENREF_98"/>
      <w:r w:rsidRPr="003B725E">
        <w:t>98.</w:t>
      </w:r>
      <w:r w:rsidRPr="003B725E">
        <w:tab/>
        <w:t>Quarles LD. Endocrine functions of bone in mineral metabolism regulation. The Journal of clinical investigation. 2008;118(12):3820-8.</w:t>
      </w:r>
      <w:bookmarkEnd w:id="362"/>
    </w:p>
    <w:p w:rsidR="003B725E" w:rsidRPr="003B725E" w:rsidRDefault="003B725E" w:rsidP="003B725E">
      <w:pPr>
        <w:pStyle w:val="EndNoteBibliography"/>
        <w:spacing w:after="0"/>
      </w:pPr>
      <w:bookmarkStart w:id="363" w:name="_ENREF_99"/>
      <w:r w:rsidRPr="003B725E">
        <w:t>99.</w:t>
      </w:r>
      <w:r w:rsidRPr="003B725E">
        <w:tab/>
        <w:t>Jilka RL, Noble B, Weinstein RS. Osteocyte apoptosis. Bone. 2013;54(2):264-71.</w:t>
      </w:r>
      <w:bookmarkEnd w:id="363"/>
    </w:p>
    <w:p w:rsidR="003B725E" w:rsidRPr="003B725E" w:rsidRDefault="003B725E" w:rsidP="003B725E">
      <w:pPr>
        <w:pStyle w:val="EndNoteBibliography"/>
        <w:spacing w:after="0"/>
      </w:pPr>
      <w:bookmarkStart w:id="364" w:name="_ENREF_100"/>
      <w:r w:rsidRPr="003B725E">
        <w:t>100.</w:t>
      </w:r>
      <w:r w:rsidRPr="003B725E">
        <w:tab/>
        <w:t>Weinstein RS, Nicholas RW, Manolagas SC. Apoptosis of osteocytes in glucocorticoid-induced osteonecrosis of the hip. The Journal of clinical endocrinology and metabolism. 2000;85(8):2907-12.</w:t>
      </w:r>
      <w:bookmarkEnd w:id="364"/>
    </w:p>
    <w:p w:rsidR="003B725E" w:rsidRPr="003B725E" w:rsidRDefault="003B725E" w:rsidP="003B725E">
      <w:pPr>
        <w:pStyle w:val="EndNoteBibliography"/>
        <w:spacing w:after="0"/>
      </w:pPr>
      <w:bookmarkStart w:id="365" w:name="_ENREF_101"/>
      <w:r w:rsidRPr="003B725E">
        <w:t>101.</w:t>
      </w:r>
      <w:r w:rsidRPr="003B725E">
        <w:tab/>
        <w:t>Brennan MA, Haugh MG, O'Brien FJ, McNamara LM. Estrogen withdrawal from osteoblasts and osteocytes causes increased mineralization and apoptosis. Hormone and metabolic research = Hormon- und Stoffwechselforschung = Hormones et metabolisme. 2014;46(8):537-45.</w:t>
      </w:r>
      <w:bookmarkEnd w:id="365"/>
    </w:p>
    <w:p w:rsidR="003B725E" w:rsidRPr="003B725E" w:rsidRDefault="003B725E" w:rsidP="003B725E">
      <w:pPr>
        <w:pStyle w:val="EndNoteBibliography"/>
        <w:spacing w:after="0"/>
      </w:pPr>
      <w:bookmarkStart w:id="366" w:name="_ENREF_102"/>
      <w:r w:rsidRPr="003B725E">
        <w:t>102.</w:t>
      </w:r>
      <w:r w:rsidRPr="003B725E">
        <w:tab/>
        <w:t>Clevers H. Wnt/beta-catenin signaling in development and disease. Cell. 2006;127(3):469-80.</w:t>
      </w:r>
      <w:bookmarkEnd w:id="366"/>
    </w:p>
    <w:p w:rsidR="003B725E" w:rsidRPr="003B725E" w:rsidRDefault="003B725E" w:rsidP="003B725E">
      <w:pPr>
        <w:pStyle w:val="EndNoteBibliography"/>
        <w:spacing w:after="0"/>
      </w:pPr>
      <w:bookmarkStart w:id="367" w:name="_ENREF_103"/>
      <w:r w:rsidRPr="003B725E">
        <w:t>103.</w:t>
      </w:r>
      <w:r w:rsidRPr="003B725E">
        <w:tab/>
        <w:t>Hill TP, Spater D, Taketo MM, Birchmeier W, Hartmann C. Canonical Wnt/beta-catenin signaling prevents osteoblasts from differentiating into chondrocytes. Developmental cell. 2005;8(5):727-38.</w:t>
      </w:r>
      <w:bookmarkEnd w:id="367"/>
    </w:p>
    <w:p w:rsidR="003B725E" w:rsidRPr="003B725E" w:rsidRDefault="003B725E" w:rsidP="003B725E">
      <w:pPr>
        <w:pStyle w:val="EndNoteBibliography"/>
        <w:spacing w:after="0"/>
        <w:rPr>
          <w:lang w:val="it-IT"/>
        </w:rPr>
      </w:pPr>
      <w:bookmarkStart w:id="368" w:name="_ENREF_104"/>
      <w:r w:rsidRPr="003B725E">
        <w:t>104.</w:t>
      </w:r>
      <w:r w:rsidRPr="003B725E">
        <w:tab/>
        <w:t xml:space="preserve">Kobayashi Y. [Roles of Wnt signaling in bone metabolism]. </w:t>
      </w:r>
      <w:r w:rsidRPr="003B725E">
        <w:rPr>
          <w:lang w:val="it-IT"/>
        </w:rPr>
        <w:t>Clinical calcium. 2012;22(11):1701-6.</w:t>
      </w:r>
      <w:bookmarkEnd w:id="368"/>
    </w:p>
    <w:p w:rsidR="003B725E" w:rsidRPr="003B725E" w:rsidRDefault="003B725E" w:rsidP="003B725E">
      <w:pPr>
        <w:pStyle w:val="EndNoteBibliography"/>
        <w:spacing w:after="0"/>
      </w:pPr>
      <w:bookmarkStart w:id="369" w:name="_ENREF_105"/>
      <w:r w:rsidRPr="003B725E">
        <w:rPr>
          <w:lang w:val="it-IT"/>
        </w:rPr>
        <w:t>105.</w:t>
      </w:r>
      <w:r w:rsidRPr="003B725E">
        <w:rPr>
          <w:lang w:val="it-IT"/>
        </w:rPr>
        <w:tab/>
        <w:t xml:space="preserve">Williams BO, Insogna KL. </w:t>
      </w:r>
      <w:r w:rsidRPr="003B725E">
        <w:t>Where Wnts went: the exploding field of Lrp5 and Lrp6 signaling in bone. Journal of bone and mineral research : the official journal of the American Society for Bone and Mineral Research. 2009;24(2):171-8.</w:t>
      </w:r>
      <w:bookmarkEnd w:id="369"/>
    </w:p>
    <w:p w:rsidR="003B725E" w:rsidRPr="003B725E" w:rsidRDefault="003B725E" w:rsidP="003B725E">
      <w:pPr>
        <w:pStyle w:val="EndNoteBibliography"/>
        <w:spacing w:after="0"/>
      </w:pPr>
      <w:bookmarkStart w:id="370" w:name="_ENREF_106"/>
      <w:r w:rsidRPr="003B725E">
        <w:t>106.</w:t>
      </w:r>
      <w:r w:rsidRPr="003B725E">
        <w:tab/>
        <w:t>Joiner DM, Ke J, Zhong Z, Xu HE, Williams BO. LRP5 and LRP6 in development and disease. Trends in endocrinology and metabolism: TEM. 2013;24(1):31-9.</w:t>
      </w:r>
      <w:bookmarkEnd w:id="370"/>
    </w:p>
    <w:p w:rsidR="003B725E" w:rsidRPr="003B725E" w:rsidRDefault="003B725E" w:rsidP="003B725E">
      <w:pPr>
        <w:pStyle w:val="EndNoteBibliography"/>
        <w:spacing w:after="0"/>
      </w:pPr>
      <w:bookmarkStart w:id="371" w:name="_ENREF_107"/>
      <w:r w:rsidRPr="003B725E">
        <w:lastRenderedPageBreak/>
        <w:t>107.</w:t>
      </w:r>
      <w:r w:rsidRPr="003B725E">
        <w:tab/>
        <w:t>Boyden LM, Mao J, Belsky J, Mitzner L, Farhi A, Mitnick MA, et al. High bone density due to a mutation in LDL-receptor-related protein 5. The New England journal of medicine. 2002;346(20):1513-21.</w:t>
      </w:r>
      <w:bookmarkEnd w:id="371"/>
    </w:p>
    <w:p w:rsidR="003B725E" w:rsidRPr="003B725E" w:rsidRDefault="003B725E" w:rsidP="003B725E">
      <w:pPr>
        <w:pStyle w:val="EndNoteBibliography"/>
        <w:spacing w:after="0"/>
      </w:pPr>
      <w:bookmarkStart w:id="372" w:name="_ENREF_108"/>
      <w:r w:rsidRPr="003B725E">
        <w:t>108.</w:t>
      </w:r>
      <w:r w:rsidRPr="003B725E">
        <w:tab/>
        <w:t>Van Wesenbeeck L, Cleiren E, Gram J, Beals RK, Benichou O, Scopelliti D, et al. Six novel missense mutations in the LDL receptor-related protein 5 (LRP5) gene in different conditions with an increased bone density. American journal of human genetics. 2003;72(3):763-71.</w:t>
      </w:r>
      <w:bookmarkEnd w:id="372"/>
    </w:p>
    <w:p w:rsidR="003B725E" w:rsidRPr="003B725E" w:rsidRDefault="003B725E" w:rsidP="003B725E">
      <w:pPr>
        <w:pStyle w:val="EndNoteBibliography"/>
        <w:spacing w:after="0"/>
      </w:pPr>
      <w:bookmarkStart w:id="373" w:name="_ENREF_109"/>
      <w:r w:rsidRPr="003B725E">
        <w:t>109.</w:t>
      </w:r>
      <w:r w:rsidRPr="003B725E">
        <w:tab/>
        <w:t>Bennett CN, Longo KA, Wright WS, Suva LJ, Lane TF, Hankenson KD, et al. Regulation of osteoblastogenesis and bone mass by Wnt10b. Proceedings of the National Academy of Sciences of the United States of America. 2005;102(9):3324-9.</w:t>
      </w:r>
      <w:bookmarkEnd w:id="373"/>
    </w:p>
    <w:p w:rsidR="003B725E" w:rsidRPr="003B725E" w:rsidRDefault="003B725E" w:rsidP="003B725E">
      <w:pPr>
        <w:pStyle w:val="EndNoteBibliography"/>
        <w:spacing w:after="0"/>
      </w:pPr>
      <w:bookmarkStart w:id="374" w:name="_ENREF_110"/>
      <w:r w:rsidRPr="003B725E">
        <w:t>110.</w:t>
      </w:r>
      <w:r w:rsidRPr="003B725E">
        <w:tab/>
        <w:t>Zhang Y, Wang Y, Li X, Zhang J, Mao J, Li Z, et al. The LRP5 high-bone-mass G171V mutation disrupts LRP5 interaction with Mesd. Molecular and cellular biology. 2004;24(11):4677-84.</w:t>
      </w:r>
      <w:bookmarkEnd w:id="374"/>
    </w:p>
    <w:p w:rsidR="003B725E" w:rsidRPr="003B725E" w:rsidRDefault="003B725E" w:rsidP="003B725E">
      <w:pPr>
        <w:pStyle w:val="EndNoteBibliography"/>
        <w:spacing w:after="0"/>
        <w:rPr>
          <w:lang w:val="nl-NL"/>
        </w:rPr>
      </w:pPr>
      <w:bookmarkStart w:id="375" w:name="_ENREF_111"/>
      <w:r w:rsidRPr="003B725E">
        <w:t>111.</w:t>
      </w:r>
      <w:r w:rsidRPr="003B725E">
        <w:tab/>
        <w:t xml:space="preserve">Ellies DL, Viviano B, McCarthy J, Rey JP, Itasaki N, Saunders S, et al. Bone density ligand, Sclerostin, directly interacts with LRP5 but not LRP5G171V to modulate Wnt activity. Journal of bone and mineral research : the official journal of the American Society for Bone and Mineral Research. </w:t>
      </w:r>
      <w:r w:rsidRPr="003B725E">
        <w:rPr>
          <w:lang w:val="nl-NL"/>
        </w:rPr>
        <w:t>2006;21(11):1738-49.</w:t>
      </w:r>
      <w:bookmarkEnd w:id="375"/>
    </w:p>
    <w:p w:rsidR="003B725E" w:rsidRPr="003B725E" w:rsidRDefault="003B725E" w:rsidP="003B725E">
      <w:pPr>
        <w:pStyle w:val="EndNoteBibliography"/>
        <w:spacing w:after="0"/>
      </w:pPr>
      <w:bookmarkStart w:id="376" w:name="_ENREF_112"/>
      <w:r w:rsidRPr="003B725E">
        <w:rPr>
          <w:lang w:val="nl-NL"/>
        </w:rPr>
        <w:t>112.</w:t>
      </w:r>
      <w:r w:rsidRPr="003B725E">
        <w:rPr>
          <w:lang w:val="nl-NL"/>
        </w:rPr>
        <w:tab/>
        <w:t xml:space="preserve">Bodine PV, Zhao W, Kharode YP, Bex FJ, Lambert AJ, Goad MB, et al. </w:t>
      </w:r>
      <w:r w:rsidRPr="003B725E">
        <w:t>The Wnt antagonist secreted frizzled-related protein-1 is a negative regulator of trabecular bone formation in adult mice. Molecular endocrinology (Baltimore, Md). 2004;18(5):1222-37.</w:t>
      </w:r>
      <w:bookmarkEnd w:id="376"/>
    </w:p>
    <w:p w:rsidR="003B725E" w:rsidRPr="003B725E" w:rsidRDefault="003B725E" w:rsidP="003B725E">
      <w:pPr>
        <w:pStyle w:val="EndNoteBibliography"/>
        <w:spacing w:after="0"/>
      </w:pPr>
      <w:bookmarkStart w:id="377" w:name="_ENREF_113"/>
      <w:r w:rsidRPr="003B725E">
        <w:t>113.</w:t>
      </w:r>
      <w:r w:rsidRPr="003B725E">
        <w:tab/>
        <w:t>Zhang W, Drake MT. Potential role for therapies targeting DKK1, LRP5, and serotonin in the treatment of osteoporosis. Current osteoporosis reports. 2012;10(1):93-100.</w:t>
      </w:r>
      <w:bookmarkEnd w:id="377"/>
    </w:p>
    <w:p w:rsidR="003B725E" w:rsidRPr="003B725E" w:rsidRDefault="003B725E" w:rsidP="003B725E">
      <w:pPr>
        <w:pStyle w:val="EndNoteBibliography"/>
        <w:spacing w:after="0"/>
      </w:pPr>
      <w:bookmarkStart w:id="378" w:name="_ENREF_114"/>
      <w:r w:rsidRPr="003B725E">
        <w:t>114.</w:t>
      </w:r>
      <w:r w:rsidRPr="003B725E">
        <w:tab/>
        <w:t>Cui Y, Niziolek PJ, MacDonald BT, Zylstra CR, Alenina N, Robinson DR, et al. Lrp5 functions in bone to regulate bone mass. Nature medicine. 2011;17(6):684-91.</w:t>
      </w:r>
      <w:bookmarkEnd w:id="378"/>
    </w:p>
    <w:p w:rsidR="003B725E" w:rsidRPr="003B725E" w:rsidRDefault="003B725E" w:rsidP="003B725E">
      <w:pPr>
        <w:pStyle w:val="EndNoteBibliography"/>
        <w:spacing w:after="0"/>
      </w:pPr>
      <w:bookmarkStart w:id="379" w:name="_ENREF_115"/>
      <w:r w:rsidRPr="003B725E">
        <w:t>115.</w:t>
      </w:r>
      <w:r w:rsidRPr="003B725E">
        <w:tab/>
        <w:t>Weidauer SE, Schmieder P, Beerbaum M, Schmitz W, Oschkinat H, Mueller TD. NMR structure of the Wnt modulator protein Sclerostin. Biochemical and biophysical research communications. 2009;380(1):160-5.</w:t>
      </w:r>
      <w:bookmarkEnd w:id="379"/>
    </w:p>
    <w:p w:rsidR="003B725E" w:rsidRPr="004166BC" w:rsidRDefault="003B725E" w:rsidP="003B725E">
      <w:pPr>
        <w:pStyle w:val="EndNoteBibliography"/>
        <w:spacing w:after="0"/>
      </w:pPr>
      <w:bookmarkStart w:id="380" w:name="_ENREF_116"/>
      <w:r w:rsidRPr="003B725E">
        <w:t>116.</w:t>
      </w:r>
      <w:r w:rsidRPr="003B725E">
        <w:tab/>
        <w:t xml:space="preserve">He J, Zhang H, Wang C, Zhang Z, Yue H, Hu W, et al. Associations of serum sclerostin and polymorphisms in the SOST gene with bone mineral density and markers of bone metabolism in postmenopausal Chinese women. The Journal of clinical endocrinology and metabolism. </w:t>
      </w:r>
      <w:r w:rsidRPr="004166BC">
        <w:t>2014;99(4):E665-73.</w:t>
      </w:r>
      <w:bookmarkEnd w:id="380"/>
    </w:p>
    <w:p w:rsidR="003B725E" w:rsidRPr="003B725E" w:rsidRDefault="003B725E" w:rsidP="003B725E">
      <w:pPr>
        <w:pStyle w:val="EndNoteBibliography"/>
        <w:spacing w:after="0"/>
      </w:pPr>
      <w:bookmarkStart w:id="381" w:name="_ENREF_117"/>
      <w:r w:rsidRPr="004166BC">
        <w:t>117.</w:t>
      </w:r>
      <w:r w:rsidRPr="004166BC">
        <w:tab/>
        <w:t xml:space="preserve">Balemans W, Patel N, Ebeling M, Van Hul E, Wuyts W, Lacza C, et al. </w:t>
      </w:r>
      <w:r w:rsidRPr="003B725E">
        <w:t>Identification of a 52 kb deletion downstream of the SOST gene in patients with van Buchem disease. Journal of medical genetics. 2002;39(2):91-7.</w:t>
      </w:r>
      <w:bookmarkEnd w:id="381"/>
    </w:p>
    <w:p w:rsidR="003B725E" w:rsidRPr="003B725E" w:rsidRDefault="003B725E" w:rsidP="003B725E">
      <w:pPr>
        <w:pStyle w:val="EndNoteBibliography"/>
        <w:spacing w:after="0"/>
      </w:pPr>
      <w:bookmarkStart w:id="382" w:name="_ENREF_118"/>
      <w:r w:rsidRPr="003B725E">
        <w:t>118.</w:t>
      </w:r>
      <w:r w:rsidRPr="003B725E">
        <w:tab/>
        <w:t>Sharifi M, Ereifej L, Lewiecki EM. Sclerostin and skeletal health. Reviews in endocrine &amp; metabolic disorders. 2015.</w:t>
      </w:r>
      <w:bookmarkEnd w:id="382"/>
    </w:p>
    <w:p w:rsidR="003B725E" w:rsidRPr="003B725E" w:rsidRDefault="003B725E" w:rsidP="003B725E">
      <w:pPr>
        <w:pStyle w:val="EndNoteBibliography"/>
        <w:spacing w:after="0"/>
      </w:pPr>
      <w:bookmarkStart w:id="383" w:name="_ENREF_119"/>
      <w:r w:rsidRPr="003B725E">
        <w:t>119.</w:t>
      </w:r>
      <w:r w:rsidRPr="003B725E">
        <w:tab/>
        <w:t>Martin TJ, Sims NA, Ng KW. Regulatory pathways revealing new approaches to the development of anabolic drugs for osteoporosis. Osteoporosis international : a journal established as result of cooperation between the European Foundation for Osteoporosis and the National Osteoporosis Foundation of the USA. 2008;19(8):1125-38.</w:t>
      </w:r>
      <w:bookmarkEnd w:id="383"/>
    </w:p>
    <w:p w:rsidR="003B725E" w:rsidRPr="003B725E" w:rsidRDefault="003B725E" w:rsidP="003B725E">
      <w:pPr>
        <w:pStyle w:val="EndNoteBibliography"/>
        <w:spacing w:after="0"/>
      </w:pPr>
      <w:bookmarkStart w:id="384" w:name="_ENREF_120"/>
      <w:r w:rsidRPr="003B725E">
        <w:t>120.</w:t>
      </w:r>
      <w:r w:rsidRPr="003B725E">
        <w:tab/>
        <w:t>Wijenayaka AR, Kogawa M, Lim HP, Bonewald LF, Findlay DM, Atkins GJ. Sclerostin stimulates osteocyte support of osteoclast activity by a RANKL-dependent pathway. PloS one. 2011;6(10):e25900.</w:t>
      </w:r>
      <w:bookmarkEnd w:id="384"/>
    </w:p>
    <w:p w:rsidR="003B725E" w:rsidRPr="003B725E" w:rsidRDefault="003B725E" w:rsidP="003B725E">
      <w:pPr>
        <w:pStyle w:val="EndNoteBibliography"/>
        <w:spacing w:after="0"/>
      </w:pPr>
      <w:bookmarkStart w:id="385" w:name="_ENREF_121"/>
      <w:r w:rsidRPr="003B725E">
        <w:t>121.</w:t>
      </w:r>
      <w:r w:rsidRPr="003B725E">
        <w:tab/>
        <w:t>Padhi D, Jang G, Stouch B, Fang L, Posvar E. Single-dose, placebo-controlled, randomized study of AMG 785, a sclerostin monoclonal antibody. Journal of bone and mineral research : the official journal of the American Society for Bone and Mineral Research. 2011;26(1):19-26.</w:t>
      </w:r>
      <w:bookmarkEnd w:id="385"/>
    </w:p>
    <w:p w:rsidR="003B725E" w:rsidRPr="003B725E" w:rsidRDefault="003B725E" w:rsidP="003B725E">
      <w:pPr>
        <w:pStyle w:val="EndNoteBibliography"/>
        <w:spacing w:after="0"/>
      </w:pPr>
      <w:bookmarkStart w:id="386" w:name="_ENREF_122"/>
      <w:r w:rsidRPr="003B725E">
        <w:t>122.</w:t>
      </w:r>
      <w:r w:rsidRPr="003B725E">
        <w:tab/>
        <w:t>Parfitt AM. Primary osteoporosis. Lancet. 1980;1(8171):773-4.</w:t>
      </w:r>
      <w:bookmarkEnd w:id="386"/>
    </w:p>
    <w:p w:rsidR="003B725E" w:rsidRPr="003B725E" w:rsidRDefault="003B725E" w:rsidP="003B725E">
      <w:pPr>
        <w:pStyle w:val="EndNoteBibliography"/>
        <w:spacing w:after="0"/>
      </w:pPr>
      <w:bookmarkStart w:id="387" w:name="_ENREF_123"/>
      <w:r w:rsidRPr="003B725E">
        <w:t>123.</w:t>
      </w:r>
      <w:r w:rsidRPr="003B725E">
        <w:tab/>
        <w:t>Takahashi H, Epker B, Frost HM. RESORPTION PRECEDES FORMATIVE ACTIVITY. Surg Forum. 1964;15:437-8.</w:t>
      </w:r>
      <w:bookmarkEnd w:id="387"/>
    </w:p>
    <w:p w:rsidR="003B725E" w:rsidRPr="003B725E" w:rsidRDefault="003B725E" w:rsidP="003B725E">
      <w:pPr>
        <w:pStyle w:val="EndNoteBibliography"/>
        <w:spacing w:after="0"/>
      </w:pPr>
      <w:bookmarkStart w:id="388" w:name="_ENREF_124"/>
      <w:r w:rsidRPr="003B725E">
        <w:t>124.</w:t>
      </w:r>
      <w:r w:rsidRPr="003B725E">
        <w:tab/>
        <w:t>Liu C, Zhang X, Wu M, You L. Mechanical loading up-regulates early remodeling signals from osteocytes subjected to physical damage. Journal of biomechanics. 2015;48(16):4221-8.</w:t>
      </w:r>
      <w:bookmarkEnd w:id="388"/>
    </w:p>
    <w:p w:rsidR="003B725E" w:rsidRPr="003B725E" w:rsidRDefault="003B725E" w:rsidP="003B725E">
      <w:pPr>
        <w:pStyle w:val="EndNoteBibliography"/>
        <w:spacing w:after="0"/>
      </w:pPr>
      <w:bookmarkStart w:id="389" w:name="_ENREF_125"/>
      <w:r w:rsidRPr="003B725E">
        <w:t>125.</w:t>
      </w:r>
      <w:r w:rsidRPr="003B725E">
        <w:tab/>
        <w:t>Parfitt AM. The coupling of bone formation to bone resorption: a critical analysis of the concept and of its relevance to the pathogenesis of osteoporosis. Metab Bone Dis Relat Res. 1982;4(1):1-6.</w:t>
      </w:r>
      <w:bookmarkEnd w:id="389"/>
    </w:p>
    <w:p w:rsidR="003B725E" w:rsidRPr="003B725E" w:rsidRDefault="003B725E" w:rsidP="003B725E">
      <w:pPr>
        <w:pStyle w:val="EndNoteBibliography"/>
        <w:spacing w:after="0"/>
      </w:pPr>
      <w:bookmarkStart w:id="390" w:name="_ENREF_126"/>
      <w:r w:rsidRPr="003B725E">
        <w:lastRenderedPageBreak/>
        <w:t>126.</w:t>
      </w:r>
      <w:r w:rsidRPr="003B725E">
        <w:tab/>
        <w:t>Eriksen EF. Normal and pathological remodeling of human trabecular bone: three dimensional reconstruction of the remodeling sequence in normals and in metabolic bone disease. Endocrine reviews. 1986;7(4):379-408.</w:t>
      </w:r>
      <w:bookmarkEnd w:id="390"/>
    </w:p>
    <w:p w:rsidR="003B725E" w:rsidRPr="003B725E" w:rsidRDefault="003B725E" w:rsidP="003B725E">
      <w:pPr>
        <w:pStyle w:val="EndNoteBibliography"/>
        <w:spacing w:after="0"/>
      </w:pPr>
      <w:bookmarkStart w:id="391" w:name="_ENREF_127"/>
      <w:r w:rsidRPr="003B725E">
        <w:t>127.</w:t>
      </w:r>
      <w:r w:rsidRPr="003B725E">
        <w:tab/>
        <w:t>Verborgt O, Gibson GJ, Schaffler MB. Loss of osteocyte integrity in association with microdamage and bone remodeling after fatigue in vivo. Journal of bone and mineral research : the official journal of the American Society for Bone and Mineral Research. 2000;15(1):60-7.</w:t>
      </w:r>
      <w:bookmarkEnd w:id="391"/>
    </w:p>
    <w:p w:rsidR="003B725E" w:rsidRPr="003B725E" w:rsidRDefault="003B725E" w:rsidP="003B725E">
      <w:pPr>
        <w:pStyle w:val="EndNoteBibliography"/>
        <w:spacing w:after="0"/>
      </w:pPr>
      <w:bookmarkStart w:id="392" w:name="_ENREF_128"/>
      <w:r w:rsidRPr="003B725E">
        <w:t>128.</w:t>
      </w:r>
      <w:r w:rsidRPr="003B725E">
        <w:tab/>
        <w:t>Bellido T. Osteocyte-driven bone remodeling. Calcified tissue international. 2014;94(1):25-34.</w:t>
      </w:r>
      <w:bookmarkEnd w:id="392"/>
    </w:p>
    <w:p w:rsidR="003B725E" w:rsidRPr="003B725E" w:rsidRDefault="003B725E" w:rsidP="003B725E">
      <w:pPr>
        <w:pStyle w:val="EndNoteBibliography"/>
        <w:spacing w:after="0"/>
      </w:pPr>
      <w:bookmarkStart w:id="393" w:name="_ENREF_129"/>
      <w:r w:rsidRPr="003B725E">
        <w:t>129.</w:t>
      </w:r>
      <w:r w:rsidRPr="003B725E">
        <w:tab/>
        <w:t>Hauge EM, Qvesel D, Eriksen EF, Mosekilde L, Melsen F. Cancellous bone remodeling occurs in specialized compartments lined by cells expressing osteoblastic markers. Journal of bone and mineral research : the official journal of the American Society for Bone and Mineral Research. 2001;16(9):1575-82.</w:t>
      </w:r>
      <w:bookmarkEnd w:id="393"/>
    </w:p>
    <w:p w:rsidR="003B725E" w:rsidRPr="003B725E" w:rsidRDefault="003B725E" w:rsidP="003B725E">
      <w:pPr>
        <w:pStyle w:val="EndNoteBibliography"/>
        <w:spacing w:after="0"/>
      </w:pPr>
      <w:bookmarkStart w:id="394" w:name="_ENREF_130"/>
      <w:r w:rsidRPr="003B725E">
        <w:t>130.</w:t>
      </w:r>
      <w:r w:rsidRPr="003B725E">
        <w:tab/>
        <w:t>Smit TH, Burger EH, Huyghe JM. A case for strain-induced fluid flow as a regulator of BMU-coupling and osteonal alignment. Journal of bone and mineral research : the official journal of the American Society for Bone and Mineral Research. 2002;17(11):2021-9.</w:t>
      </w:r>
      <w:bookmarkEnd w:id="394"/>
    </w:p>
    <w:p w:rsidR="003B725E" w:rsidRPr="003B725E" w:rsidRDefault="003B725E" w:rsidP="003B725E">
      <w:pPr>
        <w:pStyle w:val="EndNoteBibliography"/>
        <w:spacing w:after="0"/>
      </w:pPr>
      <w:bookmarkStart w:id="395" w:name="_ENREF_131"/>
      <w:r w:rsidRPr="003B725E">
        <w:t>131.</w:t>
      </w:r>
      <w:r w:rsidRPr="003B725E">
        <w:tab/>
        <w:t>Matsuo K, Irie N. Osteoclast-osteoblast communication. Archives of biochemistry and biophysics. 2008;473(2):201-9.</w:t>
      </w:r>
      <w:bookmarkEnd w:id="395"/>
    </w:p>
    <w:p w:rsidR="003B725E" w:rsidRPr="003B725E" w:rsidRDefault="003B725E" w:rsidP="003B725E">
      <w:pPr>
        <w:pStyle w:val="EndNoteBibliography"/>
        <w:spacing w:after="0"/>
      </w:pPr>
      <w:bookmarkStart w:id="396" w:name="_ENREF_132"/>
      <w:r w:rsidRPr="003B725E">
        <w:t>132.</w:t>
      </w:r>
      <w:r w:rsidRPr="003B725E">
        <w:tab/>
        <w:t>Tang Y, Wu X, Lei W, Pang L, Wan C, Shi Z, et al. TGF-beta1-induced migration of bone mesenchymal stem cells couples bone resorption with formation. Nature medicine. 2009;15(7):757-65.</w:t>
      </w:r>
      <w:bookmarkEnd w:id="396"/>
    </w:p>
    <w:p w:rsidR="003B725E" w:rsidRPr="003B725E" w:rsidRDefault="003B725E" w:rsidP="003B725E">
      <w:pPr>
        <w:pStyle w:val="EndNoteBibliography"/>
        <w:spacing w:after="0"/>
        <w:rPr>
          <w:lang w:val="fr-FR"/>
        </w:rPr>
      </w:pPr>
      <w:bookmarkStart w:id="397" w:name="_ENREF_133"/>
      <w:r w:rsidRPr="003B725E">
        <w:t>133.</w:t>
      </w:r>
      <w:r w:rsidRPr="003B725E">
        <w:tab/>
        <w:t xml:space="preserve">Howard GA, Bottemiller BL, Turner RT, Rader JI, Baylink DJ. Parathyroid hormone stimulates bone formation and resorption in organ culture: evidence for a coupling mechanism. Proceedings of the National Academy of Sciences of the United States of America. </w:t>
      </w:r>
      <w:r w:rsidRPr="003B725E">
        <w:rPr>
          <w:lang w:val="fr-FR"/>
        </w:rPr>
        <w:t>1981;78(5):3204-8.</w:t>
      </w:r>
      <w:bookmarkEnd w:id="397"/>
    </w:p>
    <w:p w:rsidR="003B725E" w:rsidRPr="003B725E" w:rsidRDefault="003B725E" w:rsidP="003B725E">
      <w:pPr>
        <w:pStyle w:val="EndNoteBibliography"/>
        <w:spacing w:after="0"/>
      </w:pPr>
      <w:bookmarkStart w:id="398" w:name="_ENREF_134"/>
      <w:r w:rsidRPr="003B725E">
        <w:rPr>
          <w:lang w:val="fr-FR"/>
        </w:rPr>
        <w:t>134.</w:t>
      </w:r>
      <w:r w:rsidRPr="003B725E">
        <w:rPr>
          <w:lang w:val="fr-FR"/>
        </w:rPr>
        <w:tab/>
        <w:t xml:space="preserve">Xian L, Wu X, Pang L, Lou M, Rosen CJ, Qiu T, et al. </w:t>
      </w:r>
      <w:r w:rsidRPr="003B725E">
        <w:t>Matrix IGF-1 maintains bone mass by activation of mTOR in mesenchymal stem cells. Nature medicine. 2012;18(7):1095-101.</w:t>
      </w:r>
      <w:bookmarkEnd w:id="398"/>
    </w:p>
    <w:p w:rsidR="003B725E" w:rsidRPr="003B725E" w:rsidRDefault="003B725E" w:rsidP="003B725E">
      <w:pPr>
        <w:pStyle w:val="EndNoteBibliography"/>
        <w:spacing w:after="0"/>
      </w:pPr>
      <w:bookmarkStart w:id="399" w:name="_ENREF_135"/>
      <w:r w:rsidRPr="003B725E">
        <w:t>135.</w:t>
      </w:r>
      <w:r w:rsidRPr="003B725E">
        <w:tab/>
        <w:t>Baron R, Rawadi G. Targeting the Wnt/beta-catenin pathway to regulate bone formation in the adult skeleton. Endocrinology. 2007;148(6):2635-43.</w:t>
      </w:r>
      <w:bookmarkEnd w:id="399"/>
    </w:p>
    <w:p w:rsidR="003B725E" w:rsidRPr="003B725E" w:rsidRDefault="003B725E" w:rsidP="003B725E">
      <w:pPr>
        <w:pStyle w:val="EndNoteBibliography"/>
        <w:spacing w:after="0"/>
      </w:pPr>
      <w:bookmarkStart w:id="400" w:name="_ENREF_136"/>
      <w:r w:rsidRPr="003B725E">
        <w:t>136.</w:t>
      </w:r>
      <w:r w:rsidRPr="003B725E">
        <w:tab/>
        <w:t>Pederson L, Ruan M, Westendorf JJ, Khosla S, Oursler MJ. Regulation of bone formation by osteoclasts involves Wnt/BMP signaling and the chemokine sphingosine-1-phosphate. Proceedings of the National Academy of Sciences of the United States of America. 2008;105(52):20764-9.</w:t>
      </w:r>
      <w:bookmarkEnd w:id="400"/>
    </w:p>
    <w:p w:rsidR="003B725E" w:rsidRPr="003B725E" w:rsidRDefault="003B725E" w:rsidP="003B725E">
      <w:pPr>
        <w:pStyle w:val="EndNoteBibliography"/>
        <w:spacing w:after="0"/>
      </w:pPr>
      <w:bookmarkStart w:id="401" w:name="_ENREF_137"/>
      <w:r w:rsidRPr="003B725E">
        <w:t>137.</w:t>
      </w:r>
      <w:r w:rsidRPr="003B725E">
        <w:tab/>
        <w:t>Kim BJ, Lee YS, Lee SY, Park SY, Dieplinger H, Ryu SH, et al. Afamin secreted from nonresorbing osteoclasts acts as a chemokine for preosteoblasts via the Akt-signaling pathway. Bone. 2012;51(3):431-40.</w:t>
      </w:r>
      <w:bookmarkEnd w:id="401"/>
    </w:p>
    <w:p w:rsidR="003B725E" w:rsidRPr="003B725E" w:rsidRDefault="003B725E" w:rsidP="003B725E">
      <w:pPr>
        <w:pStyle w:val="EndNoteBibliography"/>
        <w:spacing w:after="0"/>
      </w:pPr>
      <w:bookmarkStart w:id="402" w:name="_ENREF_138"/>
      <w:r w:rsidRPr="003B725E">
        <w:t>138.</w:t>
      </w:r>
      <w:r w:rsidRPr="003B725E">
        <w:tab/>
        <w:t>Negishi-Koga T, Shinohara M, Komatsu N, Bito H, Kodama T, Friedel RH, et al. Suppression of bone formation by osteoclastic expression of semaphorin 4D. Nature medicine. 2011;17(11):1473-80.</w:t>
      </w:r>
      <w:bookmarkEnd w:id="402"/>
    </w:p>
    <w:p w:rsidR="003B725E" w:rsidRPr="003B725E" w:rsidRDefault="003B725E" w:rsidP="003B725E">
      <w:pPr>
        <w:pStyle w:val="EndNoteBibliography"/>
        <w:spacing w:after="0"/>
      </w:pPr>
      <w:bookmarkStart w:id="403" w:name="_ENREF_139"/>
      <w:r w:rsidRPr="003B725E">
        <w:t>139.</w:t>
      </w:r>
      <w:r w:rsidRPr="003B725E">
        <w:tab/>
        <w:t>Walker EC, McGregor NE, Poulton IJ, Solano M, Pompolo S, Fernandes TJ, et al. Oncostatin M promotes bone formation independently of resorption when signaling through leukemia inhibitory factor receptor in mice. The Journal of clinical investigation. 2010;120(2):582-92.</w:t>
      </w:r>
      <w:bookmarkEnd w:id="403"/>
    </w:p>
    <w:p w:rsidR="003B725E" w:rsidRPr="003B725E" w:rsidRDefault="003B725E" w:rsidP="003B725E">
      <w:pPr>
        <w:pStyle w:val="EndNoteBibliography"/>
        <w:spacing w:after="0"/>
      </w:pPr>
      <w:bookmarkStart w:id="404" w:name="_ENREF_140"/>
      <w:r w:rsidRPr="003B725E">
        <w:t>140.</w:t>
      </w:r>
      <w:r w:rsidRPr="003B725E">
        <w:tab/>
        <w:t>Mirosavljevic D, Quinn JM, Elliott J, Horwood NJ, Martin TJ, Gillespie MT. T-cells mediate an inhibitory effect of interleukin-4 on osteoclastogenesis. Journal of bone and mineral research : the official journal of the American Society for Bone and Mineral Research. 2003;18(6):984-93.</w:t>
      </w:r>
      <w:bookmarkEnd w:id="404"/>
    </w:p>
    <w:p w:rsidR="003B725E" w:rsidRPr="003B725E" w:rsidRDefault="003B725E" w:rsidP="003B725E">
      <w:pPr>
        <w:pStyle w:val="EndNoteBibliography"/>
        <w:spacing w:after="0"/>
      </w:pPr>
      <w:bookmarkStart w:id="405" w:name="_ENREF_141"/>
      <w:r w:rsidRPr="003B725E">
        <w:t>141.</w:t>
      </w:r>
      <w:r w:rsidRPr="003B725E">
        <w:tab/>
        <w:t>Raggatt LJ, Alexander KA, Kaur S, Wu AC, MacDonald KP, Pettit AR. Absence of B cells does not compromise intramembranous bone formation during healing in a tibial injury model. The American journal of pathology. 2013;182(5):1501-8.</w:t>
      </w:r>
      <w:bookmarkEnd w:id="405"/>
    </w:p>
    <w:p w:rsidR="003B725E" w:rsidRPr="003B725E" w:rsidRDefault="003B725E" w:rsidP="003B725E">
      <w:pPr>
        <w:pStyle w:val="EndNoteBibliography"/>
        <w:spacing w:after="0"/>
      </w:pPr>
      <w:bookmarkStart w:id="406" w:name="_ENREF_142"/>
      <w:r w:rsidRPr="003B725E">
        <w:t>142.</w:t>
      </w:r>
      <w:r w:rsidRPr="003B725E">
        <w:tab/>
        <w:t>Xu XH, Dong SS, Guo Y, Yang TL, Lei SF, Papasian CJ, et al. Molecular genetic studies of gene identification for osteoporosis: the 2009 update. Endocrine reviews. 2010;31(4):447-505.</w:t>
      </w:r>
      <w:bookmarkEnd w:id="406"/>
    </w:p>
    <w:p w:rsidR="003B725E" w:rsidRPr="003B725E" w:rsidRDefault="003B725E" w:rsidP="003B725E">
      <w:pPr>
        <w:pStyle w:val="EndNoteBibliography"/>
        <w:spacing w:after="0"/>
      </w:pPr>
      <w:bookmarkStart w:id="407" w:name="_ENREF_143"/>
      <w:r w:rsidRPr="003B725E">
        <w:t>143.</w:t>
      </w:r>
      <w:r w:rsidRPr="003B725E">
        <w:tab/>
        <w:t xml:space="preserve">Livshits G, Deng HW, Nguyen TV, Yakovenko K, Recker RR, Eisman JA. Genetics of bone mineral density: evidence for a major pleiotropic effect from an intercontinental study. Journal </w:t>
      </w:r>
      <w:r w:rsidRPr="003B725E">
        <w:lastRenderedPageBreak/>
        <w:t>of bone and mineral research : the official journal of the American Society for Bone and Mineral Research. 2004;19(6):914-23.</w:t>
      </w:r>
      <w:bookmarkEnd w:id="407"/>
    </w:p>
    <w:p w:rsidR="003B725E" w:rsidRPr="003B725E" w:rsidRDefault="003B725E" w:rsidP="003B725E">
      <w:pPr>
        <w:pStyle w:val="EndNoteBibliography"/>
        <w:spacing w:after="0"/>
      </w:pPr>
      <w:bookmarkStart w:id="408" w:name="_ENREF_144"/>
      <w:r w:rsidRPr="003B725E">
        <w:t>144.</w:t>
      </w:r>
      <w:r w:rsidRPr="003B725E">
        <w:tab/>
        <w:t>Ralston SH. Genetics of osteoporosis. Reviews in endocrine &amp; metabolic disorders. 2001;2(1):13-21.</w:t>
      </w:r>
      <w:bookmarkEnd w:id="408"/>
    </w:p>
    <w:p w:rsidR="003B725E" w:rsidRPr="003B725E" w:rsidRDefault="003B725E" w:rsidP="003B725E">
      <w:pPr>
        <w:pStyle w:val="EndNoteBibliography"/>
        <w:spacing w:after="0"/>
        <w:rPr>
          <w:lang w:val="it-IT"/>
        </w:rPr>
      </w:pPr>
      <w:bookmarkStart w:id="409" w:name="_ENREF_145"/>
      <w:r w:rsidRPr="003B725E">
        <w:t>145.</w:t>
      </w:r>
      <w:r w:rsidRPr="003B725E">
        <w:tab/>
        <w:t xml:space="preserve">Urano T, Inoue S. Genetics of osteoporosis. Biochemical and biophysical research communications. </w:t>
      </w:r>
      <w:r w:rsidRPr="003B725E">
        <w:rPr>
          <w:lang w:val="it-IT"/>
        </w:rPr>
        <w:t>2014;452(2):287-93.</w:t>
      </w:r>
      <w:bookmarkEnd w:id="409"/>
    </w:p>
    <w:p w:rsidR="003B725E" w:rsidRPr="003B725E" w:rsidRDefault="003B725E" w:rsidP="003B725E">
      <w:pPr>
        <w:pStyle w:val="EndNoteBibliography"/>
        <w:spacing w:after="0"/>
      </w:pPr>
      <w:bookmarkStart w:id="410" w:name="_ENREF_146"/>
      <w:r w:rsidRPr="003B725E">
        <w:rPr>
          <w:lang w:val="it-IT"/>
        </w:rPr>
        <w:t>146.</w:t>
      </w:r>
      <w:r w:rsidRPr="003B725E">
        <w:rPr>
          <w:lang w:val="it-IT"/>
        </w:rPr>
        <w:tab/>
        <w:t xml:space="preserve">Gennari L, Merlotti D, De Paola V, Calabro A, Becherini L, Martini G, et al. </w:t>
      </w:r>
      <w:r w:rsidRPr="003B725E">
        <w:t>Estrogen receptor gene polymorphisms and the genetics of osteoporosis: a HuGE review. Am J Epidemiol. 2005;161(4):307-20.</w:t>
      </w:r>
      <w:bookmarkEnd w:id="410"/>
    </w:p>
    <w:p w:rsidR="003B725E" w:rsidRPr="003B725E" w:rsidRDefault="003B725E" w:rsidP="003B725E">
      <w:pPr>
        <w:pStyle w:val="EndNoteBibliography"/>
        <w:spacing w:after="0"/>
      </w:pPr>
      <w:bookmarkStart w:id="411" w:name="_ENREF_147"/>
      <w:r w:rsidRPr="003B725E">
        <w:t>147.</w:t>
      </w:r>
      <w:r w:rsidRPr="003B725E">
        <w:tab/>
        <w:t>Baron R, Ferrari S, Russell RG. Denosumab and bisphosphonates: different mechanisms of action and effects. Bone. 2011;48(4):677-92.</w:t>
      </w:r>
      <w:bookmarkEnd w:id="411"/>
    </w:p>
    <w:p w:rsidR="003B725E" w:rsidRPr="003B725E" w:rsidRDefault="003B725E" w:rsidP="003B725E">
      <w:pPr>
        <w:pStyle w:val="EndNoteBibliography"/>
        <w:spacing w:after="0"/>
      </w:pPr>
      <w:bookmarkStart w:id="412" w:name="_ENREF_148"/>
      <w:r w:rsidRPr="003B725E">
        <w:t>148.</w:t>
      </w:r>
      <w:r w:rsidRPr="003B725E">
        <w:tab/>
        <w:t>Ferrari SL, Deutsch S, Antonarakis SE. Pathogenic mutations and polymorphisms in the lipoprotein receptor-related protein 5 reveal a new biological pathway for the control of bone mass. Curr Opin Lipidol. 2005;16(2):207-14.</w:t>
      </w:r>
      <w:bookmarkEnd w:id="412"/>
    </w:p>
    <w:p w:rsidR="003B725E" w:rsidRPr="003B725E" w:rsidRDefault="003B725E" w:rsidP="003B725E">
      <w:pPr>
        <w:pStyle w:val="EndNoteBibliography"/>
        <w:spacing w:after="0"/>
      </w:pPr>
      <w:bookmarkStart w:id="413" w:name="_ENREF_149"/>
      <w:r w:rsidRPr="003B725E">
        <w:t>149.</w:t>
      </w:r>
      <w:r w:rsidRPr="003B725E">
        <w:tab/>
        <w:t>Spotila LD, Rodriguez H, Koch M, Tenenhouse HS, Tenenhouse A, Li H, et al. Association analysis of bone mineral density and single nucleotide polymorphisms in two candidate genes on chromosome 1p36. Calcified tissue international. 2003;73(2):140-6.</w:t>
      </w:r>
      <w:bookmarkEnd w:id="413"/>
    </w:p>
    <w:p w:rsidR="003B725E" w:rsidRPr="003B725E" w:rsidRDefault="003B725E" w:rsidP="003B725E">
      <w:pPr>
        <w:pStyle w:val="EndNoteBibliography"/>
        <w:spacing w:after="0"/>
      </w:pPr>
      <w:bookmarkStart w:id="414" w:name="_ENREF_150"/>
      <w:r w:rsidRPr="003B725E">
        <w:t>150.</w:t>
      </w:r>
      <w:r w:rsidRPr="003B725E">
        <w:tab/>
        <w:t>Reilly R, McNulty H, Pentieva K, Strain JJ, Ward M. MTHFR 677TT genotype and disease risk: is there a modulating role for B-vitamins? The Proceedings of the Nutrition Society. 2014;73(1):47-56.</w:t>
      </w:r>
      <w:bookmarkEnd w:id="414"/>
    </w:p>
    <w:p w:rsidR="003B725E" w:rsidRPr="003B725E" w:rsidRDefault="003B725E" w:rsidP="003B725E">
      <w:pPr>
        <w:pStyle w:val="EndNoteBibliography"/>
        <w:spacing w:after="0"/>
      </w:pPr>
      <w:bookmarkStart w:id="415" w:name="_ENREF_151"/>
      <w:r w:rsidRPr="003B725E">
        <w:t>151.</w:t>
      </w:r>
      <w:r w:rsidRPr="003B725E">
        <w:tab/>
        <w:t>McLean RR, Jacques PF, Selhub J, Tucker KL, Samelson EJ, Broe KE, et al. Homocysteine as a predictive factor for hip fracture in older persons. The New England journal of medicine. 2004;350(20):2042-9.</w:t>
      </w:r>
      <w:bookmarkEnd w:id="415"/>
    </w:p>
    <w:p w:rsidR="003B725E" w:rsidRPr="003B725E" w:rsidRDefault="003B725E" w:rsidP="003B725E">
      <w:pPr>
        <w:pStyle w:val="EndNoteBibliography"/>
        <w:spacing w:after="0"/>
      </w:pPr>
      <w:bookmarkStart w:id="416" w:name="_ENREF_152"/>
      <w:r w:rsidRPr="003B725E">
        <w:t>152.</w:t>
      </w:r>
      <w:r w:rsidRPr="003B725E">
        <w:tab/>
        <w:t>van Meurs JB, Dhonukshe-Rutten RA, Pluijm SM, van der Klift M, de Jonge R, Lindemans J, et al. Homocysteine levels and the risk of osteoporotic fracture. The New England journal of medicine. 2004;350(20):2033-41.</w:t>
      </w:r>
      <w:bookmarkEnd w:id="416"/>
    </w:p>
    <w:p w:rsidR="003B725E" w:rsidRPr="003B725E" w:rsidRDefault="003B725E" w:rsidP="003B725E">
      <w:pPr>
        <w:pStyle w:val="EndNoteBibliography"/>
        <w:spacing w:after="0"/>
      </w:pPr>
      <w:bookmarkStart w:id="417" w:name="_ENREF_153"/>
      <w:r w:rsidRPr="003B725E">
        <w:t>153.</w:t>
      </w:r>
      <w:r w:rsidRPr="003B725E">
        <w:tab/>
        <w:t>Gjesdal CG, Vollset SE, Ueland PM, Refsum H, Meyer HE, Tell GS. Plasma homocysteine, folate, and vitamin B 12 and the risk of hip fracture: the hordaland homocysteine study. Journal of bone and mineral research : the official journal of the American Society for Bone and Mineral Research. 2007;22(5):747-56.</w:t>
      </w:r>
      <w:bookmarkEnd w:id="417"/>
    </w:p>
    <w:p w:rsidR="003B725E" w:rsidRPr="003B725E" w:rsidRDefault="003B725E" w:rsidP="003B725E">
      <w:pPr>
        <w:pStyle w:val="EndNoteBibliography"/>
        <w:spacing w:after="0"/>
      </w:pPr>
      <w:bookmarkStart w:id="418" w:name="_ENREF_154"/>
      <w:r w:rsidRPr="003B725E">
        <w:t>154.</w:t>
      </w:r>
      <w:r w:rsidRPr="003B725E">
        <w:tab/>
        <w:t>Khosla S, Oursler MJ, Monroe DG. Estrogen and the skeleton. Trends in endocrinology and metabolism: TEM. 2012;23(11):576-81.</w:t>
      </w:r>
      <w:bookmarkEnd w:id="418"/>
    </w:p>
    <w:p w:rsidR="003B725E" w:rsidRPr="003B725E" w:rsidRDefault="003B725E" w:rsidP="003B725E">
      <w:pPr>
        <w:pStyle w:val="EndNoteBibliography"/>
        <w:spacing w:after="0"/>
      </w:pPr>
      <w:bookmarkStart w:id="419" w:name="_ENREF_155"/>
      <w:r w:rsidRPr="003B725E">
        <w:t>155.</w:t>
      </w:r>
      <w:r w:rsidRPr="003B725E">
        <w:tab/>
        <w:t>Pacifici R. Estrogen, cytokines, and pathogenesis of postmenopausal osteoporosis. Journal of bone and mineral research : the official journal of the American Society for Bone and Mineral Research. 1996;11(8):1043-51.</w:t>
      </w:r>
      <w:bookmarkEnd w:id="419"/>
    </w:p>
    <w:p w:rsidR="003B725E" w:rsidRPr="003B725E" w:rsidRDefault="003B725E" w:rsidP="003B725E">
      <w:pPr>
        <w:pStyle w:val="EndNoteBibliography"/>
        <w:spacing w:after="0"/>
      </w:pPr>
      <w:bookmarkStart w:id="420" w:name="_ENREF_156"/>
      <w:r w:rsidRPr="003B725E">
        <w:t>156.</w:t>
      </w:r>
      <w:r w:rsidRPr="003B725E">
        <w:tab/>
        <w:t>Hofbauer LC, Heufelder AE. Clinical review 114: hot topic. The role of receptor activator of nuclear factor-kappaB ligand and osteoprotegerin in the pathogenesis and treatment of metabolic bone diseases. The Journal of clinical endocrinology and metabolism. 2000;85(7):2355-63.</w:t>
      </w:r>
      <w:bookmarkEnd w:id="420"/>
    </w:p>
    <w:p w:rsidR="003B725E" w:rsidRPr="003B725E" w:rsidRDefault="003B725E" w:rsidP="003B725E">
      <w:pPr>
        <w:pStyle w:val="EndNoteBibliography"/>
        <w:spacing w:after="0"/>
      </w:pPr>
      <w:bookmarkStart w:id="421" w:name="_ENREF_157"/>
      <w:r w:rsidRPr="003B725E">
        <w:t>157.</w:t>
      </w:r>
      <w:r w:rsidRPr="003B725E">
        <w:tab/>
        <w:t>Compston JE, Vedi S, Kaptoge S, Seeman E. Bone remodeling rate and remodeling balance are not co-regulated in adulthood: implications for the use of activation frequency as an index of remodeling rate. Journal of bone and mineral research : the official journal of the American Society for Bone and Mineral Research. 2007;22(7):1031-6.</w:t>
      </w:r>
      <w:bookmarkEnd w:id="421"/>
    </w:p>
    <w:p w:rsidR="003B725E" w:rsidRPr="003B725E" w:rsidRDefault="003B725E" w:rsidP="003B725E">
      <w:pPr>
        <w:pStyle w:val="EndNoteBibliography"/>
        <w:spacing w:after="0"/>
      </w:pPr>
      <w:bookmarkStart w:id="422" w:name="_ENREF_158"/>
      <w:r w:rsidRPr="003B725E">
        <w:t>158.</w:t>
      </w:r>
      <w:r w:rsidRPr="003B725E">
        <w:tab/>
        <w:t>Parfitt AM, Drezner MK, Glorieux FH, Kanis JA, Malluche H, Meunier PJ, et al. Bone histomorphometry: standardization of nomenclature, symbols, and units. Report of the ASBMR Histomorphometry Nomenclature Committee. Journal of bone and mineral research : the official journal of the American Society for Bone and Mineral Research. 1987;2(6):595-610.</w:t>
      </w:r>
      <w:bookmarkEnd w:id="422"/>
    </w:p>
    <w:p w:rsidR="003B725E" w:rsidRPr="003B725E" w:rsidRDefault="003B725E" w:rsidP="003B725E">
      <w:pPr>
        <w:pStyle w:val="EndNoteBibliography"/>
        <w:spacing w:after="0"/>
      </w:pPr>
      <w:bookmarkStart w:id="423" w:name="_ENREF_159"/>
      <w:r w:rsidRPr="003B725E">
        <w:t>159.</w:t>
      </w:r>
      <w:r w:rsidRPr="003B725E">
        <w:tab/>
        <w:t>Greendale GA, Sowers M, Han W, Huang MH, Finkelstein JS, Crandall CJ, et al. Bone mineral density loss in relation to the final menstrual period in a multiethnic cohort: results from the Study of Women's Health Across the Nation (SWAN). Journal of bone and mineral research : the official journal of the American Society for Bone and Mineral Research. 2012;27(1):111-8.</w:t>
      </w:r>
      <w:bookmarkEnd w:id="423"/>
    </w:p>
    <w:p w:rsidR="003B725E" w:rsidRPr="003B725E" w:rsidRDefault="003B725E" w:rsidP="003B725E">
      <w:pPr>
        <w:pStyle w:val="EndNoteBibliography"/>
        <w:spacing w:after="0"/>
      </w:pPr>
      <w:bookmarkStart w:id="424" w:name="_ENREF_160"/>
      <w:r w:rsidRPr="003B725E">
        <w:t>160.</w:t>
      </w:r>
      <w:r w:rsidRPr="003B725E">
        <w:tab/>
        <w:t>Tella SH, Gallagher JC. Prevention and treatment of postmenopausal osteoporosis. The Journal of steroid biochemistry and molecular biology. 2014;142:155-70.</w:t>
      </w:r>
      <w:bookmarkEnd w:id="424"/>
    </w:p>
    <w:p w:rsidR="003B725E" w:rsidRPr="003B725E" w:rsidRDefault="003B725E" w:rsidP="003B725E">
      <w:pPr>
        <w:pStyle w:val="EndNoteBibliography"/>
        <w:spacing w:after="0"/>
      </w:pPr>
      <w:bookmarkStart w:id="425" w:name="_ENREF_161"/>
      <w:r w:rsidRPr="003B725E">
        <w:lastRenderedPageBreak/>
        <w:t>161.</w:t>
      </w:r>
      <w:r w:rsidRPr="003B725E">
        <w:tab/>
        <w:t>Garnero P, Sornay-Rendu E, Duboeuf F, Delmas PD. Markers of bone turnover predict postmenopausal forearm bone loss over 4 years: the OFELY study. Journal of bone and mineral research : the official journal of the American Society for Bone and Mineral Research. 1999;14(9):1614-21.</w:t>
      </w:r>
      <w:bookmarkEnd w:id="425"/>
    </w:p>
    <w:p w:rsidR="003B725E" w:rsidRPr="003B725E" w:rsidRDefault="003B725E" w:rsidP="003B725E">
      <w:pPr>
        <w:pStyle w:val="EndNoteBibliography"/>
        <w:spacing w:after="0"/>
      </w:pPr>
      <w:bookmarkStart w:id="426" w:name="_ENREF_162"/>
      <w:r w:rsidRPr="003B725E">
        <w:t>162.</w:t>
      </w:r>
      <w:r w:rsidRPr="003B725E">
        <w:tab/>
        <w:t>Emkey GR, Epstein S. Secondary osteoporosis: pathophysiology &amp; diagnosis. Best Pract Res Clin Endocrinol Metab. 2014;28(6):911-35.</w:t>
      </w:r>
      <w:bookmarkEnd w:id="426"/>
    </w:p>
    <w:p w:rsidR="003B725E" w:rsidRPr="003B725E" w:rsidRDefault="003B725E" w:rsidP="003B725E">
      <w:pPr>
        <w:pStyle w:val="EndNoteBibliography"/>
        <w:spacing w:after="0"/>
      </w:pPr>
      <w:bookmarkStart w:id="427" w:name="_ENREF_163"/>
      <w:r w:rsidRPr="003B725E">
        <w:t>163.</w:t>
      </w:r>
      <w:r w:rsidRPr="003B725E">
        <w:tab/>
        <w:t>Soriano R, Herrera S, Nogues X, Diez-Perez A. Current and future treatments of secondary osteoporosis. Best Pract Res Clin Endocrinol Metab. 2014;28(6):885-94.</w:t>
      </w:r>
      <w:bookmarkEnd w:id="427"/>
    </w:p>
    <w:p w:rsidR="003B725E" w:rsidRPr="003B725E" w:rsidRDefault="003B725E" w:rsidP="003B725E">
      <w:pPr>
        <w:pStyle w:val="EndNoteBibliography"/>
        <w:spacing w:after="0"/>
      </w:pPr>
      <w:bookmarkStart w:id="428" w:name="_ENREF_164"/>
      <w:r w:rsidRPr="003B725E">
        <w:t>164.</w:t>
      </w:r>
      <w:r w:rsidRPr="003B725E">
        <w:tab/>
        <w:t>Guañabens N, Peris P, Monegal A. Bone Turnover Markers: A Clinical Review. Clinic Rev Bone Miner Metab. 2015;13(2):83-97.</w:t>
      </w:r>
      <w:bookmarkEnd w:id="428"/>
    </w:p>
    <w:p w:rsidR="003B725E" w:rsidRPr="003B725E" w:rsidRDefault="003B725E" w:rsidP="003B725E">
      <w:pPr>
        <w:pStyle w:val="EndNoteBibliography"/>
        <w:spacing w:after="0"/>
      </w:pPr>
      <w:bookmarkStart w:id="429" w:name="_ENREF_165"/>
      <w:r w:rsidRPr="003B725E">
        <w:t>165.</w:t>
      </w:r>
      <w:r w:rsidRPr="003B725E">
        <w:tab/>
        <w:t>Garnero P. New developments in biological markers of bone metabolism in osteoporosis. Bone. 2014;66:46-55.</w:t>
      </w:r>
      <w:bookmarkEnd w:id="429"/>
    </w:p>
    <w:p w:rsidR="003B725E" w:rsidRPr="003B725E" w:rsidRDefault="003B725E" w:rsidP="003B725E">
      <w:pPr>
        <w:pStyle w:val="EndNoteBibliography"/>
        <w:spacing w:after="0"/>
      </w:pPr>
      <w:bookmarkStart w:id="430" w:name="_ENREF_166"/>
      <w:r w:rsidRPr="003B725E">
        <w:t>166.</w:t>
      </w:r>
      <w:r w:rsidRPr="003B725E">
        <w:tab/>
        <w:t>Garnero P. The Role of Collagen Organization on the Properties of Bone. Calcified tissue international. 2015.</w:t>
      </w:r>
      <w:bookmarkEnd w:id="430"/>
    </w:p>
    <w:p w:rsidR="003B725E" w:rsidRPr="003B725E" w:rsidRDefault="003B725E" w:rsidP="003B725E">
      <w:pPr>
        <w:pStyle w:val="EndNoteBibliography"/>
        <w:spacing w:after="0"/>
      </w:pPr>
      <w:bookmarkStart w:id="431" w:name="_ENREF_167"/>
      <w:r w:rsidRPr="003B725E">
        <w:t>167.</w:t>
      </w:r>
      <w:r w:rsidRPr="003B725E">
        <w:tab/>
        <w:t>van der Rest M, Garrone R. Collagen family of proteins. FASEB journal : official publication of the Federation of American Societies for Experimental Biology. 1991;5(13):2814-23.</w:t>
      </w:r>
      <w:bookmarkEnd w:id="431"/>
    </w:p>
    <w:p w:rsidR="003B725E" w:rsidRPr="003B725E" w:rsidRDefault="003B725E" w:rsidP="003B725E">
      <w:pPr>
        <w:pStyle w:val="EndNoteBibliography"/>
        <w:spacing w:after="0"/>
      </w:pPr>
      <w:bookmarkStart w:id="432" w:name="_ENREF_168"/>
      <w:r w:rsidRPr="003B725E">
        <w:t>168.</w:t>
      </w:r>
      <w:r w:rsidRPr="003B725E">
        <w:tab/>
        <w:t>Harwood R, Grant ME, Jackson DS. Studies on the glycosylation of hydroxylysine residues during collagen biosynthesis and the subcellular localization of collagen galactosyltransferase and collagen glucosyltransferase in tendon and cartilage cells. The Biochemical journal. 1975;152(2):291-302.</w:t>
      </w:r>
      <w:bookmarkEnd w:id="432"/>
    </w:p>
    <w:p w:rsidR="003B725E" w:rsidRPr="003B725E" w:rsidRDefault="003B725E" w:rsidP="003B725E">
      <w:pPr>
        <w:pStyle w:val="EndNoteBibliography"/>
        <w:spacing w:after="0"/>
      </w:pPr>
      <w:bookmarkStart w:id="433" w:name="_ENREF_169"/>
      <w:r w:rsidRPr="003B725E">
        <w:t>169.</w:t>
      </w:r>
      <w:r w:rsidRPr="003B725E">
        <w:tab/>
        <w:t>Brodsky B, Thiagarajan G, Madhan B, Kar K. Triple-helical peptides: an approach to collagen conformation, stability, and self-association. Biopolymers. 2008;89(5):345-53.</w:t>
      </w:r>
      <w:bookmarkEnd w:id="433"/>
    </w:p>
    <w:p w:rsidR="003B725E" w:rsidRPr="003B725E" w:rsidRDefault="003B725E" w:rsidP="003B725E">
      <w:pPr>
        <w:pStyle w:val="EndNoteBibliography"/>
        <w:spacing w:after="0"/>
      </w:pPr>
      <w:bookmarkStart w:id="434" w:name="_ENREF_170"/>
      <w:r w:rsidRPr="003B725E">
        <w:t>170.</w:t>
      </w:r>
      <w:r w:rsidRPr="003B725E">
        <w:tab/>
        <w:t>Boudko SP, Engel J, Bachinger HP. The crucial role of trimerization domains in collagen folding. The international journal of biochemistry &amp; cell biology. 2012;44(1):21-32.</w:t>
      </w:r>
      <w:bookmarkEnd w:id="434"/>
    </w:p>
    <w:p w:rsidR="003B725E" w:rsidRPr="003B725E" w:rsidRDefault="003B725E" w:rsidP="003B725E">
      <w:pPr>
        <w:pStyle w:val="EndNoteBibliography"/>
        <w:spacing w:after="0"/>
      </w:pPr>
      <w:bookmarkStart w:id="435" w:name="_ENREF_171"/>
      <w:r w:rsidRPr="003B725E">
        <w:t>171.</w:t>
      </w:r>
      <w:r w:rsidRPr="003B725E">
        <w:tab/>
        <w:t>Garnero P, Schott AM, Prockop D, Chevrel G. Bone turnover and type I collagen C-telopeptide isomerization in adult osteogenesis imperfecta: associations with collagen gene mutations. Bone. 2009;44(3):461-6.</w:t>
      </w:r>
      <w:bookmarkEnd w:id="435"/>
    </w:p>
    <w:p w:rsidR="003B725E" w:rsidRPr="003B725E" w:rsidRDefault="003B725E" w:rsidP="003B725E">
      <w:pPr>
        <w:pStyle w:val="EndNoteBibliography"/>
        <w:spacing w:after="0"/>
      </w:pPr>
      <w:bookmarkStart w:id="436" w:name="_ENREF_172"/>
      <w:r w:rsidRPr="003B725E">
        <w:t>172.</w:t>
      </w:r>
      <w:r w:rsidRPr="003B725E">
        <w:tab/>
        <w:t>Bulleid NJ, Dalley JA, Lees JF. The C-propeptide domain of procollagen can be replaced with a transmembrane domain without affecting trimer formation or collagen triple helix folding during biosynthesis. The EMBO journal. 1997;16(22):6694-701.</w:t>
      </w:r>
      <w:bookmarkEnd w:id="436"/>
    </w:p>
    <w:p w:rsidR="003B725E" w:rsidRPr="003B725E" w:rsidRDefault="003B725E" w:rsidP="003B725E">
      <w:pPr>
        <w:pStyle w:val="EndNoteBibliography"/>
        <w:spacing w:after="0"/>
      </w:pPr>
      <w:bookmarkStart w:id="437" w:name="_ENREF_173"/>
      <w:r w:rsidRPr="003B725E">
        <w:t>173.</w:t>
      </w:r>
      <w:r w:rsidRPr="003B725E">
        <w:tab/>
        <w:t>Kuznetsova N, Leikin S. Does the triple helical domain of type I collagen encode molecular recognition and fiber assembly while telopeptides serve as catalytic domains? Effect of proteolytic cleavage on fibrillogenesis and on collagen-collagen interaction in fibers. The Journal of biological chemistry. 1999;274(51):36083-8.</w:t>
      </w:r>
      <w:bookmarkEnd w:id="437"/>
    </w:p>
    <w:p w:rsidR="003B725E" w:rsidRPr="003B725E" w:rsidRDefault="003B725E" w:rsidP="003B725E">
      <w:pPr>
        <w:pStyle w:val="EndNoteBibliography"/>
        <w:spacing w:after="0"/>
      </w:pPr>
      <w:bookmarkStart w:id="438" w:name="_ENREF_174"/>
      <w:r w:rsidRPr="003B725E">
        <w:t>174.</w:t>
      </w:r>
      <w:r w:rsidRPr="003B725E">
        <w:tab/>
        <w:t>Niyibizi C, Eyre DR. Bone type V collagen: chain composition and location of a trypsin cleavage site. Connective tissue research. 1989;20(1-4):247-50.</w:t>
      </w:r>
      <w:bookmarkEnd w:id="438"/>
    </w:p>
    <w:p w:rsidR="003B725E" w:rsidRPr="003B725E" w:rsidRDefault="003B725E" w:rsidP="003B725E">
      <w:pPr>
        <w:pStyle w:val="EndNoteBibliography"/>
        <w:spacing w:after="0"/>
      </w:pPr>
      <w:bookmarkStart w:id="439" w:name="_ENREF_175"/>
      <w:r w:rsidRPr="003B725E">
        <w:t>175.</w:t>
      </w:r>
      <w:r w:rsidRPr="003B725E">
        <w:tab/>
        <w:t>Black D, Duncan A, Robins SP. Quantitative analysis of the pyridinium crosslinks of collagen in urine using ion-paired reversed-phase high-performance liquid chromatography. Analytical biochemistry. 1988;169(1):197-203.</w:t>
      </w:r>
      <w:bookmarkEnd w:id="439"/>
    </w:p>
    <w:p w:rsidR="003B725E" w:rsidRPr="003B725E" w:rsidRDefault="003B725E" w:rsidP="003B725E">
      <w:pPr>
        <w:pStyle w:val="EndNoteBibliography"/>
        <w:spacing w:after="0"/>
      </w:pPr>
      <w:bookmarkStart w:id="440" w:name="_ENREF_176"/>
      <w:r w:rsidRPr="003B725E">
        <w:t>176.</w:t>
      </w:r>
      <w:r w:rsidRPr="003B725E">
        <w:tab/>
        <w:t>Pratt DA, Daniloff Y, Duncan A, Robins SP. Automated analysis of the pyridinium crosslinks of collagen in tissue and urine using solid-phase extraction and reversed-phase high-performance liquid chromatography. Analytical biochemistry. 1992;207(1):168-75.</w:t>
      </w:r>
      <w:bookmarkEnd w:id="440"/>
    </w:p>
    <w:p w:rsidR="003B725E" w:rsidRPr="003B725E" w:rsidRDefault="003B725E" w:rsidP="003B725E">
      <w:pPr>
        <w:pStyle w:val="EndNoteBibliography"/>
        <w:spacing w:after="0"/>
      </w:pPr>
      <w:bookmarkStart w:id="441" w:name="_ENREF_177"/>
      <w:r w:rsidRPr="003B725E">
        <w:t>177.</w:t>
      </w:r>
      <w:r w:rsidRPr="003B725E">
        <w:tab/>
        <w:t>Fledelius C, Johnsen AH, Cloos PA, Bonde M, Qvist P. Characterization of urinary degradation products derived from type I collagen. Identification of a beta-isomerized Asp-Gly sequence within the C-terminal telopeptide (alpha1) region. The Journal of biological chemistry. 1997;272(15):9755-63.</w:t>
      </w:r>
      <w:bookmarkEnd w:id="441"/>
    </w:p>
    <w:p w:rsidR="003B725E" w:rsidRPr="003B725E" w:rsidRDefault="003B725E" w:rsidP="003B725E">
      <w:pPr>
        <w:pStyle w:val="EndNoteBibliography"/>
        <w:spacing w:after="0"/>
      </w:pPr>
      <w:bookmarkStart w:id="442" w:name="_ENREF_178"/>
      <w:r w:rsidRPr="003B725E">
        <w:t>178.</w:t>
      </w:r>
      <w:r w:rsidRPr="003B725E">
        <w:tab/>
        <w:t>Cloos PA, Fledelius C. Collagen fragments in urine derived from bone resorption are highly racemized and isomerized: a biological clock of protein aging with clinical potential. The Biochemical journal. 2000;345 Pt 3:473-80.</w:t>
      </w:r>
      <w:bookmarkEnd w:id="442"/>
    </w:p>
    <w:p w:rsidR="003B725E" w:rsidRPr="003B725E" w:rsidRDefault="003B725E" w:rsidP="003B725E">
      <w:pPr>
        <w:pStyle w:val="EndNoteBibliography"/>
        <w:spacing w:after="0"/>
      </w:pPr>
      <w:bookmarkStart w:id="443" w:name="_ENREF_179"/>
      <w:r w:rsidRPr="003B725E">
        <w:t>179.</w:t>
      </w:r>
      <w:r w:rsidRPr="003B725E">
        <w:tab/>
        <w:t>Borel O, Gineyts E, Bertholon C, Garnero P. Cathepsin K preferentially solubilizes matured bone matrix. Calcified tissue international. 2012;91(1):32-9.</w:t>
      </w:r>
      <w:bookmarkEnd w:id="443"/>
    </w:p>
    <w:p w:rsidR="003B725E" w:rsidRPr="003B725E" w:rsidRDefault="003B725E" w:rsidP="003B725E">
      <w:pPr>
        <w:pStyle w:val="EndNoteBibliography"/>
        <w:spacing w:after="0"/>
        <w:rPr>
          <w:lang w:val="it-IT"/>
        </w:rPr>
      </w:pPr>
      <w:bookmarkStart w:id="444" w:name="_ENREF_180"/>
      <w:r w:rsidRPr="003B725E">
        <w:lastRenderedPageBreak/>
        <w:t>180.</w:t>
      </w:r>
      <w:r w:rsidRPr="003B725E">
        <w:tab/>
        <w:t xml:space="preserve">Garnero P, Borel O, Gineyts E, Duboeuf F, Solberg H, Bouxsein ML, et al. Extracellular post-translational modifications of collagen are major determinants of biomechanical properties of fetal bovine cortical bone. </w:t>
      </w:r>
      <w:r w:rsidRPr="003B725E">
        <w:rPr>
          <w:lang w:val="it-IT"/>
        </w:rPr>
        <w:t>Bone. 2006;38(3):300-9.</w:t>
      </w:r>
      <w:bookmarkEnd w:id="444"/>
    </w:p>
    <w:p w:rsidR="003B725E" w:rsidRPr="003B725E" w:rsidRDefault="003B725E" w:rsidP="003B725E">
      <w:pPr>
        <w:pStyle w:val="EndNoteBibliography"/>
        <w:spacing w:after="0"/>
      </w:pPr>
      <w:bookmarkStart w:id="445" w:name="_ENREF_181"/>
      <w:r w:rsidRPr="003B725E">
        <w:rPr>
          <w:lang w:val="it-IT"/>
        </w:rPr>
        <w:t>181.</w:t>
      </w:r>
      <w:r w:rsidRPr="003B725E">
        <w:rPr>
          <w:lang w:val="it-IT"/>
        </w:rPr>
        <w:tab/>
        <w:t xml:space="preserve">Garnero P, Fledelius C, Gineyts E, Serre CM, Vignot E, Delmas PD. </w:t>
      </w:r>
      <w:r w:rsidRPr="003B725E">
        <w:t>Decreased beta-isomerization of the C-terminal telopeptide of type I collagen alpha 1 chain in Paget's disease of bone. Journal of bone and mineral research : the official journal of the American Society for Bone and Mineral Research. 1997;12(9):1407-15.</w:t>
      </w:r>
      <w:bookmarkEnd w:id="445"/>
    </w:p>
    <w:p w:rsidR="003B725E" w:rsidRPr="003B725E" w:rsidRDefault="003B725E" w:rsidP="003B725E">
      <w:pPr>
        <w:pStyle w:val="EndNoteBibliography"/>
        <w:spacing w:after="0"/>
      </w:pPr>
      <w:bookmarkStart w:id="446" w:name="_ENREF_182"/>
      <w:r w:rsidRPr="003B725E">
        <w:t>182.</w:t>
      </w:r>
      <w:r w:rsidRPr="003B725E">
        <w:tab/>
        <w:t>Leeming DJ, Delling G, Koizumi M, Henriksen K, Karsdal MA, Li B, et al. Alpha CTX as a biomarker of skeletal invasion of breast cancer: immunolocalization and the load dependency of urinary excretion. Cancer epidemiology, biomarkers &amp; prevention : a publication of the American Association for Cancer Research, cosponsored by the American Society of Preventive Oncology. 2006;15(7):1392-5.</w:t>
      </w:r>
      <w:bookmarkEnd w:id="446"/>
    </w:p>
    <w:p w:rsidR="003B725E" w:rsidRPr="003B725E" w:rsidRDefault="003B725E" w:rsidP="003B725E">
      <w:pPr>
        <w:pStyle w:val="EndNoteBibliography"/>
        <w:spacing w:after="0"/>
      </w:pPr>
      <w:bookmarkStart w:id="447" w:name="_ENREF_183"/>
      <w:r w:rsidRPr="003B725E">
        <w:t>183.</w:t>
      </w:r>
      <w:r w:rsidRPr="003B725E">
        <w:tab/>
        <w:t>Brady JD, Ju J, Robins SP. Isoaspartyl bond formation within N-terminal sequences of collagen type I: implications for their use as markers of collagen degradation. Clinical science (London, England : 1979). 1999;96(2):209-15.</w:t>
      </w:r>
      <w:bookmarkEnd w:id="447"/>
    </w:p>
    <w:p w:rsidR="003B725E" w:rsidRPr="003B725E" w:rsidRDefault="003B725E" w:rsidP="003B725E">
      <w:pPr>
        <w:pStyle w:val="EndNoteBibliography"/>
        <w:spacing w:after="0"/>
      </w:pPr>
      <w:bookmarkStart w:id="448" w:name="_ENREF_184"/>
      <w:r w:rsidRPr="003B725E">
        <w:t>184.</w:t>
      </w:r>
      <w:r w:rsidRPr="003B725E">
        <w:tab/>
        <w:t>Yaziji H, Janckila AJ, Lear SC, Martin AW, Yam LT. Immunohistochemical detection of tartrate-resistant acid phosphatase in non-hematopoietic human tissues. American journal of clinical pathology. 1995;104(4):397-402.</w:t>
      </w:r>
      <w:bookmarkEnd w:id="448"/>
    </w:p>
    <w:p w:rsidR="003B725E" w:rsidRPr="003B725E" w:rsidRDefault="003B725E" w:rsidP="003B725E">
      <w:pPr>
        <w:pStyle w:val="EndNoteBibliography"/>
        <w:spacing w:after="0"/>
      </w:pPr>
      <w:bookmarkStart w:id="449" w:name="_ENREF_185"/>
      <w:r w:rsidRPr="003B725E">
        <w:t>185.</w:t>
      </w:r>
      <w:r w:rsidRPr="003B725E">
        <w:tab/>
        <w:t>Lam WK, Eastlund DT, Li CY, Yam LT. Biochemical properties of tartrate-resistant acid phosphatase in serum of adults and children. Clinical chemistry. 1978;24(7):1105-8.</w:t>
      </w:r>
      <w:bookmarkEnd w:id="449"/>
    </w:p>
    <w:p w:rsidR="003B725E" w:rsidRPr="003B725E" w:rsidRDefault="003B725E" w:rsidP="003B725E">
      <w:pPr>
        <w:pStyle w:val="EndNoteBibliography"/>
        <w:spacing w:after="0"/>
      </w:pPr>
      <w:bookmarkStart w:id="450" w:name="_ENREF_186"/>
      <w:r w:rsidRPr="003B725E">
        <w:t>186.</w:t>
      </w:r>
      <w:r w:rsidRPr="003B725E">
        <w:tab/>
        <w:t>Lam KW, Li CY, Yam LT, Desnick RJ. Comparison of the tartrate-resistant acid phosphatase in Gaucher's disease and leukemic reticuloendotheliosis. Clinical biochemistry. 1981;14(4):177-81.</w:t>
      </w:r>
      <w:bookmarkEnd w:id="450"/>
    </w:p>
    <w:p w:rsidR="003B725E" w:rsidRPr="003B725E" w:rsidRDefault="003B725E" w:rsidP="003B725E">
      <w:pPr>
        <w:pStyle w:val="EndNoteBibliography"/>
        <w:spacing w:after="0"/>
      </w:pPr>
      <w:bookmarkStart w:id="451" w:name="_ENREF_187"/>
      <w:r w:rsidRPr="003B725E">
        <w:t>187.</w:t>
      </w:r>
      <w:r w:rsidRPr="003B725E">
        <w:tab/>
        <w:t>Rossi A, Deveraux Q, Turk B, Sali A. Comprehensive search for cysteine cathepsins in the human genome. Biological chemistry. 2004;385(5):363-72.</w:t>
      </w:r>
      <w:bookmarkEnd w:id="451"/>
    </w:p>
    <w:p w:rsidR="003B725E" w:rsidRPr="003B725E" w:rsidRDefault="003B725E" w:rsidP="003B725E">
      <w:pPr>
        <w:pStyle w:val="EndNoteBibliography"/>
        <w:spacing w:after="0"/>
      </w:pPr>
      <w:bookmarkStart w:id="452" w:name="_ENREF_188"/>
      <w:r w:rsidRPr="003B725E">
        <w:t>188.</w:t>
      </w:r>
      <w:r w:rsidRPr="003B725E">
        <w:tab/>
        <w:t>Turk V, Stoka V, Vasiljeva O, Renko M, Sun T, Turk B, et al. Cysteine cathepsins: from structure, function and regulation to new frontiers. Biochimica et biophysica acta. 2012;1824(1):68-88.</w:t>
      </w:r>
      <w:bookmarkEnd w:id="452"/>
    </w:p>
    <w:p w:rsidR="003B725E" w:rsidRPr="003B725E" w:rsidRDefault="003B725E" w:rsidP="003B725E">
      <w:pPr>
        <w:pStyle w:val="EndNoteBibliography"/>
        <w:spacing w:after="0"/>
      </w:pPr>
      <w:bookmarkStart w:id="453" w:name="_ENREF_189"/>
      <w:r w:rsidRPr="003B725E">
        <w:t>189.</w:t>
      </w:r>
      <w:r w:rsidRPr="003B725E">
        <w:tab/>
        <w:t>Dodds RA, James IE, Rieman D, Ahern R, Hwang SM, Connor JR, et al. Human osteoclast cathepsin K is processed intracellularly prior to attachment and bone resorption. Journal of bone and mineral research : the official journal of the American Society for Bone and Mineral Research. 2001;16(3):478-86.</w:t>
      </w:r>
      <w:bookmarkEnd w:id="453"/>
    </w:p>
    <w:p w:rsidR="003B725E" w:rsidRPr="003B725E" w:rsidRDefault="003B725E" w:rsidP="003B725E">
      <w:pPr>
        <w:pStyle w:val="EndNoteBibliography"/>
        <w:spacing w:after="0"/>
      </w:pPr>
      <w:bookmarkStart w:id="454" w:name="_ENREF_190"/>
      <w:r w:rsidRPr="003B725E">
        <w:t>190.</w:t>
      </w:r>
      <w:r w:rsidRPr="003B725E">
        <w:tab/>
        <w:t>Bossard MJ, Tomaszek TA, Thompson SK, Amegadzie BY, Hanning CR, Jones C, et al. Proteolytic activity of human osteoclast cathepsin K. Expression, purification, activation, and substrate identification. The Journal of biological chemistry. 1996;271(21):12517-24.</w:t>
      </w:r>
      <w:bookmarkEnd w:id="454"/>
    </w:p>
    <w:p w:rsidR="003B725E" w:rsidRPr="003B725E" w:rsidRDefault="003B725E" w:rsidP="003B725E">
      <w:pPr>
        <w:pStyle w:val="EndNoteBibliography"/>
        <w:spacing w:after="0"/>
      </w:pPr>
      <w:bookmarkStart w:id="455" w:name="_ENREF_191"/>
      <w:r w:rsidRPr="003B725E">
        <w:t>191.</w:t>
      </w:r>
      <w:r w:rsidRPr="003B725E">
        <w:tab/>
        <w:t>Meier C, Meinhardt U, Greenfield JR, De Winter J, Nguyen TV, Dunstan CR, et al. Serum cathepsin K concentrations reflect osteoclastic activity in women with postmenopausal osteoporosis and patients with Paget's disease. Clinical laboratory. 2006;52(1-2):1-10.</w:t>
      </w:r>
      <w:bookmarkEnd w:id="455"/>
    </w:p>
    <w:p w:rsidR="003B725E" w:rsidRPr="003B725E" w:rsidRDefault="003B725E" w:rsidP="003B725E">
      <w:pPr>
        <w:pStyle w:val="EndNoteBibliography"/>
        <w:spacing w:after="0"/>
      </w:pPr>
      <w:bookmarkStart w:id="456" w:name="_ENREF_192"/>
      <w:r w:rsidRPr="003B725E">
        <w:t>192.</w:t>
      </w:r>
      <w:r w:rsidRPr="003B725E">
        <w:tab/>
        <w:t>Munoz-Torres M, Reyes-Garcia R, Mezquita-Raya P, Fernandez-Garcia D, Alonso G, Luna Jde D, et al. Serum cathepsin K as a marker of bone metabolism in postmenopausal women treated with alendronate. Maturitas. 2009;64(3):188-92.</w:t>
      </w:r>
      <w:bookmarkEnd w:id="456"/>
    </w:p>
    <w:p w:rsidR="003B725E" w:rsidRPr="003B725E" w:rsidRDefault="003B725E" w:rsidP="003B725E">
      <w:pPr>
        <w:pStyle w:val="EndNoteBibliography"/>
        <w:spacing w:after="0"/>
      </w:pPr>
      <w:bookmarkStart w:id="457" w:name="_ENREF_193"/>
      <w:r w:rsidRPr="003B725E">
        <w:t>193.</w:t>
      </w:r>
      <w:r w:rsidRPr="003B725E">
        <w:tab/>
        <w:t>Koivula MK, Risteli L, Risteli J. Measurement of aminoterminal propeptide of type I procollagen (PINP) in serum. Clinical biochemistry. 2012;45(12):920-7.</w:t>
      </w:r>
      <w:bookmarkEnd w:id="457"/>
    </w:p>
    <w:p w:rsidR="003B725E" w:rsidRPr="003B725E" w:rsidRDefault="003B725E" w:rsidP="003B725E">
      <w:pPr>
        <w:pStyle w:val="EndNoteBibliography"/>
        <w:spacing w:after="0"/>
      </w:pPr>
      <w:bookmarkStart w:id="458" w:name="_ENREF_194"/>
      <w:r w:rsidRPr="003B725E">
        <w:t>194.</w:t>
      </w:r>
      <w:r w:rsidRPr="003B725E">
        <w:tab/>
        <w:t>Melkko J, Kauppila S, Niemi S, Risteli L, Haukipuro K, Jukkola A, et al. Immunoassay for intact amino-terminal propeptide of human type I procollagen. Clinical chemistry. 1996;42(6 Pt 1):947-54.</w:t>
      </w:r>
      <w:bookmarkEnd w:id="458"/>
    </w:p>
    <w:p w:rsidR="003B725E" w:rsidRPr="003B725E" w:rsidRDefault="003B725E" w:rsidP="003B725E">
      <w:pPr>
        <w:pStyle w:val="EndNoteBibliography"/>
        <w:spacing w:after="0"/>
      </w:pPr>
      <w:bookmarkStart w:id="459" w:name="_ENREF_195"/>
      <w:r w:rsidRPr="003B725E">
        <w:t>195.</w:t>
      </w:r>
      <w:r w:rsidRPr="003B725E">
        <w:tab/>
        <w:t>Melkko J, Hellevik T, Risteli L, Risteli J, Smedsrod B. Clearance of NH2-terminal propeptides of types I and III procollagen is a physiological function of the scavenger receptor in liver endothelial cells. The Journal of experimental medicine. 1994;179(2):405-12.</w:t>
      </w:r>
      <w:bookmarkEnd w:id="459"/>
    </w:p>
    <w:p w:rsidR="003B725E" w:rsidRPr="003B725E" w:rsidRDefault="003B725E" w:rsidP="003B725E">
      <w:pPr>
        <w:pStyle w:val="EndNoteBibliography"/>
        <w:spacing w:after="0"/>
      </w:pPr>
      <w:bookmarkStart w:id="460" w:name="_ENREF_196"/>
      <w:r w:rsidRPr="003B725E">
        <w:t>196.</w:t>
      </w:r>
      <w:r w:rsidRPr="003B725E">
        <w:tab/>
        <w:t>Koivula MK, Richardson J, Leino A, Valleala H, Griffiths K, Barnes A, et al. Validation of an automated intact N-terminal propeptide of type I procollagen (PINP) assay. Clinical biochemistry. 2010;43(18):1453-7.</w:t>
      </w:r>
      <w:bookmarkEnd w:id="460"/>
    </w:p>
    <w:p w:rsidR="003B725E" w:rsidRPr="003B725E" w:rsidRDefault="003B725E" w:rsidP="003B725E">
      <w:pPr>
        <w:pStyle w:val="EndNoteBibliography"/>
        <w:spacing w:after="0"/>
      </w:pPr>
      <w:bookmarkStart w:id="461" w:name="_ENREF_197"/>
      <w:r w:rsidRPr="003B725E">
        <w:lastRenderedPageBreak/>
        <w:t>197.</w:t>
      </w:r>
      <w:r w:rsidRPr="003B725E">
        <w:tab/>
        <w:t>Brandt J, Krogh TN, Jensen CH, Frederiksen JK, Teisner B. Thermal instability of the trimeric structure of the N-terminal propeptide of human procollagen type I in relation to assay technology. Clinical chemistry. 1999;45(1):47-53.</w:t>
      </w:r>
      <w:bookmarkEnd w:id="461"/>
    </w:p>
    <w:p w:rsidR="003B725E" w:rsidRPr="003B725E" w:rsidRDefault="003B725E" w:rsidP="003B725E">
      <w:pPr>
        <w:pStyle w:val="EndNoteBibliography"/>
        <w:spacing w:after="0"/>
      </w:pPr>
      <w:bookmarkStart w:id="462" w:name="_ENREF_198"/>
      <w:r w:rsidRPr="003B725E">
        <w:t>198.</w:t>
      </w:r>
      <w:r w:rsidRPr="003B725E">
        <w:tab/>
        <w:t>Jensen PB, Rasmussen HB, Pedersen FB. Serum concentration of the aminopropeptide of type I procollagen in patients on haemo- and peritoneal dialysis. APMIS. 1997;105(5):371-7.</w:t>
      </w:r>
      <w:bookmarkEnd w:id="462"/>
    </w:p>
    <w:p w:rsidR="003B725E" w:rsidRPr="003B725E" w:rsidRDefault="003B725E" w:rsidP="003B725E">
      <w:pPr>
        <w:pStyle w:val="EndNoteBibliography"/>
        <w:spacing w:after="0"/>
      </w:pPr>
      <w:bookmarkStart w:id="463" w:name="_ENREF_199"/>
      <w:r w:rsidRPr="003B725E">
        <w:t>199.</w:t>
      </w:r>
      <w:r w:rsidRPr="003B725E">
        <w:tab/>
        <w:t>Marin L, Koivula MK, Jukkola-Vuorinen A, Leino A, Risteli J. Comparison of total and intact aminoterminal propeptide of type I procollagen assays in patients with breast cancer with or without bone metastases. Ann Clin Biochem. 2011;48(Pt 5):447-51.</w:t>
      </w:r>
      <w:bookmarkEnd w:id="463"/>
    </w:p>
    <w:p w:rsidR="003B725E" w:rsidRPr="003B725E" w:rsidRDefault="003B725E" w:rsidP="003B725E">
      <w:pPr>
        <w:pStyle w:val="EndNoteBibliography"/>
        <w:spacing w:after="0"/>
      </w:pPr>
      <w:bookmarkStart w:id="464" w:name="_ENREF_200"/>
      <w:r w:rsidRPr="003B725E">
        <w:t>200.</w:t>
      </w:r>
      <w:r w:rsidRPr="003B725E">
        <w:tab/>
        <w:t>Ueda M, Inaba M, Okuno S, Nagasue K, Kitatani K, Ishimura E, et al. Clinical usefulness of the serum N-terminal propeptide of type I collagen as a marker of bone formation in hemodialysis patients. American journal of kidney diseases : the official journal of the National Kidney Foundation. 2002;40(4):802-9.</w:t>
      </w:r>
      <w:bookmarkEnd w:id="464"/>
    </w:p>
    <w:p w:rsidR="003B725E" w:rsidRPr="003B725E" w:rsidRDefault="003B725E" w:rsidP="003B725E">
      <w:pPr>
        <w:pStyle w:val="EndNoteBibliography"/>
        <w:spacing w:after="0"/>
      </w:pPr>
      <w:bookmarkStart w:id="465" w:name="_ENREF_201"/>
      <w:r w:rsidRPr="003B725E">
        <w:t>201.</w:t>
      </w:r>
      <w:r w:rsidRPr="003B725E">
        <w:tab/>
        <w:t>Zoch ML, Clemens TL, Riddle RC. New insights into the biology of osteocalcin. Bone. 2015.</w:t>
      </w:r>
      <w:bookmarkEnd w:id="465"/>
    </w:p>
    <w:p w:rsidR="003B725E" w:rsidRPr="003B725E" w:rsidRDefault="003B725E" w:rsidP="003B725E">
      <w:pPr>
        <w:pStyle w:val="EndNoteBibliography"/>
        <w:spacing w:after="0"/>
      </w:pPr>
      <w:bookmarkStart w:id="466" w:name="_ENREF_202"/>
      <w:r w:rsidRPr="003B725E">
        <w:t>202.</w:t>
      </w:r>
      <w:r w:rsidRPr="003B725E">
        <w:tab/>
        <w:t>Hauschka PV, Lian JB, Cole DE, Gundberg CM. Osteocalcin and matrix Gla protein: vitamin K-dependent proteins in bone. Physiol Rev. 1989;69(3):990-1047.</w:t>
      </w:r>
      <w:bookmarkEnd w:id="466"/>
    </w:p>
    <w:p w:rsidR="003B725E" w:rsidRPr="003B725E" w:rsidRDefault="003B725E" w:rsidP="003B725E">
      <w:pPr>
        <w:pStyle w:val="EndNoteBibliography"/>
        <w:spacing w:after="0"/>
      </w:pPr>
      <w:bookmarkStart w:id="467" w:name="_ENREF_203"/>
      <w:r w:rsidRPr="003B725E">
        <w:t>203.</w:t>
      </w:r>
      <w:r w:rsidRPr="003B725E">
        <w:tab/>
        <w:t>Price PA, Otsuka AA, Poser JW, Kristaponis J, Raman N. Characterization of a gamma-carboxyglutamic acid-containing protein from bone. Proceedings of the National Academy of Sciences of the United States of America. 1976;73(5):1447-51.</w:t>
      </w:r>
      <w:bookmarkEnd w:id="467"/>
    </w:p>
    <w:p w:rsidR="003B725E" w:rsidRPr="003B725E" w:rsidRDefault="003B725E" w:rsidP="003B725E">
      <w:pPr>
        <w:pStyle w:val="EndNoteBibliography"/>
        <w:spacing w:after="0"/>
      </w:pPr>
      <w:bookmarkStart w:id="468" w:name="_ENREF_204"/>
      <w:r w:rsidRPr="003B725E">
        <w:t>204.</w:t>
      </w:r>
      <w:r w:rsidRPr="003B725E">
        <w:tab/>
        <w:t>Hauschka PV, Wians FH, Jr. Osteocalcin-hydroxyapatite interaction in the extracellular organic matrix of bone. Anat Rec. 1989;224(2):180-8.</w:t>
      </w:r>
      <w:bookmarkEnd w:id="468"/>
    </w:p>
    <w:p w:rsidR="003B725E" w:rsidRPr="003B725E" w:rsidRDefault="003B725E" w:rsidP="003B725E">
      <w:pPr>
        <w:pStyle w:val="EndNoteBibliography"/>
        <w:spacing w:after="0"/>
      </w:pPr>
      <w:bookmarkStart w:id="469" w:name="_ENREF_205"/>
      <w:r w:rsidRPr="0040369A">
        <w:t>205.</w:t>
      </w:r>
      <w:r w:rsidRPr="0040369A">
        <w:tab/>
        <w:t xml:space="preserve">Lombardi G, Perego S, Luzi L, Banfi G. A four-season molecule: osteocalcin. </w:t>
      </w:r>
      <w:r w:rsidRPr="003B725E">
        <w:t>Updates in its physiological roles. Endocrine. 2015;48(2):394-404.</w:t>
      </w:r>
      <w:bookmarkEnd w:id="469"/>
    </w:p>
    <w:p w:rsidR="003B725E" w:rsidRPr="003B725E" w:rsidRDefault="003B725E" w:rsidP="003B725E">
      <w:pPr>
        <w:pStyle w:val="EndNoteBibliography"/>
        <w:spacing w:after="0"/>
      </w:pPr>
      <w:bookmarkStart w:id="470" w:name="_ENREF_206"/>
      <w:r w:rsidRPr="003B725E">
        <w:t>206.</w:t>
      </w:r>
      <w:r w:rsidRPr="003B725E">
        <w:tab/>
        <w:t>Vella A, Kumar R. Osteocalcin and the Regulation of Glucose Metabolism. Clin Rev Bone Miner Metab. 2013;11(1):11-6.</w:t>
      </w:r>
      <w:bookmarkEnd w:id="470"/>
    </w:p>
    <w:p w:rsidR="003B725E" w:rsidRPr="003B725E" w:rsidRDefault="003B725E" w:rsidP="003B725E">
      <w:pPr>
        <w:pStyle w:val="EndNoteBibliography"/>
        <w:spacing w:after="0"/>
      </w:pPr>
      <w:bookmarkStart w:id="471" w:name="_ENREF_207"/>
      <w:r w:rsidRPr="003B725E">
        <w:t>207.</w:t>
      </w:r>
      <w:r w:rsidRPr="003B725E">
        <w:tab/>
        <w:t>Price PA, Williamson MK, Lothringer JW. Origin of the vitamin K-dependent bone protein found in plasma and its clearance by kidney and bone. The Journal of biological chemistry. 1981;256(24):12760-6.</w:t>
      </w:r>
      <w:bookmarkEnd w:id="471"/>
    </w:p>
    <w:p w:rsidR="003B725E" w:rsidRPr="003B725E" w:rsidRDefault="003B725E" w:rsidP="003B725E">
      <w:pPr>
        <w:pStyle w:val="EndNoteBibliography"/>
        <w:spacing w:after="0"/>
      </w:pPr>
      <w:bookmarkStart w:id="472" w:name="_ENREF_208"/>
      <w:r w:rsidRPr="003B725E">
        <w:t>208.</w:t>
      </w:r>
      <w:r w:rsidRPr="003B725E">
        <w:tab/>
        <w:t>Centi AJ, Booth SL, Gundberg CM, Saltzman E, Nicklas B, Shea MK. Osteocalcin carboxylation is not associated with body weight or percent fat changes during weight loss in post-menopausal women. Endocrine. 2015.</w:t>
      </w:r>
      <w:bookmarkEnd w:id="472"/>
    </w:p>
    <w:p w:rsidR="003B725E" w:rsidRPr="003B725E" w:rsidRDefault="003B725E" w:rsidP="003B725E">
      <w:pPr>
        <w:pStyle w:val="EndNoteBibliography"/>
        <w:spacing w:after="0"/>
      </w:pPr>
      <w:bookmarkStart w:id="473" w:name="_ENREF_209"/>
      <w:r w:rsidRPr="003B725E">
        <w:t>209.</w:t>
      </w:r>
      <w:r w:rsidRPr="003B725E">
        <w:tab/>
        <w:t>Yadav VK, Karsenty G. Leptin-dependent co-regulation of bone and energy metabolism. Aging (Albany NY). 2009;1(11):954-6.</w:t>
      </w:r>
      <w:bookmarkEnd w:id="473"/>
    </w:p>
    <w:p w:rsidR="003B725E" w:rsidRPr="003B725E" w:rsidRDefault="003B725E" w:rsidP="003B725E">
      <w:pPr>
        <w:pStyle w:val="EndNoteBibliography"/>
        <w:spacing w:after="0"/>
      </w:pPr>
      <w:bookmarkStart w:id="474" w:name="_ENREF_210"/>
      <w:r w:rsidRPr="003B725E">
        <w:t>210.</w:t>
      </w:r>
      <w:r w:rsidRPr="003B725E">
        <w:tab/>
        <w:t>Pittas AG, Harris SS, Eliades M, Stark P, Dawson-Hughes B. Association between serum osteocalcin and markers of metabolic phenotype. The Journal of clinical endocrinology and metabolism. 2009;94(3):827-32.</w:t>
      </w:r>
      <w:bookmarkEnd w:id="474"/>
    </w:p>
    <w:p w:rsidR="003B725E" w:rsidRPr="003B725E" w:rsidRDefault="003B725E" w:rsidP="003B725E">
      <w:pPr>
        <w:pStyle w:val="EndNoteBibliography"/>
        <w:spacing w:after="0"/>
      </w:pPr>
      <w:bookmarkStart w:id="475" w:name="_ENREF_211"/>
      <w:r w:rsidRPr="003B725E">
        <w:t>211.</w:t>
      </w:r>
      <w:r w:rsidRPr="003B725E">
        <w:tab/>
        <w:t>Im JA, Yu BP, Jeon JY, Kim SH. Relationship between osteocalcin and glucose metabolism in postmenopausal women. Clinica chimica acta; international journal of clinical chemistry. 2008;396(1-2):66-9.</w:t>
      </w:r>
      <w:bookmarkEnd w:id="475"/>
    </w:p>
    <w:p w:rsidR="003B725E" w:rsidRPr="003B725E" w:rsidRDefault="003B725E" w:rsidP="003B725E">
      <w:pPr>
        <w:pStyle w:val="EndNoteBibliography"/>
        <w:spacing w:after="0"/>
      </w:pPr>
      <w:bookmarkStart w:id="476" w:name="_ENREF_212"/>
      <w:r w:rsidRPr="003B725E">
        <w:t>212.</w:t>
      </w:r>
      <w:r w:rsidRPr="003B725E">
        <w:tab/>
        <w:t>Saleem U, Mosley TH, Jr., Kullo IJ. Serum osteocalcin is associated with measures of insulin resistance, adipokine levels, and the presence of metabolic syndrome. Arterioscler Thromb Vasc Biol. 2010;30(7):1474-8.</w:t>
      </w:r>
      <w:bookmarkEnd w:id="476"/>
    </w:p>
    <w:p w:rsidR="003B725E" w:rsidRPr="003B725E" w:rsidRDefault="003B725E" w:rsidP="003B725E">
      <w:pPr>
        <w:pStyle w:val="EndNoteBibliography"/>
        <w:spacing w:after="0"/>
      </w:pPr>
      <w:bookmarkStart w:id="477" w:name="_ENREF_213"/>
      <w:r w:rsidRPr="003B725E">
        <w:t>213.</w:t>
      </w:r>
      <w:r w:rsidRPr="003B725E">
        <w:tab/>
        <w:t>Le Du MH, Stigbrand T, Taussig MJ, Menez A, Stura EA. Crystal structure of alkaline phosphatase from human placenta at 1.8 A resolution. Implication for a substrate specificity. The Journal of biological chemistry. 2001;276(12):9158-65.</w:t>
      </w:r>
      <w:bookmarkEnd w:id="477"/>
    </w:p>
    <w:p w:rsidR="003B725E" w:rsidRPr="003B725E" w:rsidRDefault="003B725E" w:rsidP="003B725E">
      <w:pPr>
        <w:pStyle w:val="EndNoteBibliography"/>
        <w:spacing w:after="0"/>
      </w:pPr>
      <w:bookmarkStart w:id="478" w:name="_ENREF_214"/>
      <w:r w:rsidRPr="003B725E">
        <w:t>214.</w:t>
      </w:r>
      <w:r w:rsidRPr="003B725E">
        <w:tab/>
        <w:t>Stefkova K, Prochazkova J, Pachernik J. Alkaline phosphatase in stem cells. Stem cells international. 2015;2015:628368.</w:t>
      </w:r>
      <w:bookmarkEnd w:id="478"/>
    </w:p>
    <w:p w:rsidR="003B725E" w:rsidRPr="003B725E" w:rsidRDefault="003B725E" w:rsidP="003B725E">
      <w:pPr>
        <w:pStyle w:val="EndNoteBibliography"/>
        <w:spacing w:after="0"/>
      </w:pPr>
      <w:bookmarkStart w:id="479" w:name="_ENREF_215"/>
      <w:r w:rsidRPr="003B725E">
        <w:t>215.</w:t>
      </w:r>
      <w:r w:rsidRPr="003B725E">
        <w:tab/>
        <w:t>Halling Linder C, Narisawa S, Millan JL, Magnusson P. Glycosylation differences contribute to distinct catalytic properties among bone alkaline phosphatase isoforms. Bone. 2009;45(5):987-93.</w:t>
      </w:r>
      <w:bookmarkEnd w:id="479"/>
    </w:p>
    <w:p w:rsidR="003B725E" w:rsidRPr="003B725E" w:rsidRDefault="003B725E" w:rsidP="003B725E">
      <w:pPr>
        <w:pStyle w:val="EndNoteBibliography"/>
        <w:spacing w:after="0"/>
      </w:pPr>
      <w:bookmarkStart w:id="480" w:name="_ENREF_216"/>
      <w:r w:rsidRPr="003B725E">
        <w:t>216.</w:t>
      </w:r>
      <w:r w:rsidRPr="003B725E">
        <w:tab/>
        <w:t>Nosjean O, Koyama I, Goseki M, Roux B, Komoda T. Human tissue non-specific alkaline phosphatases: sugar-moiety-induced enzymic and antigenic modulations and genetic aspects. The Biochemical journal. 1997;321 ( Pt 2):297-303.</w:t>
      </w:r>
      <w:bookmarkEnd w:id="480"/>
    </w:p>
    <w:p w:rsidR="003B725E" w:rsidRPr="003B725E" w:rsidRDefault="003B725E" w:rsidP="003B725E">
      <w:pPr>
        <w:pStyle w:val="EndNoteBibliography"/>
        <w:spacing w:after="0"/>
      </w:pPr>
      <w:bookmarkStart w:id="481" w:name="_ENREF_217"/>
      <w:r w:rsidRPr="003B725E">
        <w:lastRenderedPageBreak/>
        <w:t>217.</w:t>
      </w:r>
      <w:r w:rsidRPr="003B725E">
        <w:tab/>
        <w:t>Magnusson P, Lofman O, Larsson L. Methodological aspects on separation and reaction conditions of bone and liver alkaline phosphatase isoform analysis by high-performance liquid chromatography. Analytical biochemistry. 1993;211(1):156-63.</w:t>
      </w:r>
      <w:bookmarkEnd w:id="481"/>
    </w:p>
    <w:p w:rsidR="003B725E" w:rsidRPr="003B725E" w:rsidRDefault="003B725E" w:rsidP="003B725E">
      <w:pPr>
        <w:pStyle w:val="EndNoteBibliography"/>
        <w:spacing w:after="0"/>
      </w:pPr>
      <w:bookmarkStart w:id="482" w:name="_ENREF_218"/>
      <w:r w:rsidRPr="003B725E">
        <w:t>218.</w:t>
      </w:r>
      <w:r w:rsidRPr="003B725E">
        <w:tab/>
        <w:t>Haarhaus M, Fernstrom A, Magnusson M, Magnusson P. Clinical significance of bone alkaline phosphatase isoforms, including the novel B1x isoform, in mild to moderate chronic kidney disease. Nephrology, dialysis, transplantation : official publication of the European Dialysis and Transplant Association - European Renal Association. 2009;24(11):3382-9.</w:t>
      </w:r>
      <w:bookmarkEnd w:id="482"/>
    </w:p>
    <w:p w:rsidR="003B725E" w:rsidRPr="003B725E" w:rsidRDefault="003B725E" w:rsidP="003B725E">
      <w:pPr>
        <w:pStyle w:val="EndNoteBibliography"/>
        <w:spacing w:after="0"/>
      </w:pPr>
      <w:bookmarkStart w:id="483" w:name="_ENREF_219"/>
      <w:r w:rsidRPr="003B725E">
        <w:t>219.</w:t>
      </w:r>
      <w:r w:rsidRPr="003B725E">
        <w:tab/>
        <w:t>Hooper NM. Glycosyl-phosphatidylinositol anchored membrane enzymes. Clinica chimica acta; international journal of clinical chemistry. 1997;266(1):3-12.</w:t>
      </w:r>
      <w:bookmarkEnd w:id="483"/>
    </w:p>
    <w:p w:rsidR="003B725E" w:rsidRPr="003B725E" w:rsidRDefault="003B725E" w:rsidP="003B725E">
      <w:pPr>
        <w:pStyle w:val="EndNoteBibliography"/>
        <w:spacing w:after="0"/>
      </w:pPr>
      <w:bookmarkStart w:id="484" w:name="_ENREF_220"/>
      <w:r w:rsidRPr="003B725E">
        <w:t>220.</w:t>
      </w:r>
      <w:r w:rsidRPr="003B725E">
        <w:tab/>
        <w:t>Anh DJ, Eden A, Farley JR. Quantitation of soluble and skeletal alkaline phosphatase, and insoluble alkaline phosphatase anchor-hydrolase activities in human serum. Clinica chimica acta; international journal of clinical chemistry. 2001;311(2):137-48.</w:t>
      </w:r>
      <w:bookmarkEnd w:id="484"/>
    </w:p>
    <w:p w:rsidR="003B725E" w:rsidRPr="003B725E" w:rsidRDefault="003B725E" w:rsidP="003B725E">
      <w:pPr>
        <w:pStyle w:val="EndNoteBibliography"/>
        <w:spacing w:after="0"/>
      </w:pPr>
      <w:bookmarkStart w:id="485" w:name="_ENREF_221"/>
      <w:r w:rsidRPr="003B725E">
        <w:t>221.</w:t>
      </w:r>
      <w:r w:rsidRPr="003B725E">
        <w:tab/>
        <w:t>Magnusson P, Sharp CA, Farley JR. Different distributions of human bone alkaline phosphatase isoforms in serum and bone tissue extracts. Clinica chimica acta; international journal of clinical chemistry. 2002;325(1-2):59-70.</w:t>
      </w:r>
      <w:bookmarkEnd w:id="485"/>
    </w:p>
    <w:p w:rsidR="003B725E" w:rsidRPr="003B725E" w:rsidRDefault="003B725E" w:rsidP="003B725E">
      <w:pPr>
        <w:pStyle w:val="EndNoteBibliography"/>
        <w:spacing w:after="0"/>
      </w:pPr>
      <w:bookmarkStart w:id="486" w:name="_ENREF_222"/>
      <w:r w:rsidRPr="003B725E">
        <w:t>222.</w:t>
      </w:r>
      <w:r w:rsidRPr="003B725E">
        <w:tab/>
        <w:t>Posen S, Grunstein HS. Turnover rate of skeletal alkaline phosphatase in humans. Clinical chemistry. 1982;28(1):153-4.</w:t>
      </w:r>
      <w:bookmarkEnd w:id="486"/>
    </w:p>
    <w:p w:rsidR="003B725E" w:rsidRPr="003B725E" w:rsidRDefault="003B725E" w:rsidP="003B725E">
      <w:pPr>
        <w:pStyle w:val="EndNoteBibliography"/>
        <w:spacing w:after="0"/>
      </w:pPr>
      <w:bookmarkStart w:id="487" w:name="_ENREF_223"/>
      <w:r w:rsidRPr="003B725E">
        <w:t>223.</w:t>
      </w:r>
      <w:r w:rsidRPr="003B725E">
        <w:tab/>
        <w:t>Calvo MS, Eyre DR, Gundberg CM. Molecular basis and clinical application of biological markers of bone turnover. Endocrine reviews. 1996;17(4):333-68.</w:t>
      </w:r>
      <w:bookmarkEnd w:id="487"/>
    </w:p>
    <w:p w:rsidR="003B725E" w:rsidRPr="003B725E" w:rsidRDefault="003B725E" w:rsidP="003B725E">
      <w:pPr>
        <w:pStyle w:val="EndNoteBibliography"/>
        <w:spacing w:after="0"/>
      </w:pPr>
      <w:bookmarkStart w:id="488" w:name="_ENREF_224"/>
      <w:r w:rsidRPr="003B725E">
        <w:t>224.</w:t>
      </w:r>
      <w:r w:rsidRPr="003B725E">
        <w:tab/>
        <w:t>Hessle L, Johnson KA, Anderson HC, Narisawa S, Sali A, Goding JW, et al. Tissue-nonspecific alkaline phosphatase and plasma cell membrane glycoprotein-1 are central antagonistic regulators of bone mineralization. Proceedings of the National Academy of Sciences of the United States of America. 2002;99(14):9445-9.</w:t>
      </w:r>
      <w:bookmarkEnd w:id="488"/>
    </w:p>
    <w:p w:rsidR="003B725E" w:rsidRPr="003B725E" w:rsidRDefault="003B725E" w:rsidP="003B725E">
      <w:pPr>
        <w:pStyle w:val="EndNoteBibliography"/>
        <w:spacing w:after="0"/>
      </w:pPr>
      <w:bookmarkStart w:id="489" w:name="_ENREF_225"/>
      <w:r w:rsidRPr="003B725E">
        <w:t>225.</w:t>
      </w:r>
      <w:r w:rsidRPr="003B725E">
        <w:tab/>
        <w:t>Rosalki SB, Foo AY. Two new methods for separating and quantifying bone and liver alkaline phosphatase isoenzymes in plasma. Clinical chemistry. 1984;30(7):1182-6.</w:t>
      </w:r>
      <w:bookmarkEnd w:id="489"/>
    </w:p>
    <w:p w:rsidR="003B725E" w:rsidRPr="003B725E" w:rsidRDefault="003B725E" w:rsidP="003B725E">
      <w:pPr>
        <w:pStyle w:val="EndNoteBibliography"/>
        <w:spacing w:after="0"/>
        <w:rPr>
          <w:lang w:val="nl-NL"/>
        </w:rPr>
      </w:pPr>
      <w:bookmarkStart w:id="490" w:name="_ENREF_226"/>
      <w:r w:rsidRPr="003B725E">
        <w:t>226.</w:t>
      </w:r>
      <w:r w:rsidRPr="003B725E">
        <w:tab/>
        <w:t xml:space="preserve">Griffiths J, Black J. Separation and identification of alkaline phosphatase isoenzymes and isoforms in serum of healthy persons by isoelectric focusing. </w:t>
      </w:r>
      <w:r w:rsidRPr="003B725E">
        <w:rPr>
          <w:lang w:val="nl-NL"/>
        </w:rPr>
        <w:t>Clinical chemistry. 1987;33(12):2171-7.</w:t>
      </w:r>
      <w:bookmarkEnd w:id="490"/>
    </w:p>
    <w:p w:rsidR="003B725E" w:rsidRPr="003B725E" w:rsidRDefault="003B725E" w:rsidP="003B725E">
      <w:pPr>
        <w:pStyle w:val="EndNoteBibliography"/>
        <w:spacing w:after="0"/>
      </w:pPr>
      <w:bookmarkStart w:id="491" w:name="_ENREF_227"/>
      <w:r w:rsidRPr="003B725E">
        <w:rPr>
          <w:lang w:val="nl-NL"/>
        </w:rPr>
        <w:t>227.</w:t>
      </w:r>
      <w:r w:rsidRPr="003B725E">
        <w:rPr>
          <w:lang w:val="nl-NL"/>
        </w:rPr>
        <w:tab/>
        <w:t xml:space="preserve">van Straalen JP, Sanders E, Prummel MF, Sanders GT. </w:t>
      </w:r>
      <w:r w:rsidRPr="003B725E">
        <w:t>Bone-alkaline phosphatase as indicator of bone formation. Clinica chimica acta; international journal of clinical chemistry. 1991;201(1-2):27-33.</w:t>
      </w:r>
      <w:bookmarkEnd w:id="491"/>
    </w:p>
    <w:p w:rsidR="003B725E" w:rsidRPr="003B725E" w:rsidRDefault="003B725E" w:rsidP="003B725E">
      <w:pPr>
        <w:pStyle w:val="EndNoteBibliography"/>
        <w:spacing w:after="0"/>
      </w:pPr>
      <w:bookmarkStart w:id="492" w:name="_ENREF_228"/>
      <w:r w:rsidRPr="003B725E">
        <w:t>228.</w:t>
      </w:r>
      <w:r w:rsidRPr="003B725E">
        <w:tab/>
        <w:t>Garnero P, Delmas PD. Assessment of the serum levels of bone alkaline phosphatase with a new immunoradiometric assay in patients with metabolic bone disease. The Journal of clinical endocrinology and metabolism. 1993;77(4):1046-53.</w:t>
      </w:r>
      <w:bookmarkEnd w:id="492"/>
    </w:p>
    <w:p w:rsidR="003B725E" w:rsidRPr="003B725E" w:rsidRDefault="003B725E" w:rsidP="003B725E">
      <w:pPr>
        <w:pStyle w:val="EndNoteBibliography"/>
        <w:spacing w:after="0"/>
      </w:pPr>
      <w:bookmarkStart w:id="493" w:name="_ENREF_229"/>
      <w:r w:rsidRPr="003B725E">
        <w:t>229.</w:t>
      </w:r>
      <w:r w:rsidRPr="003B725E">
        <w:tab/>
        <w:t xml:space="preserve">Sardiwal S, Magnusson P, Goldsmith DJ, Lamb EJ. </w:t>
      </w:r>
      <w:r w:rsidRPr="0040369A">
        <w:rPr>
          <w:lang w:val="it-IT"/>
        </w:rPr>
        <w:t xml:space="preserve">Bone alkaline phosphatase in CKD-mineral bone disorder. </w:t>
      </w:r>
      <w:r w:rsidRPr="003B725E">
        <w:t>American journal of kidney diseases : the official journal of the National Kidney Foundation. 2013;62(4):810-22.</w:t>
      </w:r>
      <w:bookmarkEnd w:id="493"/>
    </w:p>
    <w:p w:rsidR="003B725E" w:rsidRPr="003B725E" w:rsidRDefault="003B725E" w:rsidP="003B725E">
      <w:pPr>
        <w:pStyle w:val="EndNoteBibliography"/>
        <w:spacing w:after="0"/>
      </w:pPr>
      <w:bookmarkStart w:id="494" w:name="_ENREF_230"/>
      <w:r w:rsidRPr="003B725E">
        <w:t>230.</w:t>
      </w:r>
      <w:r w:rsidRPr="003B725E">
        <w:tab/>
        <w:t>Ahmed F, Gibbons SM. Bone-specific alkaline phosphatase by immunoassay or electrophoresis: their use in clinical practice. Journal of clinical pathology. 2015;68(3):246-8.</w:t>
      </w:r>
      <w:bookmarkEnd w:id="494"/>
    </w:p>
    <w:p w:rsidR="003B725E" w:rsidRPr="003B725E" w:rsidRDefault="003B725E" w:rsidP="003B725E">
      <w:pPr>
        <w:pStyle w:val="EndNoteBibliography"/>
        <w:spacing w:after="0"/>
      </w:pPr>
      <w:bookmarkStart w:id="495" w:name="_ENREF_231"/>
      <w:r w:rsidRPr="003B725E">
        <w:t>231.</w:t>
      </w:r>
      <w:r w:rsidRPr="003B725E">
        <w:tab/>
        <w:t>Avbersek-Luznik I, Gmeiner Stopar T, Marc J. Activity or mass concentration of bone-specific alkaline phosphatase as a marker of bone formation. Clinical chemistry and laboratory medicine : CCLM / FESCC. 2007;45(8):1014-8.</w:t>
      </w:r>
      <w:bookmarkEnd w:id="495"/>
    </w:p>
    <w:p w:rsidR="003B725E" w:rsidRPr="003B725E" w:rsidRDefault="003B725E" w:rsidP="003B725E">
      <w:pPr>
        <w:pStyle w:val="EndNoteBibliography"/>
        <w:spacing w:after="0"/>
      </w:pPr>
      <w:bookmarkStart w:id="496" w:name="_ENREF_232"/>
      <w:r w:rsidRPr="003B725E">
        <w:t>232.</w:t>
      </w:r>
      <w:r w:rsidRPr="003B725E">
        <w:tab/>
        <w:t>Jackson RD, LaCroix AZ, Gass M, Wallace RB, Robbins J, Lewis CE, et al. Calcium plus vitamin D supplementation and the risk of fractures. The New England journal of medicine. 2006;354(7):669-83.</w:t>
      </w:r>
      <w:bookmarkEnd w:id="496"/>
    </w:p>
    <w:p w:rsidR="003B725E" w:rsidRPr="003B725E" w:rsidRDefault="003B725E" w:rsidP="003B725E">
      <w:pPr>
        <w:pStyle w:val="EndNoteBibliography"/>
        <w:spacing w:after="0"/>
      </w:pPr>
      <w:bookmarkStart w:id="497" w:name="_ENREF_233"/>
      <w:r w:rsidRPr="003B725E">
        <w:t>233.</w:t>
      </w:r>
      <w:r w:rsidRPr="003B725E">
        <w:tab/>
        <w:t>Nieves JW, Barrett-Connor E, Siris ES, Zion M, Barlas S, Chen YT. Calcium and vitamin D intake influence bone mass, but not short-term fracture risk, in Caucasian postmenopausal women from the National Osteoporosis Risk Assessment (NORA) study. Osteoporosis international : a journal established as result of cooperation between the European Foundation for Osteoporosis and the National Osteoporosis Foundation of the USA. 2008;19(5):673-9.</w:t>
      </w:r>
      <w:bookmarkEnd w:id="497"/>
    </w:p>
    <w:p w:rsidR="003B725E" w:rsidRPr="003B725E" w:rsidRDefault="003B725E" w:rsidP="003B725E">
      <w:pPr>
        <w:pStyle w:val="EndNoteBibliography"/>
        <w:spacing w:after="0"/>
      </w:pPr>
      <w:bookmarkStart w:id="498" w:name="_ENREF_234"/>
      <w:r w:rsidRPr="003B725E">
        <w:t>234.</w:t>
      </w:r>
      <w:r w:rsidRPr="003B725E">
        <w:tab/>
        <w:t xml:space="preserve">Boonen S, Lips P, Bouillon R, Bischoff-Ferrari HA, Vanderschueren D, Haentjens P. Need for additional calcium to reduce the risk of hip fracture with vitamin d supplementation: </w:t>
      </w:r>
      <w:r w:rsidRPr="003B725E">
        <w:lastRenderedPageBreak/>
        <w:t>evidence from a comparative metaanalysis of randomized controlled trials. The Journal of clinical endocrinology and metabolism. 2007;92(4):1415-23.</w:t>
      </w:r>
      <w:bookmarkEnd w:id="498"/>
    </w:p>
    <w:p w:rsidR="003B725E" w:rsidRPr="003B725E" w:rsidRDefault="003B725E" w:rsidP="003B725E">
      <w:pPr>
        <w:pStyle w:val="EndNoteBibliography"/>
        <w:spacing w:after="0"/>
      </w:pPr>
      <w:bookmarkStart w:id="499" w:name="_ENREF_235"/>
      <w:r w:rsidRPr="003B725E">
        <w:t>235.</w:t>
      </w:r>
      <w:r w:rsidRPr="003B725E">
        <w:tab/>
        <w:t>Riggs BL, Parfitt AM. Drugs used to treat osteoporosis: the critical need for a uniform nomenclature based on their action on bone remodeling. Journal of bone and mineral research : the official journal of the American Society for Bone and Mineral Research. 2005;20(2):177-84.</w:t>
      </w:r>
      <w:bookmarkEnd w:id="499"/>
    </w:p>
    <w:p w:rsidR="003B725E" w:rsidRPr="003B725E" w:rsidRDefault="003B725E" w:rsidP="003B725E">
      <w:pPr>
        <w:pStyle w:val="EndNoteBibliography"/>
        <w:spacing w:after="0"/>
      </w:pPr>
      <w:bookmarkStart w:id="500" w:name="_ENREF_236"/>
      <w:r w:rsidRPr="003B725E">
        <w:t>236.</w:t>
      </w:r>
      <w:r w:rsidRPr="003B725E">
        <w:tab/>
        <w:t>Eriksen EF, Diez-Perez A, Boonen S. Update on long-term treatment with bisphosphonates for postmenopausal osteoporosis: a systematic review. Bone. 2014;58:126-35.</w:t>
      </w:r>
      <w:bookmarkEnd w:id="500"/>
    </w:p>
    <w:p w:rsidR="003B725E" w:rsidRPr="003B725E" w:rsidRDefault="003B725E" w:rsidP="003B725E">
      <w:pPr>
        <w:pStyle w:val="EndNoteBibliography"/>
        <w:spacing w:after="0"/>
      </w:pPr>
      <w:bookmarkStart w:id="501" w:name="_ENREF_237"/>
      <w:r w:rsidRPr="003B725E">
        <w:t>237.</w:t>
      </w:r>
      <w:r w:rsidRPr="003B725E">
        <w:tab/>
        <w:t>Appelman-Dijkstra NM, Papapoulos SE. Prevention of incident fractures in patients with prevalent fragility fractures: Current and future approaches. Best practice &amp; research Clinical rheumatology. 2013;27(6):805-20.</w:t>
      </w:r>
      <w:bookmarkEnd w:id="501"/>
    </w:p>
    <w:p w:rsidR="003B725E" w:rsidRPr="003B725E" w:rsidRDefault="003B725E" w:rsidP="003B725E">
      <w:pPr>
        <w:pStyle w:val="EndNoteBibliography"/>
        <w:spacing w:after="0"/>
      </w:pPr>
      <w:bookmarkStart w:id="502" w:name="_ENREF_238"/>
      <w:r w:rsidRPr="003B725E">
        <w:t>238.</w:t>
      </w:r>
      <w:r w:rsidRPr="003B725E">
        <w:tab/>
        <w:t>Silverman SL, Komm BS, Mirkin S. Use of FRAX-based fracture risk assessments to identify patients who will benefit from osteoporosis therapy. Maturitas. 2014;79(3):241-7.</w:t>
      </w:r>
      <w:bookmarkEnd w:id="502"/>
    </w:p>
    <w:p w:rsidR="003B725E" w:rsidRPr="003B725E" w:rsidRDefault="003B725E" w:rsidP="003B725E">
      <w:pPr>
        <w:pStyle w:val="EndNoteBibliography"/>
        <w:spacing w:after="0"/>
      </w:pPr>
      <w:bookmarkStart w:id="503" w:name="_ENREF_239"/>
      <w:r w:rsidRPr="003B725E">
        <w:t>239.</w:t>
      </w:r>
      <w:r w:rsidRPr="003B725E">
        <w:tab/>
        <w:t>Russell RG. Bisphosphonates: the first 40 years. Bone. 2011;49(1):2-19.</w:t>
      </w:r>
      <w:bookmarkEnd w:id="503"/>
    </w:p>
    <w:p w:rsidR="003B725E" w:rsidRPr="003B725E" w:rsidRDefault="003B725E" w:rsidP="003B725E">
      <w:pPr>
        <w:pStyle w:val="EndNoteBibliography"/>
        <w:spacing w:after="0"/>
      </w:pPr>
      <w:bookmarkStart w:id="504" w:name="_ENREF_240"/>
      <w:r w:rsidRPr="003B725E">
        <w:t>240.</w:t>
      </w:r>
      <w:r w:rsidRPr="003B725E">
        <w:tab/>
        <w:t>Francis MD. The inhibition of calcium hydroxypatite crystal growth by polyphosphonates and polyphosphates. Calcif Tissue Res. 1969;3(2):151-62.</w:t>
      </w:r>
      <w:bookmarkEnd w:id="504"/>
    </w:p>
    <w:p w:rsidR="003B725E" w:rsidRPr="003B725E" w:rsidRDefault="003B725E" w:rsidP="003B725E">
      <w:pPr>
        <w:pStyle w:val="EndNoteBibliography"/>
        <w:spacing w:after="0"/>
      </w:pPr>
      <w:bookmarkStart w:id="505" w:name="_ENREF_241"/>
      <w:r w:rsidRPr="003B725E">
        <w:t>241.</w:t>
      </w:r>
      <w:r w:rsidRPr="003B725E">
        <w:tab/>
        <w:t>Russell RG, Watts NB, Ebetino FH, Rogers MJ. Mechanisms of action of bisphosphonates: similarities and differences and their potential influence on clinical efficacy. Osteoporosis international : a journal established as result of cooperation between the European Foundation for Osteoporosis and the National Osteoporosis Foundation of the USA. 2008;19(6):733-59.</w:t>
      </w:r>
      <w:bookmarkEnd w:id="505"/>
    </w:p>
    <w:p w:rsidR="003B725E" w:rsidRPr="003B725E" w:rsidRDefault="003B725E" w:rsidP="003B725E">
      <w:pPr>
        <w:pStyle w:val="EndNoteBibliography"/>
        <w:spacing w:after="0"/>
      </w:pPr>
      <w:bookmarkStart w:id="506" w:name="_ENREF_242"/>
      <w:r w:rsidRPr="003B725E">
        <w:t>242.</w:t>
      </w:r>
      <w:r w:rsidRPr="003B725E">
        <w:tab/>
        <w:t>Nancollas GH, Tang R, Phipps RJ, Henneman Z, Gulde S, Wu W, et al. Novel insights into actions of bisphosphonates on bone: differences in interactions with hydroxyapatite. Bone. 2006;38(5):617-27.</w:t>
      </w:r>
      <w:bookmarkEnd w:id="506"/>
    </w:p>
    <w:p w:rsidR="003B725E" w:rsidRPr="003B725E" w:rsidRDefault="003B725E" w:rsidP="003B725E">
      <w:pPr>
        <w:pStyle w:val="EndNoteBibliography"/>
        <w:spacing w:after="0"/>
      </w:pPr>
      <w:bookmarkStart w:id="507" w:name="_ENREF_243"/>
      <w:r w:rsidRPr="003B725E">
        <w:t>243.</w:t>
      </w:r>
      <w:r w:rsidRPr="003B725E">
        <w:tab/>
        <w:t>Sato M, Grasser W, Endo N, Akins R, Simmons H, Thompson DD, et al. Bisphosphonate action. Alendronate localization in rat bone and effects on osteoclast ultrastructure. The Journal of clinical investigation. 1991;88(6):2095-105.</w:t>
      </w:r>
      <w:bookmarkEnd w:id="507"/>
    </w:p>
    <w:p w:rsidR="003B725E" w:rsidRPr="003B725E" w:rsidRDefault="003B725E" w:rsidP="003B725E">
      <w:pPr>
        <w:pStyle w:val="EndNoteBibliography"/>
        <w:spacing w:after="0"/>
      </w:pPr>
      <w:bookmarkStart w:id="508" w:name="_ENREF_244"/>
      <w:r w:rsidRPr="003B725E">
        <w:t>244.</w:t>
      </w:r>
      <w:r w:rsidRPr="003B725E">
        <w:tab/>
        <w:t>Breuil V, Cosman F, Stein L, Horbert W, Nieves J, Shen V, et al. Human osteoclast formation and activity in vitro: effects of alendronate. Journal of bone and mineral research : the official journal of the American Society for Bone and Mineral Research. 1998;13(11):1721-9.</w:t>
      </w:r>
      <w:bookmarkEnd w:id="508"/>
    </w:p>
    <w:p w:rsidR="003B725E" w:rsidRPr="003B725E" w:rsidRDefault="003B725E" w:rsidP="003B725E">
      <w:pPr>
        <w:pStyle w:val="EndNoteBibliography"/>
        <w:spacing w:after="0"/>
      </w:pPr>
      <w:bookmarkStart w:id="509" w:name="_ENREF_245"/>
      <w:r w:rsidRPr="003B725E">
        <w:t>245.</w:t>
      </w:r>
      <w:r w:rsidRPr="003B725E">
        <w:tab/>
        <w:t>Flanagan AM, Chambers TJ. Dichloromethylenebisphosphonate (Cl2MBP) inhibits bone resorption through injury to osteoclasts that resorb Cl2MBP-coated bone. Bone Miner. 1989;6(1):33-43.</w:t>
      </w:r>
      <w:bookmarkEnd w:id="509"/>
    </w:p>
    <w:p w:rsidR="003B725E" w:rsidRPr="003B725E" w:rsidRDefault="003B725E" w:rsidP="003B725E">
      <w:pPr>
        <w:pStyle w:val="EndNoteBibliography"/>
        <w:spacing w:after="0"/>
      </w:pPr>
      <w:bookmarkStart w:id="510" w:name="_ENREF_246"/>
      <w:r w:rsidRPr="003B725E">
        <w:t>246.</w:t>
      </w:r>
      <w:r w:rsidRPr="003B725E">
        <w:tab/>
        <w:t>Weinstein RS, Roberson PK, Manolagas SC. Giant osteoclast formation and long-term oral bisphosphonate therapy. The New England journal of medicine. 2009;360(1):53-62.</w:t>
      </w:r>
      <w:bookmarkEnd w:id="510"/>
    </w:p>
    <w:p w:rsidR="003B725E" w:rsidRPr="003B725E" w:rsidRDefault="003B725E" w:rsidP="003B725E">
      <w:pPr>
        <w:pStyle w:val="EndNoteBibliography"/>
        <w:spacing w:after="0"/>
      </w:pPr>
      <w:bookmarkStart w:id="511" w:name="_ENREF_247"/>
      <w:r w:rsidRPr="003B725E">
        <w:t>247.</w:t>
      </w:r>
      <w:r w:rsidRPr="003B725E">
        <w:tab/>
        <w:t>Eisman JA, Bone HG, Hosking DJ, McClung MR, Reid IR, Rizzoli R, et al. Odanacatib in the treatment of postmenopausal women with low bone mineral density: three-year continued therapy and resolution of effect. Journal of bone and mineral research : the official journal of the American Society for Bone and Mineral Research. 2011;26(2):242-51.</w:t>
      </w:r>
      <w:bookmarkEnd w:id="511"/>
    </w:p>
    <w:p w:rsidR="003B725E" w:rsidRPr="003B725E" w:rsidRDefault="003B725E" w:rsidP="003B725E">
      <w:pPr>
        <w:pStyle w:val="EndNoteBibliography"/>
        <w:spacing w:after="0"/>
      </w:pPr>
      <w:bookmarkStart w:id="512" w:name="_ENREF_248"/>
      <w:r w:rsidRPr="003B725E">
        <w:t>248.</w:t>
      </w:r>
      <w:r w:rsidRPr="003B725E">
        <w:tab/>
        <w:t>Murakami H, Takahashi N, Sasaki T, Udagawa N, Tanaka S, Nakamura I, et al. A possible mechanism of the specific action of bisphosphonates on osteoclasts: tiludronate preferentially affects polarized osteoclasts having ruffled borders. Bone. 1995;17(2):137-44.</w:t>
      </w:r>
      <w:bookmarkEnd w:id="512"/>
    </w:p>
    <w:p w:rsidR="003B725E" w:rsidRPr="003B725E" w:rsidRDefault="003B725E" w:rsidP="003B725E">
      <w:pPr>
        <w:pStyle w:val="EndNoteBibliography"/>
        <w:spacing w:after="0"/>
      </w:pPr>
      <w:bookmarkStart w:id="513" w:name="_ENREF_249"/>
      <w:r w:rsidRPr="003B725E">
        <w:t>249.</w:t>
      </w:r>
      <w:r w:rsidRPr="003B725E">
        <w:tab/>
        <w:t>Rogers MJ. From molds and macrophages to mevalonate: a decade of progress in understanding the molecular mode of action of bisphosphonates. Calcified tissue international. 2004;75(6):451-61.</w:t>
      </w:r>
      <w:bookmarkEnd w:id="513"/>
    </w:p>
    <w:p w:rsidR="003B725E" w:rsidRPr="003B725E" w:rsidRDefault="003B725E" w:rsidP="003B725E">
      <w:pPr>
        <w:pStyle w:val="EndNoteBibliography"/>
        <w:spacing w:after="0"/>
      </w:pPr>
      <w:bookmarkStart w:id="514" w:name="_ENREF_250"/>
      <w:r w:rsidRPr="003B725E">
        <w:t>250.</w:t>
      </w:r>
      <w:r w:rsidRPr="003B725E">
        <w:tab/>
        <w:t>Fast DK, Felix R, Dowse C, Neuman WF, Fleisch H. The effects of diphosphonates on the growth and glycolysis of connective-tissue cells in culture. The Biochemical journal. 1978;172(1):97-107.</w:t>
      </w:r>
      <w:bookmarkEnd w:id="514"/>
    </w:p>
    <w:p w:rsidR="003B725E" w:rsidRPr="003B725E" w:rsidRDefault="003B725E" w:rsidP="003B725E">
      <w:pPr>
        <w:pStyle w:val="EndNoteBibliography"/>
        <w:spacing w:after="0"/>
      </w:pPr>
      <w:bookmarkStart w:id="515" w:name="_ENREF_251"/>
      <w:r w:rsidRPr="003B725E">
        <w:t>251.</w:t>
      </w:r>
      <w:r w:rsidRPr="003B725E">
        <w:tab/>
        <w:t>David P, Nguyen H, Barbier A, Baron R. The bisphosphonate tiludronate is a potent inhibitor of the osteoclast vacuolar H(+)-ATPase. Journal of bone and mineral research : the official journal of the American Society for Bone and Mineral Research. 1996;11(10):1498-507.</w:t>
      </w:r>
      <w:bookmarkEnd w:id="515"/>
    </w:p>
    <w:p w:rsidR="003B725E" w:rsidRPr="003B725E" w:rsidRDefault="003B725E" w:rsidP="003B725E">
      <w:pPr>
        <w:pStyle w:val="EndNoteBibliography"/>
        <w:spacing w:after="0"/>
      </w:pPr>
      <w:bookmarkStart w:id="516" w:name="_ENREF_252"/>
      <w:r w:rsidRPr="003B725E">
        <w:lastRenderedPageBreak/>
        <w:t>252.</w:t>
      </w:r>
      <w:r w:rsidRPr="003B725E">
        <w:tab/>
        <w:t>Murakami H, Takahashi N, Tanaka S, Nakamura I, Udagawa N, Nakajo S, et al. Tiludronate inhibits protein tyrosine phosphatase activity in osteoclasts. Bone. 1997;20(5):399-404.</w:t>
      </w:r>
      <w:bookmarkEnd w:id="516"/>
    </w:p>
    <w:p w:rsidR="003B725E" w:rsidRPr="003B725E" w:rsidRDefault="003B725E" w:rsidP="003B725E">
      <w:pPr>
        <w:pStyle w:val="EndNoteBibliography"/>
        <w:spacing w:after="0"/>
        <w:rPr>
          <w:lang w:val="pt-PT"/>
        </w:rPr>
      </w:pPr>
      <w:bookmarkStart w:id="517" w:name="_ENREF_253"/>
      <w:r w:rsidRPr="003B725E">
        <w:t>253.</w:t>
      </w:r>
      <w:r w:rsidRPr="003B725E">
        <w:tab/>
        <w:t xml:space="preserve">Felix R, Graham R, Russell G, Fleisch H. The effect of several diphosphonates on acid phosphohydrolases and other lysosomal enzymes. </w:t>
      </w:r>
      <w:r w:rsidRPr="003B725E">
        <w:rPr>
          <w:lang w:val="pt-PT"/>
        </w:rPr>
        <w:t>Biochimica et biophysica acta. 1976;429(2):429-38.</w:t>
      </w:r>
      <w:bookmarkEnd w:id="517"/>
    </w:p>
    <w:p w:rsidR="003B725E" w:rsidRPr="003B725E" w:rsidRDefault="003B725E" w:rsidP="003B725E">
      <w:pPr>
        <w:pStyle w:val="EndNoteBibliography"/>
        <w:spacing w:after="0"/>
      </w:pPr>
      <w:bookmarkStart w:id="518" w:name="_ENREF_254"/>
      <w:r w:rsidRPr="003B725E">
        <w:rPr>
          <w:lang w:val="pt-PT"/>
        </w:rPr>
        <w:t>254.</w:t>
      </w:r>
      <w:r w:rsidRPr="003B725E">
        <w:rPr>
          <w:lang w:val="pt-PT"/>
        </w:rPr>
        <w:tab/>
        <w:t xml:space="preserve">Vitte C, Fleisch H, Guenther HL. </w:t>
      </w:r>
      <w:r w:rsidRPr="003B725E">
        <w:t>Bisphosphonates induce osteoblasts to secrete an inhibitor of osteoclast-mediated resorption. Endocrinology. 1996;137(6):2324-33.</w:t>
      </w:r>
      <w:bookmarkEnd w:id="518"/>
    </w:p>
    <w:p w:rsidR="003B725E" w:rsidRPr="003B725E" w:rsidRDefault="003B725E" w:rsidP="003B725E">
      <w:pPr>
        <w:pStyle w:val="EndNoteBibliography"/>
        <w:spacing w:after="0"/>
      </w:pPr>
      <w:bookmarkStart w:id="519" w:name="_ENREF_255"/>
      <w:r w:rsidRPr="003B725E">
        <w:t>255.</w:t>
      </w:r>
      <w:r w:rsidRPr="003B725E">
        <w:tab/>
        <w:t>Rogers MJ, Watts DJ, Russell RG. Overview of bisphosphonates. Cancer. 1997;80(8 Suppl):1652-60.</w:t>
      </w:r>
      <w:bookmarkEnd w:id="519"/>
    </w:p>
    <w:p w:rsidR="003B725E" w:rsidRPr="003B725E" w:rsidRDefault="003B725E" w:rsidP="003B725E">
      <w:pPr>
        <w:pStyle w:val="EndNoteBibliography"/>
        <w:spacing w:after="0"/>
      </w:pPr>
      <w:bookmarkStart w:id="520" w:name="_ENREF_256"/>
      <w:r w:rsidRPr="003B725E">
        <w:t>256.</w:t>
      </w:r>
      <w:r w:rsidRPr="003B725E">
        <w:tab/>
        <w:t>Frith JC, Monkkonen J, Auriola S, Monkkonen H, Rogers MJ. The molecular mechanism of action of the antiresorptive and antiinflammatory drug clodronate: evidence for the formation in vivo of a metabolite that inhibits bone resorption and causes osteoclast and macrophage apoptosis. Arthritis and rheumatism. 2001;44(9):2201-10.</w:t>
      </w:r>
      <w:bookmarkEnd w:id="520"/>
    </w:p>
    <w:p w:rsidR="003B725E" w:rsidRPr="003B725E" w:rsidRDefault="003B725E" w:rsidP="003B725E">
      <w:pPr>
        <w:pStyle w:val="EndNoteBibliography"/>
        <w:spacing w:after="0"/>
      </w:pPr>
      <w:bookmarkStart w:id="521" w:name="_ENREF_257"/>
      <w:r w:rsidRPr="003B725E">
        <w:t>257.</w:t>
      </w:r>
      <w:r w:rsidRPr="003B725E">
        <w:tab/>
        <w:t>Lehenkari PP, Kellinsalmi M, Napankangas JP, Ylitalo KV, Monkkonen J, Rogers MJ, et al. Further insight into mechanism of action of clodronate: inhibition of mitochondrial ADP/ATP translocase by a nonhydrolyzable, adenine-containing metabolite. Molecular pharmacology. 2002;61(5):1255-62.</w:t>
      </w:r>
      <w:bookmarkEnd w:id="521"/>
    </w:p>
    <w:p w:rsidR="003B725E" w:rsidRPr="003B725E" w:rsidRDefault="003B725E" w:rsidP="003B725E">
      <w:pPr>
        <w:pStyle w:val="EndNoteBibliography"/>
        <w:spacing w:after="0"/>
      </w:pPr>
      <w:bookmarkStart w:id="522" w:name="_ENREF_258"/>
      <w:r w:rsidRPr="003B725E">
        <w:t>258.</w:t>
      </w:r>
      <w:r w:rsidRPr="003B725E">
        <w:tab/>
        <w:t>Benford HL, McGowan NW, Helfrich MH, Nuttall ME, Rogers MJ. Visualization of bisphosphonate-induced caspase-3 activity in apoptotic osteoclasts in vitro. Bone. 2001;28(5):465-73.</w:t>
      </w:r>
      <w:bookmarkEnd w:id="522"/>
    </w:p>
    <w:p w:rsidR="003B725E" w:rsidRPr="003B725E" w:rsidRDefault="003B725E" w:rsidP="003B725E">
      <w:pPr>
        <w:pStyle w:val="EndNoteBibliography"/>
        <w:spacing w:after="0"/>
      </w:pPr>
      <w:bookmarkStart w:id="523" w:name="_ENREF_259"/>
      <w:r w:rsidRPr="003B725E">
        <w:t>259.</w:t>
      </w:r>
      <w:r w:rsidRPr="003B725E">
        <w:tab/>
        <w:t>Amin D, Cornell SA, Perrone MH, Bilder GE. 1-Hydroxy-3-(methylpentylamino)-propylidene-1,1-bisphosphonic acid as a potent inhibitor of squalene synthase. Arzneimittelforschung. 1996;46(8):759-62.</w:t>
      </w:r>
      <w:bookmarkEnd w:id="523"/>
    </w:p>
    <w:p w:rsidR="003B725E" w:rsidRPr="003B725E" w:rsidRDefault="003B725E" w:rsidP="003B725E">
      <w:pPr>
        <w:pStyle w:val="EndNoteBibliography"/>
        <w:spacing w:after="0"/>
      </w:pPr>
      <w:bookmarkStart w:id="524" w:name="_ENREF_260"/>
      <w:r w:rsidRPr="003B725E">
        <w:t>260.</w:t>
      </w:r>
      <w:r w:rsidRPr="003B725E">
        <w:tab/>
        <w:t>Luckman SP, Hughes DE, Coxon FP, Graham R, Russell G, Rogers MJ. Nitrogen-containing bisphosphonates inhibit the mevalonate pathway and prevent post-translational prenylation of GTP-binding proteins, including Ras. Journal of bone and mineral research : the official journal of the American Society for Bone and Mineral Research. 1998;13(4):581-9.</w:t>
      </w:r>
      <w:bookmarkEnd w:id="524"/>
    </w:p>
    <w:p w:rsidR="003B725E" w:rsidRPr="003B725E" w:rsidRDefault="003B725E" w:rsidP="003B725E">
      <w:pPr>
        <w:pStyle w:val="EndNoteBibliography"/>
        <w:spacing w:after="0"/>
        <w:rPr>
          <w:lang w:val="de-DE"/>
        </w:rPr>
      </w:pPr>
      <w:bookmarkStart w:id="525" w:name="_ENREF_261"/>
      <w:r w:rsidRPr="003B725E">
        <w:t>261.</w:t>
      </w:r>
      <w:r w:rsidRPr="003B725E">
        <w:tab/>
        <w:t xml:space="preserve">Ridley AJ, Paterson HF, Johnston CL, Diekmann D, Hall A. The small GTP-binding protein rac regulates growth factor-induced membrane ruffling. </w:t>
      </w:r>
      <w:r w:rsidRPr="003B725E">
        <w:rPr>
          <w:lang w:val="de-DE"/>
        </w:rPr>
        <w:t>Cell. 1992;70(3):401-10.</w:t>
      </w:r>
      <w:bookmarkEnd w:id="525"/>
    </w:p>
    <w:p w:rsidR="003B725E" w:rsidRPr="003B725E" w:rsidRDefault="003B725E" w:rsidP="003B725E">
      <w:pPr>
        <w:pStyle w:val="EndNoteBibliography"/>
        <w:spacing w:after="0"/>
        <w:rPr>
          <w:lang w:val="de-DE"/>
        </w:rPr>
      </w:pPr>
      <w:bookmarkStart w:id="526" w:name="_ENREF_262"/>
      <w:r w:rsidRPr="003B725E">
        <w:rPr>
          <w:lang w:val="de-DE"/>
        </w:rPr>
        <w:t>262.</w:t>
      </w:r>
      <w:r w:rsidRPr="003B725E">
        <w:rPr>
          <w:lang w:val="de-DE"/>
        </w:rPr>
        <w:tab/>
        <w:t>Zerial M, Stenmark H. Rab GTPases in vesicular transport. Curr Opin Cell Biol. 1993;5(4):613-20.</w:t>
      </w:r>
      <w:bookmarkEnd w:id="526"/>
    </w:p>
    <w:p w:rsidR="003B725E" w:rsidRPr="003B725E" w:rsidRDefault="003B725E" w:rsidP="003B725E">
      <w:pPr>
        <w:pStyle w:val="EndNoteBibliography"/>
        <w:spacing w:after="0"/>
      </w:pPr>
      <w:bookmarkStart w:id="527" w:name="_ENREF_263"/>
      <w:r w:rsidRPr="003B725E">
        <w:rPr>
          <w:lang w:val="de-DE"/>
        </w:rPr>
        <w:t>263.</w:t>
      </w:r>
      <w:r w:rsidRPr="003B725E">
        <w:rPr>
          <w:lang w:val="de-DE"/>
        </w:rPr>
        <w:tab/>
        <w:t xml:space="preserve">Zhang D, Udagawa N, Nakamura I, Murakami H, Saito S, Yamasaki K, et al. </w:t>
      </w:r>
      <w:r w:rsidRPr="003B725E">
        <w:t>The small GTP-binding protein, rho p21, is involved in bone resorption by regulating cytoskeletal organization in osteoclasts. Journal of cell science. 1995;108 ( Pt 6):2285-92.</w:t>
      </w:r>
      <w:bookmarkEnd w:id="527"/>
    </w:p>
    <w:p w:rsidR="003B725E" w:rsidRPr="003B725E" w:rsidRDefault="003B725E" w:rsidP="003B725E">
      <w:pPr>
        <w:pStyle w:val="EndNoteBibliography"/>
        <w:spacing w:after="0"/>
      </w:pPr>
      <w:bookmarkStart w:id="528" w:name="_ENREF_264"/>
      <w:r w:rsidRPr="003B725E">
        <w:t>264.</w:t>
      </w:r>
      <w:r w:rsidRPr="003B725E">
        <w:tab/>
        <w:t>Rogers MJ. New insights into the molecular mechanisms of action of bisphosphonates. Current pharmaceutical design. 2003;9(32):2643-58.</w:t>
      </w:r>
      <w:bookmarkEnd w:id="528"/>
    </w:p>
    <w:p w:rsidR="003B725E" w:rsidRPr="003B725E" w:rsidRDefault="003B725E" w:rsidP="003B725E">
      <w:pPr>
        <w:pStyle w:val="EndNoteBibliography"/>
        <w:spacing w:after="0"/>
      </w:pPr>
      <w:bookmarkStart w:id="529" w:name="_ENREF_265"/>
      <w:r w:rsidRPr="003B725E">
        <w:t>265.</w:t>
      </w:r>
      <w:r w:rsidRPr="003B725E">
        <w:tab/>
        <w:t>Dunford JE, Rogers MJ, Ebetino FH, Phipps RJ, Coxon FP. Inhibition of protein prenylation by bisphosphonates causes sustained activation of Rac, Cdc42, and Rho GTPases. Journal of bone and mineral research : the official journal of the American Society for Bone and Mineral Research. 2006;21(5):684-94.</w:t>
      </w:r>
      <w:bookmarkEnd w:id="529"/>
    </w:p>
    <w:p w:rsidR="003B725E" w:rsidRPr="003B725E" w:rsidRDefault="003B725E" w:rsidP="003B725E">
      <w:pPr>
        <w:pStyle w:val="EndNoteBibliography"/>
        <w:spacing w:after="0"/>
      </w:pPr>
      <w:bookmarkStart w:id="530" w:name="_ENREF_266"/>
      <w:r w:rsidRPr="003B725E">
        <w:t>266.</w:t>
      </w:r>
      <w:r w:rsidRPr="003B725E">
        <w:tab/>
        <w:t>Fisher JE, Rogers MJ, Halasy JM, Luckman SP, Hughes DE, Masarachia PJ, et al. Alendronate mechanism of action: geranylgeraniol, an intermediate in the mevalonate pathway, prevents inhibition of osteoclast formation, bone resorption, and kinase activation in vitro. Proceedings of the National Academy of Sciences of the United States of America. 1999;96(1):133-8.</w:t>
      </w:r>
      <w:bookmarkEnd w:id="530"/>
    </w:p>
    <w:p w:rsidR="003B725E" w:rsidRPr="003B725E" w:rsidRDefault="003B725E" w:rsidP="003B725E">
      <w:pPr>
        <w:pStyle w:val="EndNoteBibliography"/>
        <w:spacing w:after="0"/>
      </w:pPr>
      <w:bookmarkStart w:id="531" w:name="_ENREF_267"/>
      <w:r w:rsidRPr="003B725E">
        <w:t>267.</w:t>
      </w:r>
      <w:r w:rsidRPr="003B725E">
        <w:tab/>
        <w:t>Coxon FP, Helfrich MH, Van't Hof R, Sebti S, Ralston SH, Hamilton A, et al. Protein geranylgeranylation is required for osteoclast formation, function, and survival: inhibition by bisphosphonates and GGTI-298. Journal of bone and mineral research : the official journal of the American Society for Bone and Mineral Research. 2000;15(8):1467-76.</w:t>
      </w:r>
      <w:bookmarkEnd w:id="531"/>
    </w:p>
    <w:p w:rsidR="003B725E" w:rsidRPr="003B725E" w:rsidRDefault="003B725E" w:rsidP="003B725E">
      <w:pPr>
        <w:pStyle w:val="EndNoteBibliography"/>
        <w:spacing w:after="0"/>
      </w:pPr>
      <w:bookmarkStart w:id="532" w:name="_ENREF_268"/>
      <w:r w:rsidRPr="003B725E">
        <w:t>268.</w:t>
      </w:r>
      <w:r w:rsidRPr="003B725E">
        <w:tab/>
        <w:t>Aguirre JI, Plotkin LI, Stewart SA, Weinstein RS, Parfitt AM, Manolagas SC, et al. Osteocyte apoptosis is induced by weightlessness in mice and precedes osteoclast recruitment and bone loss. Journal of bone and mineral research : the official journal of the American Society for Bone and Mineral Research. 2006;21(4):605-15.</w:t>
      </w:r>
      <w:bookmarkEnd w:id="532"/>
    </w:p>
    <w:p w:rsidR="003B725E" w:rsidRPr="003B725E" w:rsidRDefault="003B725E" w:rsidP="003B725E">
      <w:pPr>
        <w:pStyle w:val="EndNoteBibliography"/>
        <w:spacing w:after="0"/>
      </w:pPr>
      <w:bookmarkStart w:id="533" w:name="_ENREF_269"/>
      <w:r w:rsidRPr="003B725E">
        <w:lastRenderedPageBreak/>
        <w:t>269.</w:t>
      </w:r>
      <w:r w:rsidRPr="003B725E">
        <w:tab/>
        <w:t>Plotkin LI, Weinstein RS, Parfitt AM, Roberson PK, Manolagas SC, Bellido T. Prevention of osteocyte and osteoblast apoptosis by bisphosphonates and calcitonin. The Journal of clinical investigation. 1999;104(10):1363-74.</w:t>
      </w:r>
      <w:bookmarkEnd w:id="533"/>
    </w:p>
    <w:p w:rsidR="003B725E" w:rsidRPr="003B725E" w:rsidRDefault="003B725E" w:rsidP="003B725E">
      <w:pPr>
        <w:pStyle w:val="EndNoteBibliography"/>
        <w:spacing w:after="0"/>
      </w:pPr>
      <w:bookmarkStart w:id="534" w:name="_ENREF_270"/>
      <w:r w:rsidRPr="003B725E">
        <w:t>270.</w:t>
      </w:r>
      <w:r w:rsidRPr="003B725E">
        <w:tab/>
        <w:t>Plotkin LI, Manolagas SC, Bellido T. Dissociation of the pro-apoptotic effects of bisphosphonates on osteoclasts from their anti-apoptotic effects on osteoblasts/osteocytes with novel analogs. Bone. 2006;39(3):443-52.</w:t>
      </w:r>
      <w:bookmarkEnd w:id="534"/>
    </w:p>
    <w:p w:rsidR="003B725E" w:rsidRPr="003B725E" w:rsidRDefault="003B725E" w:rsidP="003B725E">
      <w:pPr>
        <w:pStyle w:val="EndNoteBibliography"/>
        <w:spacing w:after="0"/>
      </w:pPr>
      <w:bookmarkStart w:id="535" w:name="_ENREF_271"/>
      <w:r w:rsidRPr="003B725E">
        <w:t>271.</w:t>
      </w:r>
      <w:r w:rsidRPr="003B725E">
        <w:tab/>
        <w:t>Reid IR, Miller P, Lyles K, Fraser W, Brown JP, Saidi Y, et al. Comparison of a single infusion of zoledronic acid with risedronate for Paget's disease. The New England journal of medicine. 2005;353(9):898-908.</w:t>
      </w:r>
      <w:bookmarkEnd w:id="535"/>
    </w:p>
    <w:p w:rsidR="003B725E" w:rsidRPr="003B725E" w:rsidRDefault="003B725E" w:rsidP="003B725E">
      <w:pPr>
        <w:pStyle w:val="EndNoteBibliography"/>
        <w:spacing w:after="0"/>
      </w:pPr>
      <w:bookmarkStart w:id="536" w:name="_ENREF_272"/>
      <w:r w:rsidRPr="003B725E">
        <w:t>272.</w:t>
      </w:r>
      <w:r w:rsidRPr="003B725E">
        <w:tab/>
        <w:t>Rauch F, Glorieux FH. Bisphosphonate treatment in osteogenesis imperfecta: which drug, for whom, for how long? Ann Med. 2005;37(4):295-302.</w:t>
      </w:r>
      <w:bookmarkEnd w:id="536"/>
    </w:p>
    <w:p w:rsidR="003B725E" w:rsidRPr="003B725E" w:rsidRDefault="003B725E" w:rsidP="003B725E">
      <w:pPr>
        <w:pStyle w:val="EndNoteBibliography"/>
        <w:spacing w:after="0"/>
      </w:pPr>
      <w:bookmarkStart w:id="537" w:name="_ENREF_273"/>
      <w:r w:rsidRPr="003B725E">
        <w:t>273.</w:t>
      </w:r>
      <w:r w:rsidRPr="003B725E">
        <w:tab/>
        <w:t>Ross JR, Saunders Y, Edmonds PM, Patel S, Wonderling D, Normand C, et al. A systematic review of the role of bisphosphonates in metastatic disease. Health Technol Assess. 2004;8(4):1-176.</w:t>
      </w:r>
      <w:bookmarkEnd w:id="537"/>
    </w:p>
    <w:p w:rsidR="003B725E" w:rsidRPr="003B725E" w:rsidRDefault="003B725E" w:rsidP="003B725E">
      <w:pPr>
        <w:pStyle w:val="EndNoteBibliography"/>
        <w:spacing w:after="0"/>
      </w:pPr>
      <w:bookmarkStart w:id="538" w:name="_ENREF_274"/>
      <w:r w:rsidRPr="003B725E">
        <w:t>274.</w:t>
      </w:r>
      <w:r w:rsidRPr="003B725E">
        <w:tab/>
        <w:t>Sirohi B, Powles R. Multiple myeloma. Lancet. 2004;363(9412):875-87.</w:t>
      </w:r>
      <w:bookmarkEnd w:id="538"/>
    </w:p>
    <w:p w:rsidR="003B725E" w:rsidRPr="003B725E" w:rsidRDefault="003B725E" w:rsidP="003B725E">
      <w:pPr>
        <w:pStyle w:val="EndNoteBibliography"/>
        <w:spacing w:after="0"/>
      </w:pPr>
      <w:bookmarkStart w:id="539" w:name="_ENREF_275"/>
      <w:r w:rsidRPr="003B725E">
        <w:t>275.</w:t>
      </w:r>
      <w:r w:rsidRPr="003B725E">
        <w:tab/>
        <w:t>Coleman RE, Major P, Lipton A, Brown JE, Lee KA, Smith M, et al. Predictive value of bone resorption and formation markers in cancer patients with bone metastases receiving the bisphosphonate zoledronic acid. Journal of clinical oncology : official journal of the American Society of Clinical Oncology. 2005;23(22):4925-35.</w:t>
      </w:r>
      <w:bookmarkEnd w:id="539"/>
    </w:p>
    <w:p w:rsidR="003B725E" w:rsidRPr="003B725E" w:rsidRDefault="003B725E" w:rsidP="003B725E">
      <w:pPr>
        <w:pStyle w:val="EndNoteBibliography"/>
        <w:spacing w:after="0"/>
      </w:pPr>
      <w:bookmarkStart w:id="540" w:name="_ENREF_276"/>
      <w:r w:rsidRPr="003B725E">
        <w:t>276.</w:t>
      </w:r>
      <w:r w:rsidRPr="003B725E">
        <w:tab/>
        <w:t>Parker CC. The role of bisphosphonates in the treatment of prostate cancer. BJU Int. 2005;95(7):935-8.</w:t>
      </w:r>
      <w:bookmarkEnd w:id="540"/>
    </w:p>
    <w:p w:rsidR="003B725E" w:rsidRPr="003B725E" w:rsidRDefault="003B725E" w:rsidP="003B725E">
      <w:pPr>
        <w:pStyle w:val="EndNoteBibliography"/>
        <w:spacing w:after="0"/>
      </w:pPr>
      <w:bookmarkStart w:id="541" w:name="_ENREF_277"/>
      <w:r w:rsidRPr="003B725E">
        <w:t>277.</w:t>
      </w:r>
      <w:r w:rsidRPr="003B725E">
        <w:tab/>
        <w:t>Eastell R, Walsh JS, Watts NB, Siris E. Bisphosphonates for postmenopausal osteoporosis. Bone. 2011;49(1):82-8.</w:t>
      </w:r>
      <w:bookmarkEnd w:id="541"/>
    </w:p>
    <w:p w:rsidR="003B725E" w:rsidRPr="003B725E" w:rsidRDefault="003B725E" w:rsidP="003B725E">
      <w:pPr>
        <w:pStyle w:val="EndNoteBibliography"/>
        <w:spacing w:after="0"/>
      </w:pPr>
      <w:bookmarkStart w:id="542" w:name="_ENREF_278"/>
      <w:r w:rsidRPr="003B725E">
        <w:t>278.</w:t>
      </w:r>
      <w:r w:rsidRPr="003B725E">
        <w:tab/>
        <w:t>Black DM, Delmas PD, Eastell R, Reid IR, Boonen S, Cauley JA, et al. Once-yearly zoledronic acid for treatment of postmenopausal osteoporosis. The New England journal of medicine. 2007;356(18):1809-22.</w:t>
      </w:r>
      <w:bookmarkEnd w:id="542"/>
    </w:p>
    <w:p w:rsidR="003B725E" w:rsidRPr="003B725E" w:rsidRDefault="003B725E" w:rsidP="003B725E">
      <w:pPr>
        <w:pStyle w:val="EndNoteBibliography"/>
        <w:spacing w:after="0"/>
      </w:pPr>
      <w:bookmarkStart w:id="543" w:name="_ENREF_279"/>
      <w:r w:rsidRPr="003B725E">
        <w:t>279.</w:t>
      </w:r>
      <w:r w:rsidRPr="003B725E">
        <w:tab/>
        <w:t>Reginster J, Minne HW, Sorensen OH, Hooper M, Roux C, Brandi ML, et al. Randomized trial of the effects of risedronate on vertebral fractures in women with established postmenopausal osteoporosis. Vertebral Efficacy with Risedronate Therapy (VERT) Study Group. Osteoporosis international : a journal established as result of cooperation between the European Foundation for Osteoporosis and the National Osteoporosis Foundation of the USA. 2000;11(1):83-91.</w:t>
      </w:r>
      <w:bookmarkEnd w:id="543"/>
    </w:p>
    <w:p w:rsidR="003B725E" w:rsidRPr="003B725E" w:rsidRDefault="003B725E" w:rsidP="003B725E">
      <w:pPr>
        <w:pStyle w:val="EndNoteBibliography"/>
        <w:spacing w:after="0"/>
      </w:pPr>
      <w:bookmarkStart w:id="544" w:name="_ENREF_280"/>
      <w:r w:rsidRPr="003B725E">
        <w:t>280.</w:t>
      </w:r>
      <w:r w:rsidRPr="003B725E">
        <w:tab/>
        <w:t>Chesnut IC, Skag A, Christiansen C, Recker R, Stakkestad JA, Hoiseth A, et al. Effects of oral ibandronate administered daily or intermittently on fracture risk in postmenopausal osteoporosis. Journal of bone and mineral research : the official journal of the American Society for Bone and Mineral Research. 2004;19(8):1241-9.</w:t>
      </w:r>
      <w:bookmarkEnd w:id="544"/>
    </w:p>
    <w:p w:rsidR="003B725E" w:rsidRPr="003B725E" w:rsidRDefault="003B725E" w:rsidP="003B725E">
      <w:pPr>
        <w:pStyle w:val="EndNoteBibliography"/>
        <w:spacing w:after="0"/>
      </w:pPr>
      <w:bookmarkStart w:id="545" w:name="_ENREF_281"/>
      <w:r w:rsidRPr="003B725E">
        <w:t>281.</w:t>
      </w:r>
      <w:r w:rsidRPr="003B725E">
        <w:tab/>
        <w:t>Eastell R, Black DM, Boonen S, Adami S, Felsenberg D, Lippuner K, et al. Effect of once-yearly zoledronic acid five milligrams on fracture risk and change in femoral neck bone mineral density. The Journal of clinical endocrinology and metabolism. 2009;94(9):3215-25.</w:t>
      </w:r>
      <w:bookmarkEnd w:id="545"/>
    </w:p>
    <w:p w:rsidR="003B725E" w:rsidRPr="003B725E" w:rsidRDefault="003B725E" w:rsidP="003B725E">
      <w:pPr>
        <w:pStyle w:val="EndNoteBibliography"/>
        <w:spacing w:after="0"/>
      </w:pPr>
      <w:bookmarkStart w:id="546" w:name="_ENREF_282"/>
      <w:r w:rsidRPr="003B725E">
        <w:t>282.</w:t>
      </w:r>
      <w:r w:rsidRPr="003B725E">
        <w:tab/>
        <w:t>Boonen S, Laan RF, Barton IP, Watts NB. Effect of osteoporosis treatments on risk of non-vertebral fractures: review and meta-analysis of intention-to-treat studies. Osteoporosis international : a journal established as result of cooperation between the European Foundation for Osteoporosis and the National Osteoporosis Foundation of the USA. 2005;16(10):1291-8.</w:t>
      </w:r>
      <w:bookmarkEnd w:id="546"/>
    </w:p>
    <w:p w:rsidR="003B725E" w:rsidRPr="003B725E" w:rsidRDefault="003B725E" w:rsidP="003B725E">
      <w:pPr>
        <w:pStyle w:val="EndNoteBibliography"/>
        <w:spacing w:after="0"/>
      </w:pPr>
      <w:bookmarkStart w:id="547" w:name="_ENREF_283"/>
      <w:r w:rsidRPr="003B725E">
        <w:t>283.</w:t>
      </w:r>
      <w:r w:rsidRPr="003B725E">
        <w:tab/>
        <w:t>Kanis JA, Oden A, Johnell O, Johansson H, De Laet C, Brown J, et al. The use of clinical risk factors enhances the performance of BMD in the prediction of hip and osteoporotic fractures in men and women. Osteoporosis international : a journal established as result of cooperation between the European Foundation for Osteoporosis and the National Osteoporosis Foundation of the USA. 2007;18(8):1033-46.</w:t>
      </w:r>
      <w:bookmarkEnd w:id="547"/>
    </w:p>
    <w:p w:rsidR="003B725E" w:rsidRPr="003B725E" w:rsidRDefault="003B725E" w:rsidP="003B725E">
      <w:pPr>
        <w:pStyle w:val="EndNoteBibliography"/>
        <w:spacing w:after="0"/>
      </w:pPr>
      <w:bookmarkStart w:id="548" w:name="_ENREF_284"/>
      <w:r w:rsidRPr="003B725E">
        <w:t>284.</w:t>
      </w:r>
      <w:r w:rsidRPr="003B725E">
        <w:tab/>
        <w:t>Pinkerton JV, Thomas S. Use of SERMs for treatment in postmenopausal women. The Journal of steroid biochemistry and molecular biology. 2014;142:142-54.</w:t>
      </w:r>
      <w:bookmarkEnd w:id="548"/>
    </w:p>
    <w:p w:rsidR="003B725E" w:rsidRPr="003B725E" w:rsidRDefault="003B725E" w:rsidP="003B725E">
      <w:pPr>
        <w:pStyle w:val="EndNoteBibliography"/>
        <w:spacing w:after="0"/>
      </w:pPr>
      <w:bookmarkStart w:id="549" w:name="_ENREF_285"/>
      <w:r w:rsidRPr="003B725E">
        <w:t>285.</w:t>
      </w:r>
      <w:r w:rsidRPr="003B725E">
        <w:tab/>
        <w:t>Komm BS, Mirkin S. An overview of current and emerging SERMs. The Journal of steroid biochemistry and molecular biology. 2014;143:207-22.</w:t>
      </w:r>
      <w:bookmarkEnd w:id="549"/>
    </w:p>
    <w:p w:rsidR="003B725E" w:rsidRPr="003B725E" w:rsidRDefault="003B725E" w:rsidP="003B725E">
      <w:pPr>
        <w:pStyle w:val="EndNoteBibliography"/>
        <w:spacing w:after="0"/>
      </w:pPr>
      <w:bookmarkStart w:id="550" w:name="_ENREF_286"/>
      <w:r w:rsidRPr="003B725E">
        <w:lastRenderedPageBreak/>
        <w:t>286.</w:t>
      </w:r>
      <w:r w:rsidRPr="003B725E">
        <w:tab/>
        <w:t>Pinkerton JV, Goldstein SR. Endometrial safety: a key hurdle for selective estrogen receptor modulators in development. Menopause (New York, NY). 2010;17(3):642-53.</w:t>
      </w:r>
      <w:bookmarkEnd w:id="550"/>
    </w:p>
    <w:p w:rsidR="003B725E" w:rsidRPr="003B725E" w:rsidRDefault="003B725E" w:rsidP="003B725E">
      <w:pPr>
        <w:pStyle w:val="EndNoteBibliography"/>
        <w:spacing w:after="0"/>
      </w:pPr>
      <w:bookmarkStart w:id="551" w:name="_ENREF_287"/>
      <w:r w:rsidRPr="003B725E">
        <w:t>287.</w:t>
      </w:r>
      <w:r w:rsidRPr="003B725E">
        <w:tab/>
        <w:t>Osborne CK, Zhao H, Fuqua SA. Selective estrogen receptor modulators: structure, function, and clinical use. Journal of clinical oncology : official journal of the American Society of Clinical Oncology. 2000;18(17):3172-86.</w:t>
      </w:r>
      <w:bookmarkEnd w:id="551"/>
    </w:p>
    <w:p w:rsidR="003B725E" w:rsidRPr="003B725E" w:rsidRDefault="003B725E" w:rsidP="003B725E">
      <w:pPr>
        <w:pStyle w:val="EndNoteBibliography"/>
        <w:spacing w:after="0"/>
      </w:pPr>
      <w:bookmarkStart w:id="552" w:name="_ENREF_288"/>
      <w:r w:rsidRPr="003B725E">
        <w:t>288.</w:t>
      </w:r>
      <w:r w:rsidRPr="003B725E">
        <w:tab/>
        <w:t>Williams C, Lin CY. Oestrogen receptors in breast cancer: basic mechanisms and clinical implications. Ecancermedicalscience. 2013;7:370.</w:t>
      </w:r>
      <w:bookmarkEnd w:id="552"/>
    </w:p>
    <w:p w:rsidR="003B725E" w:rsidRPr="003B725E" w:rsidRDefault="003B725E" w:rsidP="003B725E">
      <w:pPr>
        <w:pStyle w:val="EndNoteBibliography"/>
        <w:spacing w:after="0"/>
      </w:pPr>
      <w:bookmarkStart w:id="553" w:name="_ENREF_289"/>
      <w:r w:rsidRPr="003B725E">
        <w:t>289.</w:t>
      </w:r>
      <w:r w:rsidRPr="003B725E">
        <w:tab/>
        <w:t>Tee MK, Rogatsky I, Tzagarakis-Foster C, Cvoro A, An J, Christy RJ, et al. Estradiol and selective estrogen receptor modulators differentially regulate target genes with estrogen receptors alpha and beta. Molecular biology of the cell. 2004;15(3):1262-72.</w:t>
      </w:r>
      <w:bookmarkEnd w:id="553"/>
    </w:p>
    <w:p w:rsidR="003B725E" w:rsidRPr="003B725E" w:rsidRDefault="003B725E" w:rsidP="003B725E">
      <w:pPr>
        <w:pStyle w:val="EndNoteBibliography"/>
        <w:spacing w:after="0"/>
      </w:pPr>
      <w:bookmarkStart w:id="554" w:name="_ENREF_290"/>
      <w:r w:rsidRPr="003B725E">
        <w:t>290.</w:t>
      </w:r>
      <w:r w:rsidRPr="003B725E">
        <w:tab/>
        <w:t>Taylor HS. Designing the ideal selective estrogen receptor modulator--an achievable goal? Menopause (New York, NY). 2009;16(3):609-15.</w:t>
      </w:r>
      <w:bookmarkEnd w:id="554"/>
    </w:p>
    <w:p w:rsidR="003B725E" w:rsidRPr="003B725E" w:rsidRDefault="003B725E" w:rsidP="003B725E">
      <w:pPr>
        <w:pStyle w:val="EndNoteBibliography"/>
        <w:spacing w:after="0"/>
      </w:pPr>
      <w:bookmarkStart w:id="555" w:name="_ENREF_291"/>
      <w:r w:rsidRPr="003B725E">
        <w:t>291.</w:t>
      </w:r>
      <w:r w:rsidRPr="003B725E">
        <w:tab/>
        <w:t>Cummings SR, Ensrud K, Delmas PD, LaCroix AZ, Vukicevic S, Reid DM, et al. Lasofoxifene in postmenopausal women with osteoporosis. The New England journal of medicine. 2010;362(8):686-96.</w:t>
      </w:r>
      <w:bookmarkEnd w:id="555"/>
    </w:p>
    <w:p w:rsidR="003B725E" w:rsidRPr="003B725E" w:rsidRDefault="003B725E" w:rsidP="003B725E">
      <w:pPr>
        <w:pStyle w:val="EndNoteBibliography"/>
        <w:spacing w:after="0"/>
      </w:pPr>
      <w:bookmarkStart w:id="556" w:name="_ENREF_292"/>
      <w:r w:rsidRPr="003B725E">
        <w:t>292.</w:t>
      </w:r>
      <w:r w:rsidRPr="003B725E">
        <w:tab/>
        <w:t>Cummings SR, Duong T, Kenyon E, Cauley JA, Whitehead M, Krueger KA. Serum estradiol level and risk of breast cancer during treatment with raloxifene. Jama. 2002;287(2):216-20.</w:t>
      </w:r>
      <w:bookmarkEnd w:id="556"/>
    </w:p>
    <w:p w:rsidR="003B725E" w:rsidRPr="003B725E" w:rsidRDefault="003B725E" w:rsidP="003B725E">
      <w:pPr>
        <w:pStyle w:val="EndNoteBibliography"/>
        <w:spacing w:after="0"/>
      </w:pPr>
      <w:bookmarkStart w:id="557" w:name="_ENREF_293"/>
      <w:r w:rsidRPr="003B725E">
        <w:t>293.</w:t>
      </w:r>
      <w:r w:rsidRPr="003B725E">
        <w:tab/>
        <w:t>Cummings SR, Eckert S, Krueger KA, Grady D, Powles TJ, Cauley JA, et al. The effect of raloxifene on risk of breast cancer in postmenopausal women: results from the MORE randomized trial. Multiple Outcomes of Raloxifene Evaluation. Jama. 1999;281(23):2189-97.</w:t>
      </w:r>
      <w:bookmarkEnd w:id="557"/>
    </w:p>
    <w:p w:rsidR="003B725E" w:rsidRPr="003B725E" w:rsidRDefault="003B725E" w:rsidP="003B725E">
      <w:pPr>
        <w:pStyle w:val="EndNoteBibliography"/>
        <w:spacing w:after="0"/>
      </w:pPr>
      <w:bookmarkStart w:id="558" w:name="_ENREF_294"/>
      <w:r w:rsidRPr="003B725E">
        <w:t>294.</w:t>
      </w:r>
      <w:r w:rsidRPr="003B725E">
        <w:tab/>
        <w:t>Komm BS, Kharode YP, Bodine PV, Harris HA, Miller CP, Lyttle CR. Bazedoxifene acetate: a selective estrogen receptor modulator with improved selectivity. Endocrinology. 2005;146(9):3999-4008.</w:t>
      </w:r>
      <w:bookmarkEnd w:id="558"/>
    </w:p>
    <w:p w:rsidR="003B725E" w:rsidRPr="003B725E" w:rsidRDefault="003B725E" w:rsidP="003B725E">
      <w:pPr>
        <w:pStyle w:val="EndNoteBibliography"/>
        <w:spacing w:after="0"/>
      </w:pPr>
      <w:bookmarkStart w:id="559" w:name="_ENREF_295"/>
      <w:r w:rsidRPr="003B725E">
        <w:t>295.</w:t>
      </w:r>
      <w:r w:rsidRPr="003B725E">
        <w:tab/>
        <w:t>Pickar JH, MacNeil T, Ohleth K. SERMs: progress and future perspectives. Maturitas. 2010;67(2):129-38.</w:t>
      </w:r>
      <w:bookmarkEnd w:id="559"/>
    </w:p>
    <w:p w:rsidR="003B725E" w:rsidRPr="003B725E" w:rsidRDefault="003B725E" w:rsidP="003B725E">
      <w:pPr>
        <w:pStyle w:val="EndNoteBibliography"/>
        <w:spacing w:after="0"/>
      </w:pPr>
      <w:bookmarkStart w:id="560" w:name="_ENREF_296"/>
      <w:r w:rsidRPr="003B725E">
        <w:t>296.</w:t>
      </w:r>
      <w:r w:rsidRPr="003B725E">
        <w:tab/>
        <w:t>Mincey BA, Moraghan TJ, Perez EA. Prevention and treatment of osteoporosis in women with breast cancer. Mayo Clinic proceedings. 2000;75(8):821-9.</w:t>
      </w:r>
      <w:bookmarkEnd w:id="560"/>
    </w:p>
    <w:p w:rsidR="003B725E" w:rsidRPr="003B725E" w:rsidRDefault="003B725E" w:rsidP="003B725E">
      <w:pPr>
        <w:pStyle w:val="EndNoteBibliography"/>
        <w:spacing w:after="0"/>
      </w:pPr>
      <w:bookmarkStart w:id="561" w:name="_ENREF_297"/>
      <w:r w:rsidRPr="003B725E">
        <w:t>297.</w:t>
      </w:r>
      <w:r w:rsidRPr="003B725E">
        <w:tab/>
        <w:t>Silverman SL, Christiansen C, Genant HK, Vukicevic S, Zanchetta JR, de Villiers TJ, et al. Efficacy of bazedoxifene in reducing new vertebral fracture risk in postmenopausal women with osteoporosis: results from a 3-year, randomized, placebo-, and active-controlled clinical trial. Journal of bone and mineral research : the official journal of the American Society for Bone and Mineral Research. 2008;23(12):1923-34.</w:t>
      </w:r>
      <w:bookmarkEnd w:id="561"/>
    </w:p>
    <w:p w:rsidR="003B725E" w:rsidRPr="003B725E" w:rsidRDefault="003B725E" w:rsidP="003B725E">
      <w:pPr>
        <w:pStyle w:val="EndNoteBibliography"/>
        <w:spacing w:after="0"/>
      </w:pPr>
      <w:bookmarkStart w:id="562" w:name="_ENREF_298"/>
      <w:r w:rsidRPr="003B725E">
        <w:t>298.</w:t>
      </w:r>
      <w:r w:rsidRPr="003B725E">
        <w:tab/>
        <w:t>D'Amelio P, Isaia GC. The use of raloxifene in osteoporosis treatment. Expert opinion on pharmacotherapy. 2013;14(7):949-56.</w:t>
      </w:r>
      <w:bookmarkEnd w:id="562"/>
    </w:p>
    <w:p w:rsidR="003B725E" w:rsidRPr="003B725E" w:rsidRDefault="003B725E" w:rsidP="003B725E">
      <w:pPr>
        <w:pStyle w:val="EndNoteBibliography"/>
        <w:spacing w:after="0"/>
      </w:pPr>
      <w:bookmarkStart w:id="563" w:name="_ENREF_299"/>
      <w:r w:rsidRPr="003B725E">
        <w:t>299.</w:t>
      </w:r>
      <w:r w:rsidRPr="003B725E">
        <w:tab/>
        <w:t>Yang NN, Bryant HU, Hardikar S, Sato M, Galvin RJ, Glasebrook AL, et al. Estrogen and raloxifene stimulate transforming growth factor-beta 3 gene expression in rat bone: a potential mechanism for estrogen- or raloxifene-mediated bone maintenance. Endocrinology. 1996;137(5):2075-84.</w:t>
      </w:r>
      <w:bookmarkEnd w:id="563"/>
    </w:p>
    <w:p w:rsidR="003B725E" w:rsidRPr="003B725E" w:rsidRDefault="003B725E" w:rsidP="003B725E">
      <w:pPr>
        <w:pStyle w:val="EndNoteBibliography"/>
        <w:spacing w:after="0"/>
      </w:pPr>
      <w:bookmarkStart w:id="564" w:name="_ENREF_300"/>
      <w:r w:rsidRPr="003B725E">
        <w:t>300.</w:t>
      </w:r>
      <w:r w:rsidRPr="003B725E">
        <w:tab/>
        <w:t>Turner CH, Sato M, Bryant HU. Raloxifene preserves bone strength and bone mass in ovariectomized rats. Endocrinology. 1994;135(5):2001-5.</w:t>
      </w:r>
      <w:bookmarkEnd w:id="564"/>
    </w:p>
    <w:p w:rsidR="003B725E" w:rsidRPr="003B725E" w:rsidRDefault="003B725E" w:rsidP="003B725E">
      <w:pPr>
        <w:pStyle w:val="EndNoteBibliography"/>
        <w:spacing w:after="0"/>
      </w:pPr>
      <w:bookmarkStart w:id="565" w:name="_ENREF_301"/>
      <w:r w:rsidRPr="003B725E">
        <w:t>301.</w:t>
      </w:r>
      <w:r w:rsidRPr="003B725E">
        <w:tab/>
        <w:t>Kanis JA, Johnell O, Black DM, Downs RW, Jr., Sarkar S, Fuerst T, et al. Effect of raloxifene on the risk of new vertebral fracture in postmenopausal women with osteopenia or osteoporosis: a reanalysis of the Multiple Outcomes of Raloxifene Evaluation trial. Bone. 2003;33(3):293-300.</w:t>
      </w:r>
      <w:bookmarkEnd w:id="565"/>
    </w:p>
    <w:p w:rsidR="003B725E" w:rsidRPr="003B725E" w:rsidRDefault="003B725E" w:rsidP="003B725E">
      <w:pPr>
        <w:pStyle w:val="EndNoteBibliography"/>
        <w:spacing w:after="0"/>
      </w:pPr>
      <w:bookmarkStart w:id="566" w:name="_ENREF_302"/>
      <w:r w:rsidRPr="003B725E">
        <w:t>302.</w:t>
      </w:r>
      <w:r w:rsidRPr="003B725E">
        <w:tab/>
        <w:t>Ettinger B, Black DM, Mitlak BH, Knickerbocker RK, Nickelsen T, Genant HK, et al. Reduction of vertebral fracture risk in postmenopausal women with osteoporosis treated with raloxifene: results from a 3-year randomized clinical trial. Multiple Outcomes of Raloxifene Evaluation (MORE) Investigators. Jama. 1999;282(7):637-45.</w:t>
      </w:r>
      <w:bookmarkEnd w:id="566"/>
    </w:p>
    <w:p w:rsidR="003B725E" w:rsidRPr="003B725E" w:rsidRDefault="003B725E" w:rsidP="003B725E">
      <w:pPr>
        <w:pStyle w:val="EndNoteBibliography"/>
        <w:spacing w:after="0"/>
      </w:pPr>
      <w:bookmarkStart w:id="567" w:name="_ENREF_303"/>
      <w:r w:rsidRPr="003B725E">
        <w:t>303.</w:t>
      </w:r>
      <w:r w:rsidRPr="003B725E">
        <w:tab/>
        <w:t>Delmas PD, Genant HK, Crans GG, Stock JL, Wong M, Siris E, et al. Severity of prevalent vertebral fractures and the risk of subsequent vertebral and nonvertebral fractures: results from the MORE trial. Bone. 2003;33(4):522-32.</w:t>
      </w:r>
      <w:bookmarkEnd w:id="567"/>
    </w:p>
    <w:p w:rsidR="003B725E" w:rsidRPr="003B725E" w:rsidRDefault="003B725E" w:rsidP="003B725E">
      <w:pPr>
        <w:pStyle w:val="EndNoteBibliography"/>
        <w:spacing w:after="0"/>
      </w:pPr>
      <w:bookmarkStart w:id="568" w:name="_ENREF_304"/>
      <w:r w:rsidRPr="003B725E">
        <w:t>304.</w:t>
      </w:r>
      <w:r w:rsidRPr="003B725E">
        <w:tab/>
        <w:t xml:space="preserve">Vogel VG, Costantino JP, Wickerham DL, Cronin WM, Cecchini RS, Atkins JN, et al. Effects of tamoxifen vs raloxifene on the risk of developing invasive breast cancer and other </w:t>
      </w:r>
      <w:r w:rsidRPr="003B725E">
        <w:lastRenderedPageBreak/>
        <w:t>disease outcomes: the NSABP Study of Tamoxifen and Raloxifene (STAR) P-2 trial. Jama. 2006;295(23):2727-41.</w:t>
      </w:r>
      <w:bookmarkEnd w:id="568"/>
    </w:p>
    <w:p w:rsidR="003B725E" w:rsidRPr="003B725E" w:rsidRDefault="003B725E" w:rsidP="003B725E">
      <w:pPr>
        <w:pStyle w:val="EndNoteBibliography"/>
        <w:spacing w:after="0"/>
      </w:pPr>
      <w:bookmarkStart w:id="569" w:name="_ENREF_305"/>
      <w:r w:rsidRPr="003B725E">
        <w:t>305.</w:t>
      </w:r>
      <w:r w:rsidRPr="003B725E">
        <w:tab/>
        <w:t>Collins P, Mosca L, Geiger MJ, Grady D, Kornitzer M, Amewou-Atisso MG, et al. Effects of the selective estrogen receptor modulator raloxifene on coronary outcomes in the Raloxifene Use for The Heart trial: results of subgroup analyses by age and other factors. Circulation. 2009;119(7):922-30.</w:t>
      </w:r>
      <w:bookmarkEnd w:id="569"/>
    </w:p>
    <w:p w:rsidR="003B725E" w:rsidRPr="003B725E" w:rsidRDefault="003B725E" w:rsidP="003B725E">
      <w:pPr>
        <w:pStyle w:val="EndNoteBibliography"/>
        <w:spacing w:after="0"/>
      </w:pPr>
      <w:bookmarkStart w:id="570" w:name="_ENREF_306"/>
      <w:r w:rsidRPr="003B725E">
        <w:t>306.</w:t>
      </w:r>
      <w:r w:rsidRPr="003B725E">
        <w:tab/>
        <w:t>Barrett-Connor E, Mosca L, Collins P, Geiger MJ, Grady D, Kornitzer M, et al. Effects of raloxifene on cardiovascular events and breast cancer in postmenopausal women. The New England journal of medicine. 2006;355(2):125-37.</w:t>
      </w:r>
      <w:bookmarkEnd w:id="570"/>
    </w:p>
    <w:p w:rsidR="003B725E" w:rsidRPr="003B725E" w:rsidRDefault="003B725E" w:rsidP="003B725E">
      <w:pPr>
        <w:pStyle w:val="EndNoteBibliography"/>
        <w:spacing w:after="0"/>
        <w:rPr>
          <w:lang w:val="de-DE"/>
        </w:rPr>
      </w:pPr>
      <w:bookmarkStart w:id="571" w:name="_ENREF_307"/>
      <w:r w:rsidRPr="003B725E">
        <w:t>307.</w:t>
      </w:r>
      <w:r w:rsidRPr="003B725E">
        <w:tab/>
        <w:t xml:space="preserve">Liberman UA, Weiss SR, Broll J, Minne HW, Quan H, Bell NH, et al. Effect of oral alendronate on bone mineral density and the incidence of fractures in postmenopausal osteoporosis. The Alendronate Phase III Osteoporosis Treatment Study Group. The New England journal of medicine. </w:t>
      </w:r>
      <w:r w:rsidRPr="003B725E">
        <w:rPr>
          <w:lang w:val="de-DE"/>
        </w:rPr>
        <w:t>1995;333(22):1437-43.</w:t>
      </w:r>
      <w:bookmarkEnd w:id="571"/>
    </w:p>
    <w:p w:rsidR="003B725E" w:rsidRPr="003B725E" w:rsidRDefault="003B725E" w:rsidP="003B725E">
      <w:pPr>
        <w:pStyle w:val="EndNoteBibliography"/>
        <w:spacing w:after="0"/>
      </w:pPr>
      <w:bookmarkStart w:id="572" w:name="_ENREF_308"/>
      <w:r w:rsidRPr="003B725E">
        <w:rPr>
          <w:lang w:val="de-DE"/>
        </w:rPr>
        <w:t>308.</w:t>
      </w:r>
      <w:r w:rsidRPr="003B725E">
        <w:rPr>
          <w:lang w:val="de-DE"/>
        </w:rPr>
        <w:tab/>
        <w:t xml:space="preserve">Black DM, Thompson DE, Bauer DC, Ensrud K, Musliner T, Hochberg MC, et al. </w:t>
      </w:r>
      <w:r w:rsidRPr="003B725E">
        <w:t>Fracture risk reduction with alendronate in women with osteoporosis: the Fracture Intervention Trial. FIT Research Group. The Journal of clinical endocrinology and metabolism. 2000;85(11):4118-24.</w:t>
      </w:r>
      <w:bookmarkEnd w:id="572"/>
    </w:p>
    <w:p w:rsidR="003B725E" w:rsidRPr="003B725E" w:rsidRDefault="003B725E" w:rsidP="003B725E">
      <w:pPr>
        <w:pStyle w:val="EndNoteBibliography"/>
        <w:spacing w:after="0"/>
        <w:rPr>
          <w:lang w:val="it-IT"/>
        </w:rPr>
      </w:pPr>
      <w:bookmarkStart w:id="573" w:name="_ENREF_309"/>
      <w:r w:rsidRPr="003B725E">
        <w:t>309.</w:t>
      </w:r>
      <w:r w:rsidRPr="003B725E">
        <w:tab/>
        <w:t xml:space="preserve">Schwartz AV, Bauer DC, Cummings SR, Cauley JA, Ensrud KE, Palermo L, et al. Efficacy of continued alendronate for fractures in women with and without prevalent vertebral fracture: the FLEX trial. Journal of bone and mineral research : the official journal of the American Society for Bone and Mineral Research. </w:t>
      </w:r>
      <w:r w:rsidRPr="003B725E">
        <w:rPr>
          <w:lang w:val="it-IT"/>
        </w:rPr>
        <w:t>2010;25(5):976-82.</w:t>
      </w:r>
      <w:bookmarkEnd w:id="573"/>
    </w:p>
    <w:p w:rsidR="003B725E" w:rsidRPr="003B725E" w:rsidRDefault="003B725E" w:rsidP="003B725E">
      <w:pPr>
        <w:pStyle w:val="EndNoteBibliography"/>
        <w:spacing w:after="0"/>
      </w:pPr>
      <w:bookmarkStart w:id="574" w:name="_ENREF_310"/>
      <w:r w:rsidRPr="003B725E">
        <w:rPr>
          <w:lang w:val="it-IT"/>
        </w:rPr>
        <w:t>310.</w:t>
      </w:r>
      <w:r w:rsidRPr="003B725E">
        <w:rPr>
          <w:lang w:val="it-IT"/>
        </w:rPr>
        <w:tab/>
        <w:t xml:space="preserve">Eastell R, Barton I, Hannon RA, Chines A, Garnero P, Delmas PD. </w:t>
      </w:r>
      <w:r w:rsidRPr="003B725E">
        <w:t>Relationship of early changes in bone resorption to the reduction in fracture risk with risedronate. Journal of bone and mineral research : the official journal of the American Society for Bone and Mineral Research. 2003;18(6):1051-6.</w:t>
      </w:r>
      <w:bookmarkEnd w:id="574"/>
    </w:p>
    <w:p w:rsidR="003B725E" w:rsidRPr="003B725E" w:rsidRDefault="003B725E" w:rsidP="003B725E">
      <w:pPr>
        <w:pStyle w:val="EndNoteBibliography"/>
        <w:spacing w:after="0"/>
      </w:pPr>
      <w:bookmarkStart w:id="575" w:name="_ENREF_311"/>
      <w:r w:rsidRPr="003B725E">
        <w:t>311.</w:t>
      </w:r>
      <w:r w:rsidRPr="003B725E">
        <w:tab/>
        <w:t>Harris ST, Watts NB, Genant HK, McKeever CD, Hangartner T, Keller M, et al. Effects of risedronate treatment on vertebral and nonvertebral fractures in women with postmenopausal osteoporosis: a randomized controlled trial. Vertebral Efficacy With Risedronate Therapy (VERT) Study Group. Jama. 1999;282(14):1344-52.</w:t>
      </w:r>
      <w:bookmarkEnd w:id="575"/>
    </w:p>
    <w:p w:rsidR="003B725E" w:rsidRPr="003B725E" w:rsidRDefault="003B725E" w:rsidP="003B725E">
      <w:pPr>
        <w:pStyle w:val="EndNoteBibliography"/>
        <w:spacing w:after="0"/>
      </w:pPr>
      <w:bookmarkStart w:id="576" w:name="_ENREF_312"/>
      <w:r w:rsidRPr="003B725E">
        <w:t>312.</w:t>
      </w:r>
      <w:r w:rsidRPr="003B725E">
        <w:tab/>
        <w:t>McClung MR, Geusens P, Miller PD, Zippel H, Bensen WG, Roux C, et al. Effect of risedronate on the risk of hip fracture in elderly women. Hip Intervention Program Study Group. The New England journal of medicine. 2001;344(5):333-40.</w:t>
      </w:r>
      <w:bookmarkEnd w:id="576"/>
    </w:p>
    <w:p w:rsidR="003B725E" w:rsidRPr="003B725E" w:rsidRDefault="003B725E" w:rsidP="003B725E">
      <w:pPr>
        <w:pStyle w:val="EndNoteBibliography"/>
        <w:spacing w:after="0"/>
      </w:pPr>
      <w:bookmarkStart w:id="577" w:name="_ENREF_313"/>
      <w:r w:rsidRPr="003B725E">
        <w:t>313.</w:t>
      </w:r>
      <w:r w:rsidRPr="003B725E">
        <w:tab/>
        <w:t>Jacques RM, Boonen S, Cosman F, Reid IR, Bauer DC, Black DM, et al. Relationship of changes in total hip bone mineral density to vertebral and nonvertebral fracture risk in women with postmenopausal osteoporosis treated with once-yearly zoledronic acid 5 mg: the HORIZON-Pivotal Fracture Trial (PFT). Journal of bone and mineral research : the official journal of the American Society for Bone and Mineral Research. 2012;27(8):1627-34.</w:t>
      </w:r>
      <w:bookmarkEnd w:id="577"/>
    </w:p>
    <w:p w:rsidR="003B725E" w:rsidRPr="003B725E" w:rsidRDefault="003B725E" w:rsidP="003B725E">
      <w:pPr>
        <w:pStyle w:val="EndNoteBibliography"/>
        <w:spacing w:after="0"/>
      </w:pPr>
      <w:bookmarkStart w:id="578" w:name="_ENREF_314"/>
      <w:r w:rsidRPr="003B725E">
        <w:t>314.</w:t>
      </w:r>
      <w:r w:rsidRPr="003B725E">
        <w:tab/>
        <w:t>Reginster JY, Sarkar S, Zegels B, Henrotin Y, Bruyere O, Agnusdei D, et al. Reduction in PINP, a marker of bone metabolism, with raloxifene treatment and its relationship with vertebral fracture risk. Bone. 2004;34(2):344-51.</w:t>
      </w:r>
      <w:bookmarkEnd w:id="578"/>
    </w:p>
    <w:p w:rsidR="003B725E" w:rsidRPr="003B725E" w:rsidRDefault="003B725E" w:rsidP="003B725E">
      <w:pPr>
        <w:pStyle w:val="EndNoteBibliography"/>
        <w:spacing w:after="0"/>
      </w:pPr>
      <w:bookmarkStart w:id="579" w:name="_ENREF_315"/>
      <w:r w:rsidRPr="003B725E">
        <w:t>315.</w:t>
      </w:r>
      <w:r w:rsidRPr="003B725E">
        <w:tab/>
        <w:t>Bauer DC, Sklarin PM, Stone KL, Black DM, Nevitt MC, Ensrud KE, et al. Biochemical markers of bone turnover and prediction of hip bone loss in older women: the study of osteoporotic fractures. Journal of bone and mineral research : the official journal of the American Society for Bone and Mineral Research. 1999;14(8):1404-10.</w:t>
      </w:r>
      <w:bookmarkEnd w:id="579"/>
    </w:p>
    <w:p w:rsidR="003B725E" w:rsidRPr="003B725E" w:rsidRDefault="003B725E" w:rsidP="003B725E">
      <w:pPr>
        <w:pStyle w:val="EndNoteBibliography"/>
        <w:spacing w:after="0"/>
      </w:pPr>
      <w:bookmarkStart w:id="580" w:name="_ENREF_316"/>
      <w:r w:rsidRPr="003B725E">
        <w:t>316.</w:t>
      </w:r>
      <w:r w:rsidRPr="003B725E">
        <w:tab/>
        <w:t>Bauer DC, Garnero P, Hochberg MC, Santora A, Delmas P, Ewing SK, et al. Pretreatment levels of bone turnover and the antifracture efficacy of alendronate: the fracture intervention trial. Journal of bone and mineral research : the official journal of the American Society for Bone and Mineral Research. 2006;21(2):292-9.</w:t>
      </w:r>
      <w:bookmarkEnd w:id="580"/>
    </w:p>
    <w:p w:rsidR="003B725E" w:rsidRPr="003B725E" w:rsidRDefault="003B725E" w:rsidP="003B725E">
      <w:pPr>
        <w:pStyle w:val="EndNoteBibliography"/>
        <w:spacing w:after="0"/>
      </w:pPr>
      <w:bookmarkStart w:id="581" w:name="_ENREF_317"/>
      <w:r w:rsidRPr="003B725E">
        <w:t>317.</w:t>
      </w:r>
      <w:r w:rsidRPr="003B725E">
        <w:tab/>
        <w:t>Delmas PD. Different effects of antiresorptive therapies on vertebral and nonvertebral fractures in postmenopausal osteoporosis. Bone. 2002;30(1):14-7.</w:t>
      </w:r>
      <w:bookmarkEnd w:id="581"/>
    </w:p>
    <w:p w:rsidR="003B725E" w:rsidRPr="003B725E" w:rsidRDefault="003B725E" w:rsidP="003B725E">
      <w:pPr>
        <w:pStyle w:val="EndNoteBibliography"/>
        <w:spacing w:after="0"/>
      </w:pPr>
      <w:bookmarkStart w:id="582" w:name="_ENREF_318"/>
      <w:r w:rsidRPr="003B725E">
        <w:t>318.</w:t>
      </w:r>
      <w:r w:rsidRPr="003B725E">
        <w:tab/>
        <w:t>Black DM, Schwartz AV, Ensrud KE, Cauley JA, Levis S, Quandt SA, et al. Effects of continuing or stopping alendronate after 5 years of treatment: the Fracture Intervention Trial Long-term Extension (FLEX): a randomized trial. Jama. 2006;296(24):2927-38.</w:t>
      </w:r>
      <w:bookmarkEnd w:id="582"/>
    </w:p>
    <w:p w:rsidR="003B725E" w:rsidRPr="003B725E" w:rsidRDefault="003B725E" w:rsidP="003B725E">
      <w:pPr>
        <w:pStyle w:val="EndNoteBibliography"/>
        <w:spacing w:after="0"/>
      </w:pPr>
      <w:bookmarkStart w:id="583" w:name="_ENREF_319"/>
      <w:r w:rsidRPr="003B725E">
        <w:lastRenderedPageBreak/>
        <w:t>319.</w:t>
      </w:r>
      <w:r w:rsidRPr="003B725E">
        <w:tab/>
        <w:t>Vasikaran S, Cooper C, Eastell R, Griesmacher A, Morris HA, Trenti T, et al. International Osteoporosis Foundation and International Federation of Clinical Chemistry and Laboratory Medicine position on bone marker standards in osteoporosis. Clinical chemistry and laboratory medicine. 2011;49(8):1271-4.</w:t>
      </w:r>
      <w:bookmarkEnd w:id="583"/>
    </w:p>
    <w:p w:rsidR="003B725E" w:rsidRPr="003B725E" w:rsidRDefault="003B725E" w:rsidP="003B725E">
      <w:pPr>
        <w:pStyle w:val="EndNoteBibliography"/>
        <w:spacing w:after="0"/>
      </w:pPr>
      <w:bookmarkStart w:id="584" w:name="_ENREF_320"/>
      <w:r w:rsidRPr="003B725E">
        <w:t>320.</w:t>
      </w:r>
      <w:r w:rsidRPr="003B725E">
        <w:tab/>
        <w:t>Kirmani S, Amin S, McCready LK, Atkinson EJ, Melton LJ, 3rd, Muller R, et al. Sclerostin levels during growth in children. Osteoporosis international : a journal established as result of cooperation between the European Foundation for Osteoporosis and the National Osteoporosis Foundation of the USA. 2012;23(3):1123-30.</w:t>
      </w:r>
      <w:bookmarkEnd w:id="584"/>
    </w:p>
    <w:p w:rsidR="003B725E" w:rsidRPr="003B725E" w:rsidRDefault="003B725E" w:rsidP="003B725E">
      <w:pPr>
        <w:pStyle w:val="EndNoteBibliography"/>
        <w:spacing w:after="0"/>
      </w:pPr>
      <w:bookmarkStart w:id="585" w:name="_ENREF_321"/>
      <w:r w:rsidRPr="003B725E">
        <w:t>321.</w:t>
      </w:r>
      <w:r w:rsidRPr="003B725E">
        <w:tab/>
        <w:t>Modder UI, Hoey KA, Amin S, McCready LK, Achenbach SJ, Riggs BL, et al. Relation of age, gender, and bone mass to circulating sclerostin levels in women and men. Journal of bone and mineral research : the official journal of the American Society for Bone and Mineral Research. 2011;26(2):373-9.</w:t>
      </w:r>
      <w:bookmarkEnd w:id="585"/>
    </w:p>
    <w:p w:rsidR="003B725E" w:rsidRPr="003B725E" w:rsidRDefault="003B725E" w:rsidP="003B725E">
      <w:pPr>
        <w:pStyle w:val="EndNoteBibliography"/>
        <w:spacing w:after="0"/>
      </w:pPr>
      <w:bookmarkStart w:id="586" w:name="_ENREF_322"/>
      <w:r w:rsidRPr="003B725E">
        <w:t>322.</w:t>
      </w:r>
      <w:r w:rsidRPr="003B725E">
        <w:tab/>
        <w:t>Modder UI, Clowes JA, Hoey K, Peterson JM, McCready L, Oursler MJ, et al. Regulation of circulating sclerostin levels by sex steroids in women and in men. Journal of bone and mineral research : the official journal of the American Society for Bone and Mineral Research. 2011;26(1):27-34.</w:t>
      </w:r>
      <w:bookmarkEnd w:id="586"/>
    </w:p>
    <w:p w:rsidR="003B725E" w:rsidRPr="003B725E" w:rsidRDefault="003B725E" w:rsidP="003B725E">
      <w:pPr>
        <w:pStyle w:val="EndNoteBibliography"/>
        <w:spacing w:after="0"/>
      </w:pPr>
      <w:bookmarkStart w:id="587" w:name="_ENREF_323"/>
      <w:r w:rsidRPr="003B725E">
        <w:t>323.</w:t>
      </w:r>
      <w:r w:rsidRPr="003B725E">
        <w:tab/>
        <w:t>Costa AG, Cremers S, Rubin MR, McMahon DJ, Sliney J, Jr., Lazaretti-Castro M, et al. Circulating sclerostin in disorders of parathyroid gland function. The Journal of clinical endocrinology and metabolism. 2011;96(12):3804-10.</w:t>
      </w:r>
      <w:bookmarkEnd w:id="587"/>
    </w:p>
    <w:p w:rsidR="003B725E" w:rsidRPr="003B725E" w:rsidRDefault="003B725E" w:rsidP="003B725E">
      <w:pPr>
        <w:pStyle w:val="EndNoteBibliography"/>
        <w:spacing w:after="0"/>
      </w:pPr>
      <w:bookmarkStart w:id="588" w:name="_ENREF_324"/>
      <w:r w:rsidRPr="003B725E">
        <w:t>324.</w:t>
      </w:r>
      <w:r w:rsidRPr="003B725E">
        <w:tab/>
        <w:t>Thambiah S, Roplekar R, Manghat P, Fogelman I, Fraser WD, Goldsmith D, et al. Circulating sclerostin and Dickkopf-1 (DKK1) in predialysis chronic kidney disease (CKD): relationship with bone density and arterial stiffness. Calcified tissue international. 2012;90(6):473-80.</w:t>
      </w:r>
      <w:bookmarkEnd w:id="588"/>
    </w:p>
    <w:p w:rsidR="003B725E" w:rsidRPr="003B725E" w:rsidRDefault="003B725E" w:rsidP="003B725E">
      <w:pPr>
        <w:pStyle w:val="EndNoteBibliography"/>
        <w:spacing w:after="0"/>
      </w:pPr>
      <w:bookmarkStart w:id="589" w:name="_ENREF_325"/>
      <w:r w:rsidRPr="003B725E">
        <w:t>325.</w:t>
      </w:r>
      <w:r w:rsidRPr="003B725E">
        <w:tab/>
        <w:t>Pelletier S, Dubourg L, Carlier MC, Hadj-Aissa A, Fouque D. The relation between renal function and serum sclerostin in adult patients with CKD. Clinical journal of the American Society of Nephrology : CJASN. 2013;8(5):819-23.</w:t>
      </w:r>
      <w:bookmarkEnd w:id="589"/>
    </w:p>
    <w:p w:rsidR="003B725E" w:rsidRPr="0040369A" w:rsidRDefault="003B725E" w:rsidP="003B725E">
      <w:pPr>
        <w:pStyle w:val="EndNoteBibliography"/>
        <w:spacing w:after="0"/>
      </w:pPr>
      <w:bookmarkStart w:id="590" w:name="_ENREF_326"/>
      <w:r w:rsidRPr="003B725E">
        <w:t>326.</w:t>
      </w:r>
      <w:r w:rsidRPr="003B725E">
        <w:tab/>
        <w:t xml:space="preserve">Gaudio A, Privitera F, Battaglia K, Torrisi V, Sidoti MH, Pulvirenti I, et al. Sclerostin levels associated with inhibition of the Wnt/beta-catenin signaling and reduced bone turnover in type 2 diabetes mellitus. The Journal of clinical endocrinology and metabolism. </w:t>
      </w:r>
      <w:r w:rsidRPr="0040369A">
        <w:t>2012;97(10):3744-50.</w:t>
      </w:r>
      <w:bookmarkEnd w:id="590"/>
    </w:p>
    <w:p w:rsidR="003B725E" w:rsidRPr="003B725E" w:rsidRDefault="003B725E" w:rsidP="003B725E">
      <w:pPr>
        <w:pStyle w:val="EndNoteBibliography"/>
        <w:spacing w:after="0"/>
      </w:pPr>
      <w:bookmarkStart w:id="591" w:name="_ENREF_327"/>
      <w:r w:rsidRPr="0040369A">
        <w:t>327.</w:t>
      </w:r>
      <w:r w:rsidRPr="0040369A">
        <w:tab/>
        <w:t xml:space="preserve">Gennari L, Merlotti D, Valenti R, Ceccarelli E, Ruvio M, Pietrini MG, et al. </w:t>
      </w:r>
      <w:r w:rsidRPr="003B725E">
        <w:t>Circulating sclerostin levels and bone turnover in type 1 and type 2 diabetes. The Journal of clinical endocrinology and metabolism. 2012;97(5):1737-44.</w:t>
      </w:r>
      <w:bookmarkEnd w:id="591"/>
    </w:p>
    <w:p w:rsidR="003B725E" w:rsidRPr="003B725E" w:rsidRDefault="003B725E" w:rsidP="003B725E">
      <w:pPr>
        <w:pStyle w:val="EndNoteBibliography"/>
        <w:spacing w:after="0"/>
      </w:pPr>
      <w:bookmarkStart w:id="592" w:name="_ENREF_328"/>
      <w:r w:rsidRPr="003B725E">
        <w:t>328.</w:t>
      </w:r>
      <w:r w:rsidRPr="003B725E">
        <w:tab/>
        <w:t>van Lierop AH, Hamdy NA, van der Meer RW, Jonker JT, Lamb HJ, Rijzewijk LJ, et al. Distinct effects of pioglitazone and metformin on circulating sclerostin and biochemical markers of bone turnover in men with type 2 diabetes mellitus. European journal of endocrinology / European Federation of Endocrine Societies. 2012;166(4):711-6.</w:t>
      </w:r>
      <w:bookmarkEnd w:id="592"/>
    </w:p>
    <w:p w:rsidR="003B725E" w:rsidRPr="003B725E" w:rsidRDefault="003B725E" w:rsidP="003B725E">
      <w:pPr>
        <w:pStyle w:val="EndNoteBibliography"/>
        <w:spacing w:after="0"/>
      </w:pPr>
      <w:bookmarkStart w:id="593" w:name="_ENREF_329"/>
      <w:r w:rsidRPr="003B725E">
        <w:t>329.</w:t>
      </w:r>
      <w:r w:rsidRPr="003B725E">
        <w:tab/>
        <w:t>Appel H, Ruiz-Heiland G, Listing J, Zwerina J, Herrmann M, Mueller R, et al. Altered skeletal expression of sclerostin and its link to radiographic progression in ankylosing spondylitis. Arthritis and rheumatism. 2009;60(11):3257-62.</w:t>
      </w:r>
      <w:bookmarkEnd w:id="593"/>
    </w:p>
    <w:p w:rsidR="003B725E" w:rsidRPr="003B725E" w:rsidRDefault="003B725E" w:rsidP="003B725E">
      <w:pPr>
        <w:pStyle w:val="EndNoteBibliography"/>
        <w:spacing w:after="0"/>
      </w:pPr>
      <w:bookmarkStart w:id="594" w:name="_ENREF_330"/>
      <w:r w:rsidRPr="003B725E">
        <w:t>330.</w:t>
      </w:r>
      <w:r w:rsidRPr="003B725E">
        <w:tab/>
        <w:t>Spatz JM, Fields EE, Yu EW, Divieti Pajevic P, Bouxsein ML, Sibonga JD, et al. Serum sclerostin increases in healthy adult men during bed rest. The Journal of clinical endocrinology and metabolism. 2012;97(9):E1736-40.</w:t>
      </w:r>
      <w:bookmarkEnd w:id="594"/>
    </w:p>
    <w:p w:rsidR="003B725E" w:rsidRPr="003B725E" w:rsidRDefault="003B725E" w:rsidP="003B725E">
      <w:pPr>
        <w:pStyle w:val="EndNoteBibliography"/>
        <w:spacing w:after="0"/>
      </w:pPr>
      <w:bookmarkStart w:id="595" w:name="_ENREF_331"/>
      <w:r w:rsidRPr="004166BC">
        <w:t>331.</w:t>
      </w:r>
      <w:r w:rsidRPr="004166BC">
        <w:tab/>
        <w:t xml:space="preserve">Battaglino RA, Sudhakar S, Lazzari AA, Garshick E, Zafonte R, Morse LR. </w:t>
      </w:r>
      <w:r w:rsidRPr="003B725E">
        <w:t>Circulating sclerostin is elevated in short-term and reduced in long-term SCI. Bone. 2012;51(3):600-5.</w:t>
      </w:r>
      <w:bookmarkEnd w:id="595"/>
    </w:p>
    <w:p w:rsidR="003B725E" w:rsidRPr="003B725E" w:rsidRDefault="003B725E" w:rsidP="003B725E">
      <w:pPr>
        <w:pStyle w:val="EndNoteBibliography"/>
        <w:spacing w:after="0"/>
      </w:pPr>
      <w:bookmarkStart w:id="596" w:name="_ENREF_332"/>
      <w:r w:rsidRPr="003B725E">
        <w:t>332.</w:t>
      </w:r>
      <w:r w:rsidRPr="003B725E">
        <w:tab/>
        <w:t>Gifre L, Vidal J, Carrasco JL, Filella X, Ruiz-Gaspa S, Muxi A, et al. Effect of recent spinal cord injury on wnt signaling antagonists (sclerostin and dkk-1) and their relationship with bone loss. A 12-month prospective study. Journal of bone and mineral research : the official journal of the American Society for Bone and Mineral Research. 2015;30(6):1014-21.</w:t>
      </w:r>
      <w:bookmarkEnd w:id="596"/>
    </w:p>
    <w:p w:rsidR="003B725E" w:rsidRPr="003B725E" w:rsidRDefault="003B725E" w:rsidP="003B725E">
      <w:pPr>
        <w:pStyle w:val="EndNoteBibliography"/>
        <w:spacing w:after="0"/>
      </w:pPr>
      <w:bookmarkStart w:id="597" w:name="_ENREF_333"/>
      <w:r w:rsidRPr="003B725E">
        <w:t>333.</w:t>
      </w:r>
      <w:r w:rsidRPr="003B725E">
        <w:tab/>
        <w:t>Belaya ZE, Rozhinskaya LY, Melnichenko GA, Solodovnikov AG, Dragunova NV, Iljin AV, et al. Serum extracellular secreted antagonists of the canonical Wnt/beta-catenin signaling pathway in patients with Cushing's syndrome. Osteoporosis international : a journal established as result of cooperation between the European Foundation for Osteoporosis and the National Osteoporosis Foundation of the USA. 2013;24(8):2191-9.</w:t>
      </w:r>
      <w:bookmarkEnd w:id="597"/>
    </w:p>
    <w:p w:rsidR="003B725E" w:rsidRPr="003B725E" w:rsidRDefault="003B725E" w:rsidP="003B725E">
      <w:pPr>
        <w:pStyle w:val="EndNoteBibliography"/>
        <w:spacing w:after="0"/>
      </w:pPr>
      <w:bookmarkStart w:id="598" w:name="_ENREF_334"/>
      <w:r w:rsidRPr="003B725E">
        <w:lastRenderedPageBreak/>
        <w:t>334.</w:t>
      </w:r>
      <w:r w:rsidRPr="003B725E">
        <w:tab/>
        <w:t>Arasu A, Cawthon PM, Lui LY, Do TP, Arora PS, Cauley JA, et al. Serum sclerostin and risk of hip fracture in older Caucasian women. The Journal of clinical endocrinology and metabolism. 2012;97(6):2027-32.</w:t>
      </w:r>
      <w:bookmarkEnd w:id="598"/>
    </w:p>
    <w:p w:rsidR="003B725E" w:rsidRPr="003B725E" w:rsidRDefault="003B725E" w:rsidP="003B725E">
      <w:pPr>
        <w:pStyle w:val="EndNoteBibliography"/>
        <w:spacing w:after="0"/>
      </w:pPr>
      <w:bookmarkStart w:id="599" w:name="_ENREF_335"/>
      <w:r w:rsidRPr="003B725E">
        <w:t>335.</w:t>
      </w:r>
      <w:r w:rsidRPr="003B725E">
        <w:tab/>
        <w:t>Ardawi MS, Rouzi AA, Al-Sibiani SA, Al-Senani NS, Qari MH, Mousa SA. High serum sclerostin predicts the occurrence of osteoporotic fractures in postmenopausal women: the Center of Excellence for Osteoporosis Research Study. Journal of bone and mineral research : the official journal of the American Society for Bone and Mineral Research. 2012;27(12):2592-602.</w:t>
      </w:r>
      <w:bookmarkEnd w:id="599"/>
    </w:p>
    <w:p w:rsidR="003B725E" w:rsidRPr="003B725E" w:rsidRDefault="003B725E" w:rsidP="003B725E">
      <w:pPr>
        <w:pStyle w:val="EndNoteBibliography"/>
        <w:spacing w:after="0"/>
      </w:pPr>
      <w:bookmarkStart w:id="600" w:name="_ENREF_336"/>
      <w:r w:rsidRPr="003B725E">
        <w:t>336.</w:t>
      </w:r>
      <w:r w:rsidRPr="003B725E">
        <w:tab/>
        <w:t>Garnero P, Sornay-Rendu E, Munoz F, Borel O, Chapurlat RD. Association of serum sclerostin with bone mineral density, bone turnover, steroid and parathyroid hormones, and fracture risk in postmenopausal women: the OFELY study. Osteoporosis international : a journal established as result of cooperation between the European Foundation for Osteoporosis and the National Osteoporosis Foundation of the USA. 2013;24(2):489-94.</w:t>
      </w:r>
      <w:bookmarkEnd w:id="600"/>
    </w:p>
    <w:p w:rsidR="003B725E" w:rsidRPr="003B725E" w:rsidRDefault="003B725E" w:rsidP="003B725E">
      <w:pPr>
        <w:pStyle w:val="EndNoteBibliography"/>
        <w:spacing w:after="0"/>
      </w:pPr>
      <w:bookmarkStart w:id="601" w:name="_ENREF_337"/>
      <w:r w:rsidRPr="003B725E">
        <w:t>337.</w:t>
      </w:r>
      <w:r w:rsidRPr="003B725E">
        <w:tab/>
        <w:t>Szulc P, Bertholon C, Borel O, Marchand F, Chapurlat R. Lower fracture risk in older men with higher sclerostin concentration: a prospective analysis from the MINOS study. Journal of bone and mineral research : the official journal of the American Society for Bone and Mineral Research. 2013;28(4):855-64.</w:t>
      </w:r>
      <w:bookmarkEnd w:id="601"/>
    </w:p>
    <w:p w:rsidR="003B725E" w:rsidRPr="003B725E" w:rsidRDefault="003B725E" w:rsidP="003B725E">
      <w:pPr>
        <w:pStyle w:val="EndNoteBibliography"/>
        <w:spacing w:after="0"/>
      </w:pPr>
      <w:bookmarkStart w:id="602" w:name="_ENREF_338"/>
      <w:r w:rsidRPr="003B725E">
        <w:t>338.</w:t>
      </w:r>
      <w:r w:rsidRPr="003B725E">
        <w:tab/>
        <w:t>Garnero P, Sornay-Rendu E, Claustrat B, Delmas PD. Biochemical markers of bone turnover, endogenous hormones and the risk of fractures in postmenopausal women: the OFELY study. Journal of bone and mineral research : the official journal of the American Society for Bone and Mineral Research. 2000;15(8):1526-36.</w:t>
      </w:r>
      <w:bookmarkEnd w:id="602"/>
    </w:p>
    <w:p w:rsidR="003B725E" w:rsidRPr="003B725E" w:rsidRDefault="003B725E" w:rsidP="003B725E">
      <w:pPr>
        <w:pStyle w:val="EndNoteBibliography"/>
        <w:spacing w:after="0"/>
      </w:pPr>
      <w:bookmarkStart w:id="603" w:name="_ENREF_339"/>
      <w:r w:rsidRPr="003B725E">
        <w:t>339.</w:t>
      </w:r>
      <w:r w:rsidRPr="003B725E">
        <w:tab/>
        <w:t>Osteoporosis: Fragility Fracture Risk: Osteoporosis: Assessing the Risk of Fragility Fracture. London: National Clinical Guideline Centre.; 2012 Aug.</w:t>
      </w:r>
      <w:bookmarkEnd w:id="603"/>
    </w:p>
    <w:p w:rsidR="003B725E" w:rsidRPr="003B725E" w:rsidRDefault="003B725E" w:rsidP="003B725E">
      <w:pPr>
        <w:pStyle w:val="EndNoteBibliography"/>
        <w:spacing w:after="0"/>
      </w:pPr>
      <w:bookmarkStart w:id="604" w:name="_ENREF_340"/>
      <w:r w:rsidRPr="003B725E">
        <w:t>340.</w:t>
      </w:r>
      <w:r w:rsidRPr="003B725E">
        <w:tab/>
        <w:t>Rogers A, Hannon RA, Eastell R. Biochemical markers as predictors of rates of bone loss after menopause. Journal of bone and mineral research : the official journal of the American Society for Bone and Mineral Research. 2000;15(7):1398-404.</w:t>
      </w:r>
      <w:bookmarkEnd w:id="604"/>
    </w:p>
    <w:p w:rsidR="003B725E" w:rsidRPr="003B725E" w:rsidRDefault="003B725E" w:rsidP="003B725E">
      <w:pPr>
        <w:pStyle w:val="EndNoteBibliography"/>
        <w:spacing w:after="0"/>
      </w:pPr>
      <w:bookmarkStart w:id="605" w:name="_ENREF_341"/>
      <w:r w:rsidRPr="003B725E">
        <w:t>341.</w:t>
      </w:r>
      <w:r w:rsidRPr="003B725E">
        <w:tab/>
        <w:t>Gluer CC, Eastell R, Reid DM, Felsenberg D, Roux C, Barkmann R, et al. Association of five quantitative ultrasound devices and bone densitometry with osteoporotic vertebral fractures in a population-based sample: the OPUS Study. Journal of bone and mineral research : the official journal of the American Society for Bone and Mineral Research. 2004;19(5):782-93.</w:t>
      </w:r>
      <w:bookmarkEnd w:id="605"/>
    </w:p>
    <w:p w:rsidR="003B725E" w:rsidRPr="003B725E" w:rsidRDefault="003B725E" w:rsidP="003B725E">
      <w:pPr>
        <w:pStyle w:val="EndNoteBibliography"/>
        <w:spacing w:after="0"/>
      </w:pPr>
      <w:bookmarkStart w:id="606" w:name="_ENREF_342"/>
      <w:r w:rsidRPr="003B725E">
        <w:t>342.</w:t>
      </w:r>
      <w:r w:rsidRPr="003B725E">
        <w:tab/>
        <w:t>Paggiosi MA, Peel N, McCloskey E, Walsh JS, Eastell R. Comparison of the effects of three oral bisphosphonate therapies on the peripheral skeleton in postmenopausal osteoporosis: the TRIO study. Osteoporosis international : a journal established as result of cooperation between the European Foundation for Osteoporosis and the National Osteoporosis Foundation of the USA. 2014;25(12):2729-41.</w:t>
      </w:r>
      <w:bookmarkEnd w:id="606"/>
    </w:p>
    <w:p w:rsidR="003B725E" w:rsidRPr="003B725E" w:rsidRDefault="003B725E" w:rsidP="003B725E">
      <w:pPr>
        <w:pStyle w:val="EndNoteBibliography"/>
        <w:spacing w:after="0"/>
      </w:pPr>
      <w:bookmarkStart w:id="607" w:name="_ENREF_343"/>
      <w:r w:rsidRPr="003B725E">
        <w:t>343.</w:t>
      </w:r>
      <w:r w:rsidRPr="003B725E">
        <w:tab/>
        <w:t>Clowes JA, Peel NF, Eastell R. The impact of monitoring on adherence and persistence with antiresorptive treatment for postmenopausal osteoporosis: a randomized controlled trial. The Journal of clinical endocrinology and metabolism. 2004;89(3):1117-23.</w:t>
      </w:r>
      <w:bookmarkEnd w:id="607"/>
    </w:p>
    <w:p w:rsidR="003B725E" w:rsidRPr="003B725E" w:rsidRDefault="003B725E" w:rsidP="003B725E">
      <w:pPr>
        <w:pStyle w:val="EndNoteBibliography"/>
        <w:spacing w:after="0"/>
      </w:pPr>
      <w:bookmarkStart w:id="608" w:name="_ENREF_344"/>
      <w:r w:rsidRPr="003B725E">
        <w:t>344.</w:t>
      </w:r>
      <w:r w:rsidRPr="003B725E">
        <w:tab/>
        <w:t>PA W. CLSI Approved Guideline NCCLS Document C48-A. 2004 24(22).</w:t>
      </w:r>
      <w:bookmarkEnd w:id="608"/>
    </w:p>
    <w:p w:rsidR="003B725E" w:rsidRPr="003B725E" w:rsidRDefault="003B725E" w:rsidP="003B725E">
      <w:pPr>
        <w:pStyle w:val="EndNoteBibliography"/>
        <w:spacing w:after="0"/>
      </w:pPr>
      <w:bookmarkStart w:id="609" w:name="_ENREF_345"/>
      <w:r w:rsidRPr="003B725E">
        <w:t>345.</w:t>
      </w:r>
      <w:r w:rsidRPr="003B725E">
        <w:tab/>
        <w:t>Alvarez L, Torregrosa JV, Peris P, Monegal A, Bedini JL, Martinez De Osaba MJ, et al. Effect of hemodialysis and renal failure on serum biochemical markers of bone turnover. Journal of bone and mineral metabolism. 2004;22(3):254-9.</w:t>
      </w:r>
      <w:bookmarkEnd w:id="609"/>
    </w:p>
    <w:p w:rsidR="003B725E" w:rsidRPr="003B725E" w:rsidRDefault="003B725E" w:rsidP="003B725E">
      <w:pPr>
        <w:pStyle w:val="EndNoteBibliography"/>
        <w:spacing w:after="0"/>
      </w:pPr>
      <w:bookmarkStart w:id="610" w:name="_ENREF_346"/>
      <w:r w:rsidRPr="003B725E">
        <w:t>346.</w:t>
      </w:r>
      <w:r w:rsidRPr="003B725E">
        <w:tab/>
        <w:t>Eastell R, Garnero P, Audebert C, Cahall DL. Reference intervals of bone turnover markers in healthy premenopausal women: results from a cross-sectional European study. Bone. 2012;50(5):1141-7.</w:t>
      </w:r>
      <w:bookmarkEnd w:id="610"/>
    </w:p>
    <w:p w:rsidR="003B725E" w:rsidRPr="003B725E" w:rsidRDefault="003B725E" w:rsidP="003B725E">
      <w:pPr>
        <w:pStyle w:val="EndNoteBibliography"/>
        <w:spacing w:after="0"/>
      </w:pPr>
      <w:bookmarkStart w:id="611" w:name="_ENREF_347"/>
      <w:r w:rsidRPr="003B725E">
        <w:t>347.</w:t>
      </w:r>
      <w:r w:rsidRPr="003B725E">
        <w:tab/>
        <w:t>Seibel MJ. Biochemical markers of bone turnover: part I: biochemistry and variability. Clin Biochem Rev. 2005;26(4):97-122.</w:t>
      </w:r>
      <w:bookmarkEnd w:id="611"/>
    </w:p>
    <w:p w:rsidR="003B725E" w:rsidRPr="003B725E" w:rsidRDefault="003B725E" w:rsidP="003B725E">
      <w:pPr>
        <w:pStyle w:val="EndNoteBibliography"/>
        <w:spacing w:after="0"/>
      </w:pPr>
      <w:bookmarkStart w:id="612" w:name="_ENREF_348"/>
      <w:r w:rsidRPr="003B725E">
        <w:t>348.</w:t>
      </w:r>
      <w:r w:rsidRPr="003B725E">
        <w:tab/>
        <w:t>Lung FD, Chen CH, Chen HY, Liou CC, Liou YM. Binding potency of peptide fragments of type 1 collagen cross-linked N-telopeptide measured by an enzyme-linked immunosorbant assay. Protein Pept Lett. 2002;9(5):451-7.</w:t>
      </w:r>
      <w:bookmarkEnd w:id="612"/>
    </w:p>
    <w:p w:rsidR="003B725E" w:rsidRPr="003B725E" w:rsidRDefault="003B725E" w:rsidP="003B725E">
      <w:pPr>
        <w:pStyle w:val="EndNoteBibliography"/>
        <w:spacing w:after="0"/>
      </w:pPr>
      <w:bookmarkStart w:id="613" w:name="_ENREF_349"/>
      <w:r w:rsidRPr="003B725E">
        <w:t>349.</w:t>
      </w:r>
      <w:r w:rsidRPr="003B725E">
        <w:tab/>
        <w:t>Allen PJ. Creatine metabolism and psychiatric disorders: Does creatine supplementation have therapeutic value? Neurosci Biobehav Rev. 2012;36(5):1442-62.</w:t>
      </w:r>
      <w:bookmarkEnd w:id="613"/>
    </w:p>
    <w:p w:rsidR="003B725E" w:rsidRPr="003B725E" w:rsidRDefault="003B725E" w:rsidP="003B725E">
      <w:pPr>
        <w:pStyle w:val="EndNoteBibliography"/>
        <w:spacing w:after="0"/>
      </w:pPr>
      <w:bookmarkStart w:id="614" w:name="_ENREF_350"/>
      <w:r w:rsidRPr="003B725E">
        <w:lastRenderedPageBreak/>
        <w:t>350.</w:t>
      </w:r>
      <w:r w:rsidRPr="003B725E">
        <w:tab/>
        <w:t>Ambrose RT, Ketchum DF, Smith JW. Creatinine determined by "high-performance" liquid chromatography. Clinical chemistry. 1983;29(2):256-9.</w:t>
      </w:r>
      <w:bookmarkEnd w:id="614"/>
    </w:p>
    <w:p w:rsidR="003B725E" w:rsidRPr="003B725E" w:rsidRDefault="003B725E" w:rsidP="003B725E">
      <w:pPr>
        <w:pStyle w:val="EndNoteBibliography"/>
        <w:spacing w:after="0"/>
      </w:pPr>
      <w:bookmarkStart w:id="615" w:name="_ENREF_351"/>
      <w:r w:rsidRPr="003B725E">
        <w:t>351.</w:t>
      </w:r>
      <w:r w:rsidRPr="003B725E">
        <w:tab/>
        <w:t>Costa AG, Cremers S, Dworakowski E, Lazaretti-Castro M, Bilezikian JP. Comparison of two commercially available ELISAs for circulating sclerostin. Osteoporosis international : a journal established as result of cooperation between the European Foundation for Osteoporosis and the National Osteoporosis Foundation of the USA. 2014;25(5):1547-54.</w:t>
      </w:r>
      <w:bookmarkEnd w:id="615"/>
    </w:p>
    <w:p w:rsidR="003B725E" w:rsidRPr="003B725E" w:rsidRDefault="003B725E" w:rsidP="003B725E">
      <w:pPr>
        <w:pStyle w:val="EndNoteBibliography"/>
        <w:spacing w:after="0"/>
      </w:pPr>
      <w:bookmarkStart w:id="616" w:name="_ENREF_352"/>
      <w:r w:rsidRPr="003B725E">
        <w:t>352.</w:t>
      </w:r>
      <w:r w:rsidRPr="003B725E">
        <w:tab/>
        <w:t>McNulty M, Singh RJ, Li X, Bergstralh EJ, Kumar R. Determination of serum and plasma sclerostin concentrations by enzyme-linked immunoassays. The Journal of clinical endocrinology and metabolism. 2011;96(7):E1159-62.</w:t>
      </w:r>
      <w:bookmarkEnd w:id="616"/>
    </w:p>
    <w:p w:rsidR="003B725E" w:rsidRPr="003B725E" w:rsidRDefault="003B725E" w:rsidP="003B725E">
      <w:pPr>
        <w:pStyle w:val="EndNoteBibliography"/>
        <w:spacing w:after="0"/>
      </w:pPr>
      <w:bookmarkStart w:id="617" w:name="_ENREF_353"/>
      <w:r w:rsidRPr="003B725E">
        <w:t>353.</w:t>
      </w:r>
      <w:r w:rsidRPr="003B725E">
        <w:tab/>
        <w:t>Durosier C, van Lierop A, Ferrari S, Chevalley T, Papapoulos S, Rizzoli R. Association of circulating sclerostin with bone mineral mass, microstructure, and turnover biochemical markers in healthy elderly men and women. The Journal of clinical endocrinology and metabolism. 2013;98(9):3873-83.</w:t>
      </w:r>
      <w:bookmarkEnd w:id="617"/>
    </w:p>
    <w:p w:rsidR="003B725E" w:rsidRPr="003B725E" w:rsidRDefault="003B725E" w:rsidP="003B725E">
      <w:pPr>
        <w:pStyle w:val="EndNoteBibliography"/>
        <w:spacing w:after="0"/>
      </w:pPr>
      <w:bookmarkStart w:id="618" w:name="_ENREF_354"/>
      <w:r w:rsidRPr="003B725E">
        <w:t>354.</w:t>
      </w:r>
      <w:r w:rsidRPr="003B725E">
        <w:tab/>
        <w:t>Szulc P, Delmas PD. Biochemical markers of bone turnover: potential use in the investigation and management of postmenopausal osteoporosis. Osteoporosis international : a journal established as result of cooperation between the European Foundation for Osteoporosis and the National Osteoporosis Foundation of the USA. 2008;19(12):1683-704.</w:t>
      </w:r>
      <w:bookmarkEnd w:id="618"/>
    </w:p>
    <w:p w:rsidR="003B725E" w:rsidRPr="003B725E" w:rsidRDefault="003B725E" w:rsidP="003B725E">
      <w:pPr>
        <w:pStyle w:val="EndNoteBibliography"/>
        <w:spacing w:after="0"/>
      </w:pPr>
      <w:bookmarkStart w:id="619" w:name="_ENREF_355"/>
      <w:r w:rsidRPr="003B725E">
        <w:t>355.</w:t>
      </w:r>
      <w:r w:rsidRPr="003B725E">
        <w:tab/>
        <w:t>Wichers M, Schmidt E, Bidlingmaier F, Klingmuller D. Diurnal rhythm of CrossLaps in human serum. Clinical chemistry. 1999;45(10):1858-60.</w:t>
      </w:r>
      <w:bookmarkEnd w:id="619"/>
    </w:p>
    <w:p w:rsidR="003B725E" w:rsidRPr="003B725E" w:rsidRDefault="003B725E" w:rsidP="003B725E">
      <w:pPr>
        <w:pStyle w:val="EndNoteBibliography"/>
        <w:spacing w:after="0"/>
      </w:pPr>
      <w:bookmarkStart w:id="620" w:name="_ENREF_356"/>
      <w:r w:rsidRPr="003B725E">
        <w:t>356.</w:t>
      </w:r>
      <w:r w:rsidRPr="003B725E">
        <w:tab/>
        <w:t>Hannon R, Eastell R. Preanalytical variability of biochemical markers of bone turnover. Osteoporosis international : a journal established as result of cooperation between the European Foundation for Osteoporosis and the National Osteoporosis Foundation of the USA. 2000;11 Suppl 6:S30-44.</w:t>
      </w:r>
      <w:bookmarkEnd w:id="620"/>
    </w:p>
    <w:p w:rsidR="003B725E" w:rsidRPr="003B725E" w:rsidRDefault="003B725E" w:rsidP="003B725E">
      <w:pPr>
        <w:pStyle w:val="EndNoteBibliography"/>
        <w:spacing w:after="0"/>
      </w:pPr>
      <w:bookmarkStart w:id="621" w:name="_ENREF_357"/>
      <w:r w:rsidRPr="003B725E">
        <w:t>357.</w:t>
      </w:r>
      <w:r w:rsidRPr="003B725E">
        <w:tab/>
        <w:t>Bjarnason NH, Henriksen EE, Alexandersen P, Christgau S, Henriksen DB, Christiansen C. Mechanism of circadian variation in bone resorption. Bone. 2002;30(1):307-13.</w:t>
      </w:r>
      <w:bookmarkEnd w:id="621"/>
    </w:p>
    <w:p w:rsidR="003B725E" w:rsidRPr="003B725E" w:rsidRDefault="003B725E" w:rsidP="003B725E">
      <w:pPr>
        <w:pStyle w:val="EndNoteBibliography"/>
        <w:spacing w:after="0"/>
      </w:pPr>
      <w:bookmarkStart w:id="622" w:name="_ENREF_358"/>
      <w:r w:rsidRPr="003B725E">
        <w:t>358.</w:t>
      </w:r>
      <w:r w:rsidRPr="003B725E">
        <w:tab/>
        <w:t>Clowes JA, Hannon RA, Yap TS, Hoyle NR, Blumsohn A, Eastell R. Effect of feeding on bone turnover markers and its impact on biological variability of measurements. Bone. 2002;30(6):886-90.</w:t>
      </w:r>
      <w:bookmarkEnd w:id="622"/>
    </w:p>
    <w:p w:rsidR="003B725E" w:rsidRPr="003B725E" w:rsidRDefault="003B725E" w:rsidP="003B725E">
      <w:pPr>
        <w:pStyle w:val="EndNoteBibliography"/>
        <w:spacing w:after="0"/>
      </w:pPr>
      <w:bookmarkStart w:id="623" w:name="_ENREF_359"/>
      <w:r w:rsidRPr="003B725E">
        <w:t>359.</w:t>
      </w:r>
      <w:r w:rsidRPr="003B725E">
        <w:tab/>
        <w:t>Schafer AL, Vittinghoff E, Ramachandran R, Mahmoudi N, Bauer DC. Laboratory reproducibility of biochemical markers of bone turnover in clinical practice. Osteoporosis international : a journal established as result of cooperation between the European Foundation for Osteoporosis and the National Osteoporosis Foundation of the USA. 2010;21(3):439-45.</w:t>
      </w:r>
      <w:bookmarkEnd w:id="623"/>
    </w:p>
    <w:p w:rsidR="003B725E" w:rsidRPr="003B725E" w:rsidRDefault="003B725E" w:rsidP="003B725E">
      <w:pPr>
        <w:pStyle w:val="EndNoteBibliography"/>
        <w:spacing w:after="0"/>
      </w:pPr>
      <w:bookmarkStart w:id="624" w:name="_ENREF_360"/>
      <w:r w:rsidRPr="003B725E">
        <w:t>360.</w:t>
      </w:r>
      <w:r w:rsidRPr="003B725E">
        <w:tab/>
        <w:t>Stokes FJ, Ivanov P, Bailey LM, Fraser WD. The effects of sampling procedures and storage conditions on short-term stability of blood-based biochemical markers of bone metabolism. Clinical chemistry. 2011;57(1):138-40.</w:t>
      </w:r>
      <w:bookmarkEnd w:id="624"/>
    </w:p>
    <w:p w:rsidR="003B725E" w:rsidRPr="003B725E" w:rsidRDefault="003B725E" w:rsidP="003B725E">
      <w:pPr>
        <w:pStyle w:val="EndNoteBibliography"/>
        <w:spacing w:after="0"/>
      </w:pPr>
      <w:bookmarkStart w:id="625" w:name="_ENREF_361"/>
      <w:r w:rsidRPr="003B725E">
        <w:t>361.</w:t>
      </w:r>
      <w:r w:rsidRPr="003B725E">
        <w:tab/>
        <w:t>Rosenquist C, Fledelius C, Christgau S, Pedersen BJ, Bonde M, Qvist P, et al. Serum CrossLaps One Step ELISA. First application of monoclonal antibodies for measurement in serum of bone-related degradation products from C-terminal telopeptides of type I collagen. Clinical chemistry. 1998;44(11):2281-9.</w:t>
      </w:r>
      <w:bookmarkEnd w:id="625"/>
    </w:p>
    <w:p w:rsidR="003B725E" w:rsidRPr="003B725E" w:rsidRDefault="003B725E" w:rsidP="003B725E">
      <w:pPr>
        <w:pStyle w:val="EndNoteBibliography"/>
        <w:spacing w:after="0"/>
      </w:pPr>
      <w:bookmarkStart w:id="626" w:name="_ENREF_362"/>
      <w:r w:rsidRPr="003B725E">
        <w:t>362.</w:t>
      </w:r>
      <w:r w:rsidRPr="003B725E">
        <w:tab/>
        <w:t>Okabe R, Nakatsuka K, Inaba M, Miki T, Naka H, Masaki H, et al. Clinical evaluation of the Elecsys beta-CrossLaps serum assay, a new assay for degradation products of type I collagen C-tlopeptides. Clinical chemistry. 2001;47(8):1410-4.</w:t>
      </w:r>
      <w:bookmarkEnd w:id="626"/>
    </w:p>
    <w:p w:rsidR="003B725E" w:rsidRPr="003B725E" w:rsidRDefault="003B725E" w:rsidP="003B725E">
      <w:pPr>
        <w:pStyle w:val="EndNoteBibliography"/>
        <w:spacing w:after="0"/>
      </w:pPr>
      <w:bookmarkStart w:id="627" w:name="_ENREF_363"/>
      <w:r w:rsidRPr="003B725E">
        <w:t>363.</w:t>
      </w:r>
      <w:r w:rsidRPr="003B725E">
        <w:tab/>
        <w:t>Garnero P, Sornay-Rendu E, Chapuy MC, Delmas PD. Increased bone turnover in late postmenopausal women is a major determinant of osteoporosis. Journal of bone and mineral research : the official journal of the American Society for Bone and Mineral Research. 1996;11(3):337-49.</w:t>
      </w:r>
      <w:bookmarkEnd w:id="627"/>
    </w:p>
    <w:p w:rsidR="003B725E" w:rsidRPr="003B725E" w:rsidRDefault="003B725E" w:rsidP="003B725E">
      <w:pPr>
        <w:pStyle w:val="EndNoteBibliography"/>
        <w:spacing w:after="0"/>
      </w:pPr>
      <w:bookmarkStart w:id="628" w:name="_ENREF_364"/>
      <w:r w:rsidRPr="003B725E">
        <w:t>364.</w:t>
      </w:r>
      <w:r w:rsidRPr="003B725E">
        <w:tab/>
        <w:t>Garnero P, Hausherr E, Chapuy MC, Marcelli C, Grandjean H, Muller C, et al. Markers of bone resorption predict hip fracture in elderly women: the EPIDOS Prospective Study. Journal of bone and mineral research : the official journal of the American Society for Bone and Mineral Research. 1996;11(10):1531-8.</w:t>
      </w:r>
      <w:bookmarkEnd w:id="628"/>
    </w:p>
    <w:p w:rsidR="003B725E" w:rsidRPr="003B725E" w:rsidRDefault="003B725E" w:rsidP="003B725E">
      <w:pPr>
        <w:pStyle w:val="EndNoteBibliography"/>
        <w:spacing w:after="0"/>
      </w:pPr>
      <w:bookmarkStart w:id="629" w:name="_ENREF_365"/>
      <w:r w:rsidRPr="003B725E">
        <w:t>365.</w:t>
      </w:r>
      <w:r w:rsidRPr="003B725E">
        <w:tab/>
        <w:t>Lofman O, Magnusson P, Toss G, Larsson L. Common biochemical markers of bone turnover predict future bone loss: a 5-year follow-up study. Clinica chimica acta; international journal of clinical chemistry. 2005;356(1-2):67-75.</w:t>
      </w:r>
      <w:bookmarkEnd w:id="629"/>
    </w:p>
    <w:p w:rsidR="003B725E" w:rsidRPr="003B725E" w:rsidRDefault="003B725E" w:rsidP="003B725E">
      <w:pPr>
        <w:pStyle w:val="EndNoteBibliography"/>
        <w:spacing w:after="0"/>
      </w:pPr>
      <w:bookmarkStart w:id="630" w:name="_ENREF_366"/>
      <w:r w:rsidRPr="003B725E">
        <w:lastRenderedPageBreak/>
        <w:t>366.</w:t>
      </w:r>
      <w:r w:rsidRPr="003B725E">
        <w:tab/>
        <w:t>Glover SJ, Gall M, Schoenborn-Kellenberger O, Wagener M, Garnero P, Boonen S, et al. Establishing a reference interval for bone turnover markers in 637 healthy, young, premenopausal women from the United Kingdom, France, Belgium, and the United States. Journal of bone and mineral research : the official journal of the American Society for Bone and Mineral Research. 2009;24(3):389-97.</w:t>
      </w:r>
      <w:bookmarkEnd w:id="630"/>
    </w:p>
    <w:p w:rsidR="003B725E" w:rsidRPr="003B725E" w:rsidRDefault="003B725E" w:rsidP="003B725E">
      <w:pPr>
        <w:pStyle w:val="EndNoteBibliography"/>
        <w:spacing w:after="0"/>
        <w:rPr>
          <w:lang w:val="it-IT"/>
        </w:rPr>
      </w:pPr>
      <w:bookmarkStart w:id="631" w:name="_ENREF_367"/>
      <w:r w:rsidRPr="003B725E">
        <w:t>367.</w:t>
      </w:r>
      <w:r w:rsidRPr="003B725E">
        <w:tab/>
        <w:t xml:space="preserve">Glover SJ, Garnero P, Naylor K, Rogers A, Eastell R. Establishing a reference range for bone turnover markers in young, healthy women. </w:t>
      </w:r>
      <w:r w:rsidRPr="003B725E">
        <w:rPr>
          <w:lang w:val="it-IT"/>
        </w:rPr>
        <w:t>Bone. 2008;42(4):623-30.</w:t>
      </w:r>
      <w:bookmarkEnd w:id="631"/>
    </w:p>
    <w:p w:rsidR="003B725E" w:rsidRPr="003B725E" w:rsidRDefault="003B725E" w:rsidP="003B725E">
      <w:pPr>
        <w:pStyle w:val="EndNoteBibliography"/>
        <w:spacing w:after="0"/>
      </w:pPr>
      <w:bookmarkStart w:id="632" w:name="_ENREF_368"/>
      <w:r w:rsidRPr="003B725E">
        <w:rPr>
          <w:lang w:val="it-IT"/>
        </w:rPr>
        <w:t>368.</w:t>
      </w:r>
      <w:r w:rsidRPr="003B725E">
        <w:rPr>
          <w:lang w:val="it-IT"/>
        </w:rPr>
        <w:tab/>
        <w:t xml:space="preserve">Adami S, Bianchi G, Brandi ML, Giannini S, Ortolani S, DiMunno O, et al. </w:t>
      </w:r>
      <w:r w:rsidRPr="003B725E">
        <w:t>Determinants of bone turnover markers in healthy premenopausal women. Calcified tissue international. 2008;82(5):341-7.</w:t>
      </w:r>
      <w:bookmarkEnd w:id="632"/>
    </w:p>
    <w:p w:rsidR="003B725E" w:rsidRPr="003B725E" w:rsidRDefault="003B725E" w:rsidP="003B725E">
      <w:pPr>
        <w:pStyle w:val="EndNoteBibliography"/>
        <w:spacing w:after="0"/>
      </w:pPr>
      <w:bookmarkStart w:id="633" w:name="_ENREF_369"/>
      <w:r w:rsidRPr="003B725E">
        <w:t>369.</w:t>
      </w:r>
      <w:r w:rsidRPr="003B725E">
        <w:tab/>
        <w:t>Martinez J, Olmos JM, Hernandez JL, Pinedo G, Llorca J, Obregon E, et al. Bone turnover markers in Spanish postmenopausal women: the Camargo cohort study. Clinica chimica acta; international journal of clinical chemistry. 2009;409(1-2):70-4.</w:t>
      </w:r>
      <w:bookmarkEnd w:id="633"/>
    </w:p>
    <w:p w:rsidR="003B725E" w:rsidRPr="003B725E" w:rsidRDefault="003B725E" w:rsidP="003B725E">
      <w:pPr>
        <w:pStyle w:val="EndNoteBibliography"/>
        <w:spacing w:after="0"/>
      </w:pPr>
      <w:bookmarkStart w:id="634" w:name="_ENREF_370"/>
      <w:r w:rsidRPr="003B725E">
        <w:t>370.</w:t>
      </w:r>
      <w:r w:rsidRPr="003B725E">
        <w:tab/>
        <w:t>Bhan A, Rao AD, Rao DS. Osteomalacia as a result of vitamin D deficiency. Rheumatic diseases clinics of North America. 2012;38(1):81-91, viii-ix.</w:t>
      </w:r>
      <w:bookmarkEnd w:id="634"/>
    </w:p>
    <w:p w:rsidR="003B725E" w:rsidRPr="003B725E" w:rsidRDefault="003B725E" w:rsidP="003B725E">
      <w:pPr>
        <w:pStyle w:val="EndNoteBibliography"/>
        <w:spacing w:after="0"/>
      </w:pPr>
      <w:bookmarkStart w:id="635" w:name="_ENREF_371"/>
      <w:r w:rsidRPr="003B725E">
        <w:t>371.</w:t>
      </w:r>
      <w:r w:rsidRPr="003B725E">
        <w:tab/>
        <w:t>Bikle DD. Vitamin D and bone. Current osteoporosis reports. 2012;10(2):151-9.</w:t>
      </w:r>
      <w:bookmarkEnd w:id="635"/>
    </w:p>
    <w:p w:rsidR="003B725E" w:rsidRPr="003B725E" w:rsidRDefault="003B725E" w:rsidP="003B725E">
      <w:pPr>
        <w:pStyle w:val="EndNoteBibliography"/>
        <w:spacing w:after="0"/>
      </w:pPr>
      <w:bookmarkStart w:id="636" w:name="_ENREF_372"/>
      <w:r w:rsidRPr="003B725E">
        <w:t>372.</w:t>
      </w:r>
      <w:r w:rsidRPr="003B725E">
        <w:tab/>
        <w:t>Parfitt AM, Qiu S, Rao DS. The mineralization index--a new approach to the histomorphometric appraisal of osteomalacia. Bone. 2004;35(1):320-5.</w:t>
      </w:r>
      <w:bookmarkEnd w:id="636"/>
    </w:p>
    <w:p w:rsidR="003B725E" w:rsidRPr="003B725E" w:rsidRDefault="003B725E" w:rsidP="003B725E">
      <w:pPr>
        <w:pStyle w:val="EndNoteBibliography"/>
        <w:spacing w:after="0"/>
      </w:pPr>
      <w:bookmarkStart w:id="637" w:name="_ENREF_373"/>
      <w:r w:rsidRPr="003B725E">
        <w:t>373.</w:t>
      </w:r>
      <w:r w:rsidRPr="003B725E">
        <w:tab/>
        <w:t>Jesudason D, Need AG, Horowitz M, O'Loughlin PD, Morris HA, Nordin BE. Relationship between serum 25-hydroxyvitamin D and bone resorption markers in vitamin D insufficiency. Bone. 2002;31(5):626-30.</w:t>
      </w:r>
      <w:bookmarkEnd w:id="637"/>
    </w:p>
    <w:p w:rsidR="003B725E" w:rsidRPr="003B725E" w:rsidRDefault="003B725E" w:rsidP="003B725E">
      <w:pPr>
        <w:pStyle w:val="EndNoteBibliography"/>
        <w:spacing w:after="0"/>
      </w:pPr>
      <w:bookmarkStart w:id="638" w:name="_ENREF_374"/>
      <w:r w:rsidRPr="003B725E">
        <w:t>374.</w:t>
      </w:r>
      <w:r w:rsidRPr="003B725E">
        <w:tab/>
        <w:t>Sahota O, Mundey MK, San P, Godber IM, Lawson N, Hosking DJ. The relationship between vitamin D and parathyroid hormone: calcium homeostasis, bone turnover, and bone mineral density in postmenopausal women with established osteoporosis. Bone. 2004;35(1):312-9.</w:t>
      </w:r>
      <w:bookmarkEnd w:id="638"/>
    </w:p>
    <w:p w:rsidR="003B725E" w:rsidRPr="003B725E" w:rsidRDefault="003B725E" w:rsidP="003B725E">
      <w:pPr>
        <w:pStyle w:val="EndNoteBibliography"/>
        <w:spacing w:after="0"/>
      </w:pPr>
      <w:bookmarkStart w:id="639" w:name="_ENREF_375"/>
      <w:r w:rsidRPr="003B725E">
        <w:t>375.</w:t>
      </w:r>
      <w:r w:rsidRPr="003B725E">
        <w:tab/>
        <w:t>Seeman E. Pathogenesis of bone fragility in women and men. Lancet. 2002;359(9320):1841-50.</w:t>
      </w:r>
      <w:bookmarkEnd w:id="639"/>
    </w:p>
    <w:p w:rsidR="003B725E" w:rsidRPr="003B725E" w:rsidRDefault="003B725E" w:rsidP="003B725E">
      <w:pPr>
        <w:pStyle w:val="EndNoteBibliography"/>
        <w:spacing w:after="0"/>
      </w:pPr>
      <w:bookmarkStart w:id="640" w:name="_ENREF_376"/>
      <w:r w:rsidRPr="003B725E">
        <w:t>376.</w:t>
      </w:r>
      <w:r w:rsidRPr="003B725E">
        <w:tab/>
        <w:t>Magnusson P, Sharp CA, Magnusson M, Risteli J, Davie MW, Larsson L. Effect of chronic renal failure on bone turnover and bone alkaline phosphatase isoforms. Kidney international. 2001;60(1):257-65.</w:t>
      </w:r>
      <w:bookmarkEnd w:id="640"/>
    </w:p>
    <w:p w:rsidR="003B725E" w:rsidRPr="003B725E" w:rsidRDefault="003B725E" w:rsidP="003B725E">
      <w:pPr>
        <w:pStyle w:val="EndNoteBibliography"/>
        <w:spacing w:after="0"/>
      </w:pPr>
      <w:bookmarkStart w:id="641" w:name="_ENREF_377"/>
      <w:r w:rsidRPr="003B725E">
        <w:t>377.</w:t>
      </w:r>
      <w:r w:rsidRPr="003B725E">
        <w:tab/>
        <w:t>Iimori S, Mori Y, Akita W, Kuyama T, Takada S, Asai T, et al. Diagnostic usefulness of bone mineral density and biochemical markers of bone turnover in predicting fracture in CKD stage 5D patients--a single-center cohort study. Nephrology, dialysis, transplantation : official publication of the European Dialysis and Transplant Association - European Renal Association. 2012;27(1):345-51.</w:t>
      </w:r>
      <w:bookmarkEnd w:id="641"/>
    </w:p>
    <w:p w:rsidR="003B725E" w:rsidRPr="003B725E" w:rsidRDefault="003B725E" w:rsidP="003B725E">
      <w:pPr>
        <w:pStyle w:val="EndNoteBibliography"/>
        <w:spacing w:after="0"/>
      </w:pPr>
      <w:bookmarkStart w:id="642" w:name="_ENREF_378"/>
      <w:r w:rsidRPr="003B725E">
        <w:t>378.</w:t>
      </w:r>
      <w:r w:rsidRPr="003B725E">
        <w:tab/>
        <w:t>Reginster JY, Adami S, Lakatos P, Greenwald M, Stepan JJ, Silverman SL, et al. Efficacy and tolerability of once-monthly oral ibandronate in postmenopausal osteoporosis: 2 year results from the MOBILE study. Annals of the rheumatic diseases. 2006;65(5):654-61.</w:t>
      </w:r>
      <w:bookmarkEnd w:id="642"/>
    </w:p>
    <w:p w:rsidR="003B725E" w:rsidRPr="003B725E" w:rsidRDefault="003B725E" w:rsidP="003B725E">
      <w:pPr>
        <w:pStyle w:val="EndNoteBibliography"/>
        <w:spacing w:after="0"/>
      </w:pPr>
      <w:bookmarkStart w:id="643" w:name="_ENREF_379"/>
      <w:r w:rsidRPr="003B725E">
        <w:t>379.</w:t>
      </w:r>
      <w:r w:rsidRPr="003B725E">
        <w:tab/>
        <w:t>O'Neill TW, Cooper C, Cannata JB, Diaz Lopez JB, Hoszowski K, Johnell O, et al. Reproducibility of a questionnaire on risk factors for osteoporosis in a multicentre prevalence survey: the European Vertebral Osteoporosis Study. International journal of epidemiology. 1994;23(3):559-65.</w:t>
      </w:r>
      <w:bookmarkEnd w:id="643"/>
    </w:p>
    <w:p w:rsidR="003B725E" w:rsidRPr="003B725E" w:rsidRDefault="003B725E" w:rsidP="003B725E">
      <w:pPr>
        <w:pStyle w:val="EndNoteBibliography"/>
        <w:spacing w:after="0"/>
      </w:pPr>
      <w:bookmarkStart w:id="644" w:name="_ENREF_380"/>
      <w:r w:rsidRPr="003B725E">
        <w:t>380.</w:t>
      </w:r>
      <w:r w:rsidRPr="003B725E">
        <w:tab/>
        <w:t>Gossiel F, Finigan J, Jacques R, Reid D, Felsenberg D, Roux C, et al. Establishing reference intervals for bone turnover markers in healthy postmenopausal women in a nonfasting state. BoneKEy reports. 2014;3:573.</w:t>
      </w:r>
      <w:bookmarkEnd w:id="644"/>
    </w:p>
    <w:p w:rsidR="003B725E" w:rsidRPr="003B725E" w:rsidRDefault="003B725E" w:rsidP="003B725E">
      <w:pPr>
        <w:pStyle w:val="EndNoteBibliography"/>
        <w:spacing w:after="0"/>
      </w:pPr>
      <w:bookmarkStart w:id="645" w:name="_ENREF_381"/>
      <w:r w:rsidRPr="003B725E">
        <w:t>381.</w:t>
      </w:r>
      <w:r w:rsidRPr="003B725E">
        <w:tab/>
        <w:t>Levey AS, Coresh J, Greene T, Marsh J, Stevens LA, Kusek JW, et al. Expressing the Modification of Diet in Renal Disease Study equation for estimating glomerular filtration rate with standardized serum creatinine values. Clinical chemistry. 2007;53(4):766-72.</w:t>
      </w:r>
      <w:bookmarkEnd w:id="645"/>
    </w:p>
    <w:p w:rsidR="003B725E" w:rsidRPr="003B725E" w:rsidRDefault="003B725E" w:rsidP="003B725E">
      <w:pPr>
        <w:pStyle w:val="EndNoteBibliography"/>
        <w:spacing w:after="0"/>
      </w:pPr>
      <w:bookmarkStart w:id="646" w:name="_ENREF_382"/>
      <w:r w:rsidRPr="003B725E">
        <w:t>382.</w:t>
      </w:r>
      <w:r w:rsidRPr="003B725E">
        <w:tab/>
        <w:t>Matuszkiewicz-Rowinska J. KDIGO clinical practice guidelines for the diagnosis, evaluation, prevention, and treatment of mineral and bone disorders in chronic kidney disease. Polskie Archiwum Medycyny Wewnetrznej. 2010;120(7-8):300-6.</w:t>
      </w:r>
      <w:bookmarkEnd w:id="646"/>
    </w:p>
    <w:p w:rsidR="003B725E" w:rsidRPr="003B725E" w:rsidRDefault="003B725E" w:rsidP="003B725E">
      <w:pPr>
        <w:pStyle w:val="EndNoteBibliography"/>
        <w:spacing w:after="0"/>
      </w:pPr>
      <w:bookmarkStart w:id="647" w:name="_ENREF_383"/>
      <w:r w:rsidRPr="003B725E">
        <w:t>383.</w:t>
      </w:r>
      <w:r w:rsidRPr="003B725E">
        <w:tab/>
        <w:t>KDIGO clinical practice guideline for the diagnosis, evaluation, prevention, and treatment of Chronic Kidney Disease-Mineral and Bone Disorder (CKD-MBD). Kidney international Supplement. 2009(113):S1-130.</w:t>
      </w:r>
      <w:bookmarkEnd w:id="647"/>
    </w:p>
    <w:p w:rsidR="003B725E" w:rsidRPr="003B725E" w:rsidRDefault="003B725E" w:rsidP="003B725E">
      <w:pPr>
        <w:pStyle w:val="EndNoteBibliography"/>
        <w:spacing w:after="0"/>
      </w:pPr>
      <w:bookmarkStart w:id="648" w:name="_ENREF_384"/>
      <w:r w:rsidRPr="003B725E">
        <w:lastRenderedPageBreak/>
        <w:t>384.</w:t>
      </w:r>
      <w:r w:rsidRPr="003B725E">
        <w:tab/>
        <w:t>Rosen HN, Dresner-Pollak R, Moses AC, Rosenblatt M, Zeind AJ, Clemens JD, et al. Specificity of urinary excretion of cross-linked N-telopeptides of type I collagen as a marker of bone turnover. Calcified tissue international. 1994;54(1):26-9.</w:t>
      </w:r>
      <w:bookmarkEnd w:id="648"/>
    </w:p>
    <w:p w:rsidR="003B725E" w:rsidRPr="003B725E" w:rsidRDefault="003B725E" w:rsidP="003B725E">
      <w:pPr>
        <w:pStyle w:val="EndNoteBibliography"/>
        <w:spacing w:after="0"/>
      </w:pPr>
      <w:bookmarkStart w:id="649" w:name="_ENREF_385"/>
      <w:r w:rsidRPr="003B725E">
        <w:t>385.</w:t>
      </w:r>
      <w:r w:rsidRPr="003B725E">
        <w:tab/>
        <w:t>de Papp AE, Bone HG, Caulfield MP, Kagan R, Buinewicz A, Chen E, et al. A cross-sectional study of bone turnover markers in healthy premenopausal women. Bone. 2007;40(5):1222-30.</w:t>
      </w:r>
      <w:bookmarkEnd w:id="649"/>
    </w:p>
    <w:p w:rsidR="003B725E" w:rsidRPr="003B725E" w:rsidRDefault="003B725E" w:rsidP="003B725E">
      <w:pPr>
        <w:pStyle w:val="EndNoteBibliography"/>
        <w:spacing w:after="0"/>
        <w:rPr>
          <w:lang w:val="it-IT"/>
        </w:rPr>
      </w:pPr>
      <w:bookmarkStart w:id="650" w:name="_ENREF_386"/>
      <w:r w:rsidRPr="003B725E">
        <w:t>386.</w:t>
      </w:r>
      <w:r w:rsidRPr="003B725E">
        <w:tab/>
        <w:t xml:space="preserve">Reid IR. Relationships among body mass, its components, and bone. </w:t>
      </w:r>
      <w:r w:rsidRPr="003B725E">
        <w:rPr>
          <w:lang w:val="it-IT"/>
        </w:rPr>
        <w:t>Bone. 2002;31(5):547-55.</w:t>
      </w:r>
      <w:bookmarkEnd w:id="650"/>
    </w:p>
    <w:p w:rsidR="003B725E" w:rsidRPr="003B725E" w:rsidRDefault="003B725E" w:rsidP="003B725E">
      <w:pPr>
        <w:pStyle w:val="EndNoteBibliography"/>
        <w:spacing w:after="0"/>
      </w:pPr>
      <w:bookmarkStart w:id="651" w:name="_ENREF_387"/>
      <w:r w:rsidRPr="003B725E">
        <w:rPr>
          <w:lang w:val="it-IT"/>
        </w:rPr>
        <w:t>387.</w:t>
      </w:r>
      <w:r w:rsidRPr="003B725E">
        <w:rPr>
          <w:lang w:val="it-IT"/>
        </w:rPr>
        <w:tab/>
        <w:t xml:space="preserve">Di Carlo C, Tommaselli GA, Gargano V, Sammartino A, Bifulco G, Tauchmanova L, et al. </w:t>
      </w:r>
      <w:r w:rsidRPr="003B725E">
        <w:t>Effects of estrogen-progestin therapy on serum levels of RANKL, osteoprotegerin, osteocalcin, leptin, and ghrelin in postmenopausal women. Menopause (New York, NY). 2007;14(1):38-44.</w:t>
      </w:r>
      <w:bookmarkEnd w:id="651"/>
    </w:p>
    <w:p w:rsidR="003B725E" w:rsidRPr="003B725E" w:rsidRDefault="003B725E" w:rsidP="003B725E">
      <w:pPr>
        <w:pStyle w:val="EndNoteBibliography"/>
        <w:spacing w:after="0"/>
      </w:pPr>
      <w:bookmarkStart w:id="652" w:name="_ENREF_388"/>
      <w:r w:rsidRPr="003B725E">
        <w:t>388.</w:t>
      </w:r>
      <w:r w:rsidRPr="003B725E">
        <w:tab/>
        <w:t>Bjarnason NH, Christiansen C. The influence of thinness and smoking on bone loss and response to hormone replacement therapy in early postmenopausal women. The Journal of clinical endocrinology and metabolism. 2000;85(2):590-6.</w:t>
      </w:r>
      <w:bookmarkEnd w:id="652"/>
    </w:p>
    <w:p w:rsidR="003B725E" w:rsidRPr="003B725E" w:rsidRDefault="003B725E" w:rsidP="003B725E">
      <w:pPr>
        <w:pStyle w:val="EndNoteBibliography"/>
        <w:spacing w:after="0"/>
      </w:pPr>
      <w:bookmarkStart w:id="653" w:name="_ENREF_389"/>
      <w:r w:rsidRPr="003B725E">
        <w:t>389.</w:t>
      </w:r>
      <w:r w:rsidRPr="003B725E">
        <w:tab/>
        <w:t>Kanis JA, McCloskey E, Branco J, Brandi ML, Dennison E, Devogelaer JP, et al. Goal-directed treatment of osteoporosis in Europe. Osteoporosis international : a journal established as result of cooperation between the European Foundation for Osteoporosis and the National Osteoporosis Foundation of the USA. 2014;25(11):2533-43.</w:t>
      </w:r>
      <w:bookmarkEnd w:id="653"/>
    </w:p>
    <w:p w:rsidR="003B725E" w:rsidRPr="003B725E" w:rsidRDefault="003B725E" w:rsidP="003B725E">
      <w:pPr>
        <w:pStyle w:val="EndNoteBibliography"/>
        <w:spacing w:after="0"/>
      </w:pPr>
      <w:bookmarkStart w:id="654" w:name="_ENREF_390"/>
      <w:r w:rsidRPr="003B725E">
        <w:rPr>
          <w:lang w:val="nl-NL"/>
        </w:rPr>
        <w:t>390.</w:t>
      </w:r>
      <w:r w:rsidRPr="003B725E">
        <w:rPr>
          <w:lang w:val="nl-NL"/>
        </w:rPr>
        <w:tab/>
        <w:t xml:space="preserve">van Daele PL, Seibel MJ, Burger H, Hofman A, Grobbee DE, van Leeuwen JP, et al. </w:t>
      </w:r>
      <w:r w:rsidRPr="003B725E">
        <w:t>Case-control analysis of bone resorption markers, disability, and hip fracture risk: the Rotterdam study. BMJ. 1996;312(7029):482-3.</w:t>
      </w:r>
      <w:bookmarkEnd w:id="654"/>
    </w:p>
    <w:p w:rsidR="003B725E" w:rsidRPr="003B725E" w:rsidRDefault="003B725E" w:rsidP="003B725E">
      <w:pPr>
        <w:pStyle w:val="EndNoteBibliography"/>
        <w:spacing w:after="0"/>
      </w:pPr>
      <w:bookmarkStart w:id="655" w:name="_ENREF_391"/>
      <w:r w:rsidRPr="003B725E">
        <w:t>391.</w:t>
      </w:r>
      <w:r w:rsidRPr="003B725E">
        <w:tab/>
        <w:t>Hansen MA, Overgaard K, Riis BJ, Christiansen C. Role of peak bone mass and bone loss in postmenopausal osteoporosis: 12 year study. BMJ. 1991;303(6808):961-4.</w:t>
      </w:r>
      <w:bookmarkEnd w:id="655"/>
    </w:p>
    <w:p w:rsidR="003B725E" w:rsidRPr="003B725E" w:rsidRDefault="003B725E" w:rsidP="003B725E">
      <w:pPr>
        <w:pStyle w:val="EndNoteBibliography"/>
        <w:spacing w:after="0"/>
      </w:pPr>
      <w:bookmarkStart w:id="656" w:name="_ENREF_392"/>
      <w:r w:rsidRPr="003B725E">
        <w:t>392.</w:t>
      </w:r>
      <w:r w:rsidRPr="003B725E">
        <w:tab/>
        <w:t>Delmas PD, Eastell R, Garnero P, Seibel MJ, Stepan J. The use of biochemical markers of bone turnover in osteoporosis. Committee of Scientific Advisors of the International Osteoporosis Foundation. Osteoporosis international : a journal established as result of cooperation between the European Foundation for Osteoporosis and the National Osteoporosis Foundation of the USA. 2000;11 Suppl 6:S2-17.</w:t>
      </w:r>
      <w:bookmarkEnd w:id="656"/>
    </w:p>
    <w:p w:rsidR="003B725E" w:rsidRPr="003B725E" w:rsidRDefault="003B725E" w:rsidP="003B725E">
      <w:pPr>
        <w:pStyle w:val="EndNoteBibliography"/>
        <w:spacing w:after="0"/>
      </w:pPr>
      <w:bookmarkStart w:id="657" w:name="_ENREF_393"/>
      <w:r w:rsidRPr="003B725E">
        <w:t>393.</w:t>
      </w:r>
      <w:r w:rsidRPr="003B725E">
        <w:tab/>
        <w:t>Stepan JJ. Prediction of bone loss in postmenopausal women. Osteoporosis international : a journal established as result of cooperation between the European Foundation for Osteoporosis and the National Osteoporosis Foundation of the USA. 2000;11 Suppl 6:S45-54.</w:t>
      </w:r>
      <w:bookmarkEnd w:id="657"/>
    </w:p>
    <w:p w:rsidR="003B725E" w:rsidRPr="003B725E" w:rsidRDefault="003B725E" w:rsidP="003B725E">
      <w:pPr>
        <w:pStyle w:val="EndNoteBibliography"/>
        <w:spacing w:after="0"/>
      </w:pPr>
      <w:bookmarkStart w:id="658" w:name="_ENREF_394"/>
      <w:r w:rsidRPr="003B725E">
        <w:t>394.</w:t>
      </w:r>
      <w:r w:rsidRPr="003B725E">
        <w:tab/>
        <w:t>Johansson H, Oden A, Kanis JA, McCloskey EV, Morris HA, Cooper C, et al. A meta-analysis of reference markers of bone turnover for prediction of fracture. Calcified tissue international. 2014;94(5):560-7.</w:t>
      </w:r>
      <w:bookmarkEnd w:id="658"/>
    </w:p>
    <w:p w:rsidR="003B725E" w:rsidRPr="003B725E" w:rsidRDefault="003B725E" w:rsidP="003B725E">
      <w:pPr>
        <w:pStyle w:val="EndNoteBibliography"/>
        <w:spacing w:after="0"/>
      </w:pPr>
      <w:bookmarkStart w:id="659" w:name="_ENREF_395"/>
      <w:r w:rsidRPr="003B725E">
        <w:t>395.</w:t>
      </w:r>
      <w:r w:rsidRPr="003B725E">
        <w:tab/>
        <w:t>Guo CY, Thomas WE, al-Dehaimi AW, Assiri AM, Eastell R. Longitudinal changes in bone mineral density and bone turnover in postmenopausal women with primary hyperparathyroidism. The Journal of clinical endocrinology and metabolism. 1996;81(10):3487-91.</w:t>
      </w:r>
      <w:bookmarkEnd w:id="659"/>
    </w:p>
    <w:p w:rsidR="003B725E" w:rsidRPr="003B725E" w:rsidRDefault="003B725E" w:rsidP="003B725E">
      <w:pPr>
        <w:pStyle w:val="EndNoteBibliography"/>
        <w:spacing w:after="0"/>
      </w:pPr>
      <w:bookmarkStart w:id="660" w:name="_ENREF_396"/>
      <w:r w:rsidRPr="003B725E">
        <w:t>396.</w:t>
      </w:r>
      <w:r w:rsidRPr="003B725E">
        <w:tab/>
        <w:t>Bieglmayer C, Kudlacek S. The bone marker plot: an innovative method to assess bone turnover in women. European journal of clinical investigation. 2009;39(3):230-8.</w:t>
      </w:r>
      <w:bookmarkEnd w:id="660"/>
    </w:p>
    <w:p w:rsidR="003B725E" w:rsidRPr="003B725E" w:rsidRDefault="003B725E" w:rsidP="003B725E">
      <w:pPr>
        <w:pStyle w:val="EndNoteBibliography"/>
        <w:spacing w:after="0"/>
      </w:pPr>
      <w:bookmarkStart w:id="661" w:name="_ENREF_397"/>
      <w:r w:rsidRPr="003B725E">
        <w:t>397.</w:t>
      </w:r>
      <w:r w:rsidRPr="003B725E">
        <w:tab/>
        <w:t>Gossiel F, Altaher H, Reid DM, Roux C, Felsenberg D, Glüer CC, et al. Bone turnover markers after the menopause: T-score approach. Bone. 2018;111:44-8.</w:t>
      </w:r>
      <w:bookmarkEnd w:id="661"/>
    </w:p>
    <w:p w:rsidR="003B725E" w:rsidRPr="003B725E" w:rsidRDefault="003B725E" w:rsidP="003B725E">
      <w:pPr>
        <w:pStyle w:val="EndNoteBibliography"/>
        <w:spacing w:after="0"/>
      </w:pPr>
      <w:bookmarkStart w:id="662" w:name="_ENREF_398"/>
      <w:r w:rsidRPr="003B725E">
        <w:t>398.</w:t>
      </w:r>
      <w:r w:rsidRPr="003B725E">
        <w:tab/>
        <w:t>Eastell R, Robins SP, Colwell T, Assiri AM, Riggs BL, Russell RG. Evaluation of bone turnover in type I osteoporosis using biochemical markers specific for both bone formation and bone resorption. Osteoporosis international : a journal established as result of cooperation between the European Foundation for Osteoporosis and the National Osteoporosis Foundation of the USA. 1993;3(5):255-60.</w:t>
      </w:r>
      <w:bookmarkEnd w:id="662"/>
    </w:p>
    <w:p w:rsidR="003B725E" w:rsidRPr="003B725E" w:rsidRDefault="003B725E" w:rsidP="003B725E">
      <w:pPr>
        <w:pStyle w:val="EndNoteBibliography"/>
        <w:spacing w:after="0"/>
      </w:pPr>
      <w:bookmarkStart w:id="663" w:name="_ENREF_399"/>
      <w:r w:rsidRPr="003B725E">
        <w:t>399.</w:t>
      </w:r>
      <w:r w:rsidRPr="003B725E">
        <w:tab/>
        <w:t>Vasikaran SD. Utility of biochemical markers of bone turnover and bone mineral density in management of osteoporosis. Crit Rev Clin Lab Sci. 2008;45(2):221-58.</w:t>
      </w:r>
      <w:bookmarkEnd w:id="663"/>
    </w:p>
    <w:p w:rsidR="003B725E" w:rsidRPr="003B725E" w:rsidRDefault="003B725E" w:rsidP="003B725E">
      <w:pPr>
        <w:pStyle w:val="EndNoteBibliography"/>
        <w:spacing w:after="0"/>
      </w:pPr>
      <w:bookmarkStart w:id="664" w:name="_ENREF_400"/>
      <w:r w:rsidRPr="003B725E">
        <w:t>400.</w:t>
      </w:r>
      <w:r w:rsidRPr="003B725E">
        <w:tab/>
        <w:t>Nakashima T. [Regulation of bone homeostasis by bone cells]. Clinical calcium. 2013;23(2):218-28.</w:t>
      </w:r>
      <w:bookmarkEnd w:id="664"/>
    </w:p>
    <w:p w:rsidR="003B725E" w:rsidRPr="003B725E" w:rsidRDefault="003B725E" w:rsidP="003B725E">
      <w:pPr>
        <w:pStyle w:val="EndNoteBibliography"/>
        <w:spacing w:after="0"/>
      </w:pPr>
      <w:bookmarkStart w:id="665" w:name="_ENREF_401"/>
      <w:r w:rsidRPr="003B725E">
        <w:lastRenderedPageBreak/>
        <w:t>401.</w:t>
      </w:r>
      <w:r w:rsidRPr="003B725E">
        <w:tab/>
        <w:t>Biver E, Chopin F, Coiffier G, Brentano TF, Bouvard B, Garnero P, et al. Bone turnover markers for osteoporotic status assessment? A systematic review of their diagnosis value at baseline in osteoporosis. Joint Bone Spine. 2012;79(1):20-5.</w:t>
      </w:r>
      <w:bookmarkEnd w:id="665"/>
    </w:p>
    <w:p w:rsidR="003B725E" w:rsidRPr="003B725E" w:rsidRDefault="003B725E" w:rsidP="003B725E">
      <w:pPr>
        <w:pStyle w:val="EndNoteBibliography"/>
        <w:spacing w:after="0"/>
      </w:pPr>
      <w:bookmarkStart w:id="666" w:name="_ENREF_402"/>
      <w:r w:rsidRPr="003B725E">
        <w:t>402.</w:t>
      </w:r>
      <w:r w:rsidRPr="003B725E">
        <w:tab/>
        <w:t>Melton LJ, 3rd, Khosla S, Atkinson EJ, O'Fallon WM, Riggs BL. Relationship of bone turnover to bone density and fractures. Journal of bone and mineral research : the official journal of the American Society for Bone and Mineral Research. 1997;12(7):1083-91.</w:t>
      </w:r>
      <w:bookmarkEnd w:id="666"/>
    </w:p>
    <w:p w:rsidR="003B725E" w:rsidRPr="003B725E" w:rsidRDefault="003B725E" w:rsidP="003B725E">
      <w:pPr>
        <w:pStyle w:val="EndNoteBibliography"/>
        <w:spacing w:after="0"/>
      </w:pPr>
      <w:bookmarkStart w:id="667" w:name="_ENREF_403"/>
      <w:r w:rsidRPr="003B725E">
        <w:t>403.</w:t>
      </w:r>
      <w:r w:rsidRPr="003B725E">
        <w:tab/>
        <w:t>Akesson K, Ljunghall S, Jonsson B, Sernbo I, Johnell O, Gardsell P, et al. Assessment of biochemical markers of bone metabolism in relation to the occurrence of fracture: a retrospective and prospective population-based study of women. Journal of bone and mineral research : the official journal of the American Society for Bone and Mineral Research. 1995;10(11):1823-9.</w:t>
      </w:r>
      <w:bookmarkEnd w:id="667"/>
    </w:p>
    <w:p w:rsidR="003B725E" w:rsidRPr="003B725E" w:rsidRDefault="003B725E" w:rsidP="003B725E">
      <w:pPr>
        <w:pStyle w:val="EndNoteBibliography"/>
        <w:spacing w:after="0"/>
        <w:rPr>
          <w:lang w:val="pt-PT"/>
        </w:rPr>
      </w:pPr>
      <w:bookmarkStart w:id="668" w:name="_ENREF_404"/>
      <w:r w:rsidRPr="003B725E">
        <w:t>404.</w:t>
      </w:r>
      <w:r w:rsidRPr="003B725E">
        <w:tab/>
        <w:t xml:space="preserve">Sornay-Rendu E, Munoz F, Garnero P, Duboeuf F, Delmas PD. Identification of osteopenic women at high risk of fracture: the OFELY study. Journal of bone and mineral research : the official journal of the American Society for Bone and Mineral Research. </w:t>
      </w:r>
      <w:r w:rsidRPr="003B725E">
        <w:rPr>
          <w:lang w:val="pt-PT"/>
        </w:rPr>
        <w:t>2005;20(10):1813-9.</w:t>
      </w:r>
      <w:bookmarkEnd w:id="668"/>
    </w:p>
    <w:p w:rsidR="003B725E" w:rsidRPr="003B725E" w:rsidRDefault="003B725E" w:rsidP="003B725E">
      <w:pPr>
        <w:pStyle w:val="EndNoteBibliography"/>
        <w:spacing w:after="0"/>
        <w:rPr>
          <w:lang w:val="pt-PT"/>
        </w:rPr>
      </w:pPr>
      <w:bookmarkStart w:id="669" w:name="_ENREF_405"/>
      <w:r w:rsidRPr="003B725E">
        <w:rPr>
          <w:lang w:val="pt-PT"/>
        </w:rPr>
        <w:t>405.</w:t>
      </w:r>
      <w:r w:rsidRPr="003B725E">
        <w:rPr>
          <w:lang w:val="pt-PT"/>
        </w:rPr>
        <w:tab/>
        <w:t>Bandeira F, Costa AG, Soares Filho MA, Pimentel L, Lima L, Bilezikian JP. Bone markers and osteoporosis therapy. Arq Bras Endocrinol Metabol. 2014;58(5):504-13.</w:t>
      </w:r>
      <w:bookmarkEnd w:id="669"/>
    </w:p>
    <w:p w:rsidR="003B725E" w:rsidRPr="003B725E" w:rsidRDefault="003B725E" w:rsidP="003B725E">
      <w:pPr>
        <w:pStyle w:val="EndNoteBibliography"/>
        <w:spacing w:after="0"/>
      </w:pPr>
      <w:bookmarkStart w:id="670" w:name="_ENREF_406"/>
      <w:r w:rsidRPr="003B725E">
        <w:rPr>
          <w:lang w:val="pt-PT"/>
        </w:rPr>
        <w:t>406.</w:t>
      </w:r>
      <w:r w:rsidRPr="003B725E">
        <w:rPr>
          <w:lang w:val="pt-PT"/>
        </w:rPr>
        <w:tab/>
        <w:t xml:space="preserve">Rosen CJ, Hochberg MC, Bonnick SL, McClung M, Miller P, Broy S, et al. </w:t>
      </w:r>
      <w:r w:rsidRPr="003B725E">
        <w:t>Treatment with once-weekly alendronate 70 mg compared with once-weekly risedronate 35 mg in women with postmenopausal osteoporosis: a randomized double-blind study. Journal of bone and mineral research : the official journal of the American Society for Bone and Mineral Research. 2005;20(1):141-51.</w:t>
      </w:r>
      <w:bookmarkEnd w:id="670"/>
    </w:p>
    <w:p w:rsidR="003B725E" w:rsidRPr="003B725E" w:rsidRDefault="003B725E" w:rsidP="003B725E">
      <w:pPr>
        <w:pStyle w:val="EndNoteBibliography"/>
        <w:spacing w:after="0"/>
      </w:pPr>
      <w:bookmarkStart w:id="671" w:name="_ENREF_407"/>
      <w:r w:rsidRPr="003B725E">
        <w:t>407.</w:t>
      </w:r>
      <w:r w:rsidRPr="003B725E">
        <w:tab/>
        <w:t>Delmas PD, Recker RR, Chesnut CH, 3rd, Skag A, Stakkestad JA, Emkey R, et al. Daily and intermittent oral ibandronate normalize bone turnover and provide significant reduction in vertebral fracture risk: results from the BONE study. Osteoporosis international : a journal established as result of cooperation between the European Foundation for Osteoporosis and the National Osteoporosis Foundation of the USA. 2004;15(10):792-8.</w:t>
      </w:r>
      <w:bookmarkEnd w:id="671"/>
    </w:p>
    <w:p w:rsidR="003B725E" w:rsidRPr="003B725E" w:rsidRDefault="003B725E" w:rsidP="003B725E">
      <w:pPr>
        <w:pStyle w:val="EndNoteBibliography"/>
        <w:spacing w:after="0"/>
      </w:pPr>
      <w:bookmarkStart w:id="672" w:name="_ENREF_408"/>
      <w:r w:rsidRPr="003B725E">
        <w:t>408.</w:t>
      </w:r>
      <w:r w:rsidRPr="003B725E">
        <w:tab/>
        <w:t>Emkey R, Delmas PD, Bolognese M, Borges JL, Cosman F, Ragi-Eis S, et al. Efficacy and tolerability of once-monthly oral ibandronate (150 mg) and once-weekly oral alendronate (70 mg): additional results from the Monthly Oral Therapy With Ibandronate For Osteoporosis Intervention (MOTION) study. Clinical therapeutics. 2009;31(4):751-61.</w:t>
      </w:r>
      <w:bookmarkEnd w:id="672"/>
    </w:p>
    <w:p w:rsidR="003B725E" w:rsidRPr="003B725E" w:rsidRDefault="003B725E" w:rsidP="003B725E">
      <w:pPr>
        <w:pStyle w:val="EndNoteBibliography"/>
        <w:spacing w:after="0"/>
      </w:pPr>
      <w:bookmarkStart w:id="673" w:name="_ENREF_409"/>
      <w:r w:rsidRPr="003B725E">
        <w:t>409.</w:t>
      </w:r>
      <w:r w:rsidRPr="003B725E">
        <w:tab/>
        <w:t>Hannon RA, Clowes JA, Eagleton AC, Al Hadari A, Eastell R, Blumsohn A. Clinical performance of immunoreactive tartrate-resistant acid phosphatase isoform 5b as a marker of bone resorption. Bone. 2004;34(1):187-94.</w:t>
      </w:r>
      <w:bookmarkEnd w:id="673"/>
    </w:p>
    <w:p w:rsidR="003B725E" w:rsidRPr="003B725E" w:rsidRDefault="003B725E" w:rsidP="003B725E">
      <w:pPr>
        <w:pStyle w:val="EndNoteBibliography"/>
        <w:spacing w:after="0"/>
      </w:pPr>
      <w:bookmarkStart w:id="674" w:name="_ENREF_410"/>
      <w:r w:rsidRPr="003B725E">
        <w:t>410.</w:t>
      </w:r>
      <w:r w:rsidRPr="003B725E">
        <w:tab/>
        <w:t>Arlot M, Meunier PJ, Boivin G, Haddock L, Tamayo J, Correa-Rotter R, et al. Differential effects of teriparatide and alendronate on bone remodeling in postmenopausal women assessed by histomorphometric parameters. Journal of bone and mineral research : the official journal of the American Society for Bone and Mineral Research. 2005;20(7):1244-53.</w:t>
      </w:r>
      <w:bookmarkEnd w:id="674"/>
    </w:p>
    <w:p w:rsidR="003B725E" w:rsidRPr="003B725E" w:rsidRDefault="003B725E" w:rsidP="003B725E">
      <w:pPr>
        <w:pStyle w:val="EndNoteBibliography"/>
        <w:spacing w:after="0"/>
      </w:pPr>
      <w:bookmarkStart w:id="675" w:name="_ENREF_411"/>
      <w:r w:rsidRPr="003B725E">
        <w:t>411.</w:t>
      </w:r>
      <w:r w:rsidRPr="003B725E">
        <w:tab/>
        <w:t>Naylor KE, Clowes JA, Finigan J, Paggiosi MA, Peel NF, Eastell R. The effect of cessation of raloxifene treatment on bone turnover in postmenopausal women. Bone. 2010;46(3):592-7.</w:t>
      </w:r>
      <w:bookmarkEnd w:id="675"/>
    </w:p>
    <w:p w:rsidR="003B725E" w:rsidRPr="003B725E" w:rsidRDefault="003B725E" w:rsidP="003B725E">
      <w:pPr>
        <w:pStyle w:val="EndNoteBibliography"/>
        <w:spacing w:after="0"/>
      </w:pPr>
      <w:bookmarkStart w:id="676" w:name="_ENREF_412"/>
      <w:r w:rsidRPr="003B725E">
        <w:t>412.</w:t>
      </w:r>
      <w:r w:rsidRPr="003B725E">
        <w:tab/>
        <w:t>Siris ES, Brenneman SK, Barrett-Connor E, Miller PD, Sajjan S, Berger ML, et al. The effect of age and bone mineral density on the absolute, excess, and relative risk of fracture in postmenopausal women aged 50-99: results from the National Osteoporosis Risk Assessment (NORA). Osteoporosis international : a journal established as result of cooperation between the European Foundation for Osteoporosis and the National Osteoporosis Foundation of the USA. 2006;17(4):565-74.</w:t>
      </w:r>
      <w:bookmarkEnd w:id="676"/>
    </w:p>
    <w:p w:rsidR="003B725E" w:rsidRPr="003B725E" w:rsidRDefault="003B725E" w:rsidP="003B725E">
      <w:pPr>
        <w:pStyle w:val="EndNoteBibliography"/>
        <w:spacing w:after="0"/>
      </w:pPr>
      <w:bookmarkStart w:id="677" w:name="_ENREF_413"/>
      <w:r w:rsidRPr="003B725E">
        <w:t>413.</w:t>
      </w:r>
      <w:r w:rsidRPr="003B725E">
        <w:tab/>
        <w:t>Delmas PD, Vrijens B, Eastell R, Roux C, Pols HA, Ringe JD, et al. Effect of monitoring bone turnover markers on persistence with risedronate treatment of postmenopausal osteoporosis. The Journal of clinical endocrinology and metabolism. 2007;92(4):1296-304.</w:t>
      </w:r>
      <w:bookmarkEnd w:id="677"/>
    </w:p>
    <w:p w:rsidR="003B725E" w:rsidRPr="003B725E" w:rsidRDefault="003B725E" w:rsidP="003B725E">
      <w:pPr>
        <w:pStyle w:val="EndNoteBibliography"/>
        <w:spacing w:after="0"/>
      </w:pPr>
      <w:bookmarkStart w:id="678" w:name="_ENREF_414"/>
      <w:r w:rsidRPr="003B725E">
        <w:t>414.</w:t>
      </w:r>
      <w:r w:rsidRPr="003B725E">
        <w:tab/>
        <w:t>Hannon R, Blumsohn A, Naylor K, Eastell R. Response of biochemical markers of bone turnover to hormone replacement therapy: impact of biological variability. Journal of bone and mineral research : the official journal of the American Society for Bone and Mineral Research. 1998;13(7):1124-33.</w:t>
      </w:r>
      <w:bookmarkEnd w:id="678"/>
    </w:p>
    <w:p w:rsidR="003B725E" w:rsidRPr="003B725E" w:rsidRDefault="003B725E" w:rsidP="003B725E">
      <w:pPr>
        <w:pStyle w:val="EndNoteBibliography"/>
        <w:spacing w:after="0"/>
      </w:pPr>
      <w:bookmarkStart w:id="679" w:name="_ENREF_415"/>
      <w:r w:rsidRPr="003B725E">
        <w:lastRenderedPageBreak/>
        <w:t>415.</w:t>
      </w:r>
      <w:r w:rsidRPr="003B725E">
        <w:tab/>
        <w:t>Rogers A, Glover SJ, Eastell R. A randomised, double-blinded, placebo-controlled, trial to determine the individual response in bone turnover markers to lasofoxifene therapy. Bone. 2009;45(6):1044-52.</w:t>
      </w:r>
      <w:bookmarkEnd w:id="679"/>
    </w:p>
    <w:p w:rsidR="003B725E" w:rsidRPr="003B725E" w:rsidRDefault="003B725E" w:rsidP="003B725E">
      <w:pPr>
        <w:pStyle w:val="EndNoteBibliography"/>
        <w:spacing w:after="0"/>
      </w:pPr>
      <w:bookmarkStart w:id="680" w:name="_ENREF_416"/>
      <w:r w:rsidRPr="003B725E">
        <w:t>416.</w:t>
      </w:r>
      <w:r w:rsidRPr="003B725E">
        <w:tab/>
        <w:t>Eastell R, Krege JH, Chen P, Glass EV, Reginster JY. Development of an algorithm for using PINP to monitor treatment of patients with teriparatide. Current medical research and opinion. 2006;22(1):61-6.</w:t>
      </w:r>
      <w:bookmarkEnd w:id="680"/>
    </w:p>
    <w:p w:rsidR="003B725E" w:rsidRPr="003B725E" w:rsidRDefault="003B725E" w:rsidP="003B725E">
      <w:pPr>
        <w:pStyle w:val="EndNoteBibliography"/>
        <w:spacing w:after="0"/>
      </w:pPr>
      <w:bookmarkStart w:id="681" w:name="_ENREF_417"/>
      <w:r w:rsidRPr="003B725E">
        <w:t>417.</w:t>
      </w:r>
      <w:r w:rsidRPr="003B725E">
        <w:tab/>
        <w:t>Bergmann P, Body JJ, Boonen S, Boutsen Y, Devogelaer JP, Goemaere S, et al. Evidence-based guidelines for the use of biochemical markers of bone turnover in the selection and monitoring of bisphosphonate treatment in osteoporosis: a consensus document of the Belgian Bone Club. International journal of clinical practice. 2009;63(1):19-26.</w:t>
      </w:r>
      <w:bookmarkEnd w:id="681"/>
    </w:p>
    <w:p w:rsidR="003B725E" w:rsidRPr="003B725E" w:rsidRDefault="003B725E" w:rsidP="003B725E">
      <w:pPr>
        <w:pStyle w:val="EndNoteBibliography"/>
        <w:spacing w:after="0"/>
      </w:pPr>
      <w:bookmarkStart w:id="682" w:name="_ENREF_418"/>
      <w:r w:rsidRPr="003B725E">
        <w:t>418.</w:t>
      </w:r>
      <w:r w:rsidRPr="003B725E">
        <w:tab/>
        <w:t>Nakashima T. [Coupling and communication between bone cells]. Clinical calcium. 2014;24(6):853-61.</w:t>
      </w:r>
      <w:bookmarkEnd w:id="682"/>
    </w:p>
    <w:p w:rsidR="003B725E" w:rsidRPr="003B725E" w:rsidRDefault="003B725E" w:rsidP="003B725E">
      <w:pPr>
        <w:pStyle w:val="EndNoteBibliography"/>
        <w:spacing w:after="0"/>
      </w:pPr>
      <w:bookmarkStart w:id="683" w:name="_ENREF_419"/>
      <w:r w:rsidRPr="003B725E">
        <w:t>419.</w:t>
      </w:r>
      <w:r w:rsidRPr="003B725E">
        <w:tab/>
        <w:t>Henriksen K, Karsdal MA, Martin TJ. Osteoclast-derived coupling factors in bone remodeling. Calcified tissue international. 2014;94(1):88-97.</w:t>
      </w:r>
      <w:bookmarkEnd w:id="683"/>
    </w:p>
    <w:p w:rsidR="003B725E" w:rsidRPr="003B725E" w:rsidRDefault="003B725E" w:rsidP="003B725E">
      <w:pPr>
        <w:pStyle w:val="EndNoteBibliography"/>
        <w:spacing w:after="0"/>
      </w:pPr>
      <w:bookmarkStart w:id="684" w:name="_ENREF_420"/>
      <w:r w:rsidRPr="003B725E">
        <w:t>420.</w:t>
      </w:r>
      <w:r w:rsidRPr="003B725E">
        <w:tab/>
        <w:t>Sarkar S, Reginster JY, Crans GG, Diez-Perez A, Pinette KV, Delmas PD. Relationship between changes in biochemical markers of bone turnover and BMD to predict vertebral fracture risk. Journal of bone and mineral research : the official journal of the American Society for Bone and Mineral Research. 2004;19(3):394-401.</w:t>
      </w:r>
      <w:bookmarkEnd w:id="684"/>
    </w:p>
    <w:p w:rsidR="003B725E" w:rsidRPr="003B725E" w:rsidRDefault="003B725E" w:rsidP="003B725E">
      <w:pPr>
        <w:pStyle w:val="EndNoteBibliography"/>
        <w:spacing w:after="0"/>
      </w:pPr>
      <w:bookmarkStart w:id="685" w:name="_ENREF_421"/>
      <w:r w:rsidRPr="003B725E">
        <w:t>421.</w:t>
      </w:r>
      <w:r w:rsidRPr="003B725E">
        <w:tab/>
        <w:t>Bauer DC, Black DM, Garnero P, Hochberg M, Ott S, Orloff J, et al. Change in bone turnover and hip, non-spine, and vertebral fracture in alendronate-treated women: the fracture intervention trial. Journal of bone and mineral research : the official journal of the American Society for Bone and Mineral Research. 2004;19(8):1250-8.</w:t>
      </w:r>
      <w:bookmarkEnd w:id="685"/>
    </w:p>
    <w:p w:rsidR="003B725E" w:rsidRPr="003B725E" w:rsidRDefault="003B725E" w:rsidP="003B725E">
      <w:pPr>
        <w:pStyle w:val="EndNoteBibliography"/>
        <w:spacing w:after="0"/>
      </w:pPr>
      <w:bookmarkStart w:id="686" w:name="_ENREF_422"/>
      <w:r w:rsidRPr="003B725E">
        <w:t>422.</w:t>
      </w:r>
      <w:r w:rsidRPr="003B725E">
        <w:tab/>
        <w:t>Weinstein RS, Parfitt AM, Marcus R, Greenwald M, Crans G, Muchmore DB. Effects of raloxifene, hormone replacement therapy, and placebo on bone turnover in postmenopausal women. Osteoporosis international : a journal established as result of cooperation between the European Foundation for Osteoporosis and the National Osteoporosis Foundation of the USA. 2003;14(10):814-22.</w:t>
      </w:r>
      <w:bookmarkEnd w:id="686"/>
    </w:p>
    <w:p w:rsidR="003B725E" w:rsidRPr="003B725E" w:rsidRDefault="003B725E" w:rsidP="003B725E">
      <w:pPr>
        <w:pStyle w:val="EndNoteBibliography"/>
        <w:spacing w:after="0"/>
      </w:pPr>
      <w:bookmarkStart w:id="687" w:name="_ENREF_423"/>
      <w:r w:rsidRPr="003B725E">
        <w:t>423.</w:t>
      </w:r>
      <w:r w:rsidRPr="003B725E">
        <w:tab/>
        <w:t>Binkley N, Silverman SL, Simonelli C, Santiago N, Kohles JD, Dasic G, et al. Monthly ibandronate suppresses serum CTX-I within 3 days and maintains a monthly fluctuating pattern of suppression. Osteoporosis international : a journal established as result of cooperation between the European Foundation for Osteoporosis and the National Osteoporosis Foundation of the USA. 2009;20(9):1595-601.</w:t>
      </w:r>
      <w:bookmarkEnd w:id="687"/>
    </w:p>
    <w:p w:rsidR="003B725E" w:rsidRPr="003B725E" w:rsidRDefault="003B725E" w:rsidP="003B725E">
      <w:pPr>
        <w:pStyle w:val="EndNoteBibliography"/>
        <w:spacing w:after="0"/>
      </w:pPr>
      <w:bookmarkStart w:id="688" w:name="_ENREF_424"/>
      <w:r w:rsidRPr="003B725E">
        <w:t>424.</w:t>
      </w:r>
      <w:r w:rsidRPr="003B725E">
        <w:tab/>
        <w:t>Sebba AI, Broy S, Kohles JD, Weissman P. Rapid suppression of bone resorption marker levels with ibandronate therapy in a bisphosphonate-naive population. J Clin Densitom. 2008;11(3):417-23.</w:t>
      </w:r>
      <w:bookmarkEnd w:id="688"/>
    </w:p>
    <w:p w:rsidR="003B725E" w:rsidRPr="003B725E" w:rsidRDefault="003B725E" w:rsidP="003B725E">
      <w:pPr>
        <w:pStyle w:val="EndNoteBibliography"/>
        <w:spacing w:after="0"/>
      </w:pPr>
      <w:bookmarkStart w:id="689" w:name="_ENREF_425"/>
      <w:r w:rsidRPr="003B725E">
        <w:t>425.</w:t>
      </w:r>
      <w:r w:rsidRPr="003B725E">
        <w:tab/>
        <w:t>Reginster JY. Oral ibandronate: a less frequently administered therapeutic option for postmenopausal osteoporosis. Expert opinion on pharmacotherapy. 2005;6(13):2301-13.</w:t>
      </w:r>
      <w:bookmarkEnd w:id="689"/>
    </w:p>
    <w:p w:rsidR="003B725E" w:rsidRPr="003B725E" w:rsidRDefault="003B725E" w:rsidP="003B725E">
      <w:pPr>
        <w:pStyle w:val="EndNoteBibliography"/>
        <w:spacing w:after="0"/>
        <w:rPr>
          <w:lang w:val="it-IT"/>
        </w:rPr>
      </w:pPr>
      <w:bookmarkStart w:id="690" w:name="_ENREF_426"/>
      <w:r w:rsidRPr="003B725E">
        <w:t>426.</w:t>
      </w:r>
      <w:r w:rsidRPr="003B725E">
        <w:tab/>
        <w:t xml:space="preserve">Taranta A, Brama M, Teti A, De luca V, Scandurra R, Spera G, et al. The selective estrogen receptor modulator raloxifene regulates osteoclast and osteoblast activity in vitro. </w:t>
      </w:r>
      <w:r w:rsidRPr="003B725E">
        <w:rPr>
          <w:lang w:val="it-IT"/>
        </w:rPr>
        <w:t>Bone. 2002;30(2):368-76.</w:t>
      </w:r>
      <w:bookmarkEnd w:id="690"/>
    </w:p>
    <w:p w:rsidR="003B725E" w:rsidRPr="003B725E" w:rsidRDefault="003B725E" w:rsidP="003B725E">
      <w:pPr>
        <w:pStyle w:val="EndNoteBibliography"/>
        <w:spacing w:after="0"/>
        <w:rPr>
          <w:lang w:val="it-IT"/>
        </w:rPr>
      </w:pPr>
      <w:bookmarkStart w:id="691" w:name="_ENREF_427"/>
      <w:r w:rsidRPr="003B725E">
        <w:rPr>
          <w:lang w:val="it-IT"/>
        </w:rPr>
        <w:t>427.</w:t>
      </w:r>
      <w:r w:rsidRPr="003B725E">
        <w:rPr>
          <w:lang w:val="it-IT"/>
        </w:rPr>
        <w:tab/>
        <w:t>Messalli EM, Mainini G, Scaffa C, Cafiero A, Salzillo PL, Ragucci A, et al. Raloxifene therapy interacts with serum osteoprotegerin in postmenopausal women. Maturitas. 2007;56(1):38-44.</w:t>
      </w:r>
      <w:bookmarkEnd w:id="691"/>
    </w:p>
    <w:p w:rsidR="003B725E" w:rsidRPr="003B725E" w:rsidRDefault="003B725E" w:rsidP="003B725E">
      <w:pPr>
        <w:pStyle w:val="EndNoteBibliography"/>
        <w:spacing w:after="0"/>
      </w:pPr>
      <w:bookmarkStart w:id="692" w:name="_ENREF_428"/>
      <w:r w:rsidRPr="003B725E">
        <w:rPr>
          <w:lang w:val="it-IT"/>
        </w:rPr>
        <w:t>428.</w:t>
      </w:r>
      <w:r w:rsidRPr="003B725E">
        <w:rPr>
          <w:lang w:val="it-IT"/>
        </w:rPr>
        <w:tab/>
        <w:t xml:space="preserve">Viereck V, Grundker C, Blaschke S, Niederkleine B, Siggelkow H, Frosch KH, et al. </w:t>
      </w:r>
      <w:r w:rsidRPr="003B725E">
        <w:t>Raloxifene concurrently stimulates osteoprotegerin and inhibits interleukin-6 production by human trabecular osteoblasts. The Journal of clinical endocrinology and metabolism. 2003;88(9):4206-13.</w:t>
      </w:r>
      <w:bookmarkEnd w:id="692"/>
    </w:p>
    <w:p w:rsidR="003B725E" w:rsidRPr="003B725E" w:rsidRDefault="003B725E" w:rsidP="003B725E">
      <w:pPr>
        <w:pStyle w:val="EndNoteBibliography"/>
        <w:spacing w:after="0"/>
      </w:pPr>
      <w:bookmarkStart w:id="693" w:name="_ENREF_429"/>
      <w:r w:rsidRPr="003B725E">
        <w:t>429.</w:t>
      </w:r>
      <w:r w:rsidRPr="003B725E">
        <w:tab/>
        <w:t>Eastell R, Hannon RA. Biomarkers of bone health and osteoporosis risk. The Proceedings of the Nutrition Society. 2008;67(2):157-62.</w:t>
      </w:r>
      <w:bookmarkEnd w:id="693"/>
    </w:p>
    <w:p w:rsidR="003B725E" w:rsidRPr="003B725E" w:rsidRDefault="003B725E" w:rsidP="003B725E">
      <w:pPr>
        <w:pStyle w:val="EndNoteBibliography"/>
        <w:spacing w:after="0"/>
      </w:pPr>
      <w:bookmarkStart w:id="694" w:name="_ENREF_430"/>
      <w:r w:rsidRPr="003B725E">
        <w:t>430.</w:t>
      </w:r>
      <w:r w:rsidRPr="003B725E">
        <w:tab/>
        <w:t>Marx RE. Pamidronate (Aredia) and zoledronate (Zometa) induced avascular necrosis of the jaws: a growing epidemic. J Oral Maxillofac Surg. 2003;61(9):1115-7.</w:t>
      </w:r>
      <w:bookmarkEnd w:id="694"/>
    </w:p>
    <w:p w:rsidR="003B725E" w:rsidRPr="003B725E" w:rsidRDefault="003B725E" w:rsidP="003B725E">
      <w:pPr>
        <w:pStyle w:val="EndNoteBibliography"/>
        <w:spacing w:after="0"/>
      </w:pPr>
      <w:bookmarkStart w:id="695" w:name="_ENREF_431"/>
      <w:r w:rsidRPr="003B725E">
        <w:t>431.</w:t>
      </w:r>
      <w:r w:rsidRPr="003B725E">
        <w:tab/>
        <w:t>Pazianas M, Miller P, Blumentals WA, Bernal M, Kothawala P. A review of the literature on osteonecrosis of the jaw in patients with osteoporosis treated with oral bisphosphonates: prevalence, risk factors, and clinical characteristics. Clinical therapeutics. 2007;29(8):1548-58.</w:t>
      </w:r>
      <w:bookmarkEnd w:id="695"/>
    </w:p>
    <w:p w:rsidR="003B725E" w:rsidRPr="003B725E" w:rsidRDefault="003B725E" w:rsidP="003B725E">
      <w:pPr>
        <w:pStyle w:val="EndNoteBibliography"/>
        <w:spacing w:after="0"/>
      </w:pPr>
      <w:bookmarkStart w:id="696" w:name="_ENREF_432"/>
      <w:r w:rsidRPr="003B725E">
        <w:lastRenderedPageBreak/>
        <w:t>432.</w:t>
      </w:r>
      <w:r w:rsidRPr="003B725E">
        <w:tab/>
        <w:t>Khan AA, Sandor GK, Dore E, Morrison AD, Alsahli M, Amin F, et al. Bisphosphonate associated osteonecrosis of the jaw. J Rheumatol. 2009;36(3):478-90.</w:t>
      </w:r>
      <w:bookmarkEnd w:id="696"/>
    </w:p>
    <w:p w:rsidR="003B725E" w:rsidRPr="003B725E" w:rsidRDefault="003B725E" w:rsidP="003B725E">
      <w:pPr>
        <w:pStyle w:val="EndNoteBibliography"/>
        <w:spacing w:after="0"/>
        <w:rPr>
          <w:lang w:val="nl-NL"/>
        </w:rPr>
      </w:pPr>
      <w:bookmarkStart w:id="697" w:name="_ENREF_433"/>
      <w:r w:rsidRPr="003B725E">
        <w:t>433.</w:t>
      </w:r>
      <w:r w:rsidRPr="003B725E">
        <w:tab/>
        <w:t xml:space="preserve">Chapurlat RD, Arlot M, Burt-Pichat B, Chavassieux P, Roux JP, Portero-Muzy N, et al. Microcrack frequency and bone remodeling in postmenopausal osteoporotic women on long-term bisphosphonates: a bone biopsy study. Journal of bone and mineral research : the official journal of the American Society for Bone and Mineral Research. </w:t>
      </w:r>
      <w:r w:rsidRPr="003B725E">
        <w:rPr>
          <w:lang w:val="nl-NL"/>
        </w:rPr>
        <w:t>2007;22(10):1502-9.</w:t>
      </w:r>
      <w:bookmarkEnd w:id="697"/>
    </w:p>
    <w:p w:rsidR="003B725E" w:rsidRPr="003B725E" w:rsidRDefault="003B725E" w:rsidP="003B725E">
      <w:pPr>
        <w:pStyle w:val="EndNoteBibliography"/>
        <w:spacing w:after="0"/>
      </w:pPr>
      <w:bookmarkStart w:id="698" w:name="_ENREF_434"/>
      <w:r w:rsidRPr="003B725E">
        <w:rPr>
          <w:lang w:val="nl-NL"/>
        </w:rPr>
        <w:t>434.</w:t>
      </w:r>
      <w:r w:rsidRPr="003B725E">
        <w:rPr>
          <w:lang w:val="nl-NL"/>
        </w:rPr>
        <w:tab/>
        <w:t xml:space="preserve">Leu CT, Luegmayr E, Freedman LP, Rodan GA, Reszka AA. </w:t>
      </w:r>
      <w:r w:rsidRPr="003B725E">
        <w:t>Relative binding affinities of bisphosphonates for human bone and relationship to antiresorptive efficacy. Bone. 2006;38(5):628-36.</w:t>
      </w:r>
      <w:bookmarkEnd w:id="698"/>
    </w:p>
    <w:p w:rsidR="003B725E" w:rsidRPr="003B725E" w:rsidRDefault="003B725E" w:rsidP="003B725E">
      <w:pPr>
        <w:pStyle w:val="EndNoteBibliography"/>
        <w:spacing w:after="0"/>
      </w:pPr>
      <w:bookmarkStart w:id="699" w:name="_ENREF_435"/>
      <w:r w:rsidRPr="003B725E">
        <w:t>435.</w:t>
      </w:r>
      <w:r w:rsidRPr="003B725E">
        <w:tab/>
        <w:t>Thompson K, Rogers MJ, Coxon FP, Crockett JC. Cytosolic entry of bisphosphonate drugs requires acidification of vesicles after fluid-phase endocytosis. Molecular pharmacology. 2006;69(5):1624-32.</w:t>
      </w:r>
      <w:bookmarkEnd w:id="699"/>
    </w:p>
    <w:p w:rsidR="003B725E" w:rsidRPr="003B725E" w:rsidRDefault="003B725E" w:rsidP="003B725E">
      <w:pPr>
        <w:pStyle w:val="EndNoteBibliography"/>
        <w:spacing w:after="0"/>
      </w:pPr>
      <w:bookmarkStart w:id="700" w:name="_ENREF_436"/>
      <w:r w:rsidRPr="003B725E">
        <w:t>436.</w:t>
      </w:r>
      <w:r w:rsidRPr="003B725E">
        <w:tab/>
        <w:t>Boonekamp PM, van der Wee-Pals LJ, van Wijk-van Lennep MM, Thesing CW, Bijvoet OL. Two modes of action of bisphosphonates on osteoclastic resorption of mineralized matrix. Bone Miner. 1986;1(1):27-39.</w:t>
      </w:r>
      <w:bookmarkEnd w:id="700"/>
    </w:p>
    <w:p w:rsidR="003B725E" w:rsidRPr="003B725E" w:rsidRDefault="003B725E" w:rsidP="003B725E">
      <w:pPr>
        <w:pStyle w:val="EndNoteBibliography"/>
        <w:spacing w:after="0"/>
        <w:rPr>
          <w:lang w:val="nl-NL"/>
        </w:rPr>
      </w:pPr>
      <w:bookmarkStart w:id="701" w:name="_ENREF_437"/>
      <w:r w:rsidRPr="003B725E">
        <w:t>437.</w:t>
      </w:r>
      <w:r w:rsidRPr="003B725E">
        <w:tab/>
        <w:t xml:space="preserve">Rodan GA, Reszka AA. Bisphosphonate mechanism of action. </w:t>
      </w:r>
      <w:r w:rsidRPr="003B725E">
        <w:rPr>
          <w:lang w:val="nl-NL"/>
        </w:rPr>
        <w:t>Curr Mol Med. 2002;2(6):571-7.</w:t>
      </w:r>
      <w:bookmarkEnd w:id="701"/>
    </w:p>
    <w:p w:rsidR="003B725E" w:rsidRPr="003B725E" w:rsidRDefault="003B725E" w:rsidP="003B725E">
      <w:pPr>
        <w:pStyle w:val="EndNoteBibliography"/>
        <w:spacing w:after="0"/>
        <w:rPr>
          <w:lang w:val="it-IT"/>
        </w:rPr>
      </w:pPr>
      <w:bookmarkStart w:id="702" w:name="_ENREF_438"/>
      <w:r w:rsidRPr="003B725E">
        <w:rPr>
          <w:lang w:val="nl-NL"/>
        </w:rPr>
        <w:t>438.</w:t>
      </w:r>
      <w:r w:rsidRPr="003B725E">
        <w:rPr>
          <w:lang w:val="nl-NL"/>
        </w:rPr>
        <w:tab/>
        <w:t xml:space="preserve">van Beek ER, Lowik CW, Papapoulos SE. </w:t>
      </w:r>
      <w:r w:rsidRPr="003B725E">
        <w:t xml:space="preserve">Effect of alendronate treatment on the osteoclastogenic potential of bone marrow cells in mice. </w:t>
      </w:r>
      <w:r w:rsidRPr="003B725E">
        <w:rPr>
          <w:lang w:val="it-IT"/>
        </w:rPr>
        <w:t>Bone. 1997;20(4):335-40.</w:t>
      </w:r>
      <w:bookmarkEnd w:id="702"/>
    </w:p>
    <w:p w:rsidR="003B725E" w:rsidRPr="003B725E" w:rsidRDefault="003B725E" w:rsidP="003B725E">
      <w:pPr>
        <w:pStyle w:val="EndNoteBibliography"/>
        <w:spacing w:after="0"/>
        <w:rPr>
          <w:lang w:val="it-IT"/>
        </w:rPr>
      </w:pPr>
      <w:bookmarkStart w:id="703" w:name="_ENREF_439"/>
      <w:r w:rsidRPr="003B725E">
        <w:rPr>
          <w:lang w:val="it-IT"/>
        </w:rPr>
        <w:t>439.</w:t>
      </w:r>
      <w:r w:rsidRPr="003B725E">
        <w:rPr>
          <w:lang w:val="it-IT"/>
        </w:rPr>
        <w:tab/>
        <w:t xml:space="preserve">Colucci S, Minielli V, Zambonin G, Cirulli N, Mori G, Serra M, et al. </w:t>
      </w:r>
      <w:r w:rsidRPr="003B725E">
        <w:t xml:space="preserve">Alendronate reduces adhesion of human osteoclast-like cells to bone and bone protein-coated surfaces. </w:t>
      </w:r>
      <w:r w:rsidRPr="003B725E">
        <w:rPr>
          <w:lang w:val="it-IT"/>
        </w:rPr>
        <w:t>Calcified tissue international. 1998;63(3):230-5.</w:t>
      </w:r>
      <w:bookmarkEnd w:id="703"/>
    </w:p>
    <w:p w:rsidR="003B725E" w:rsidRPr="003B725E" w:rsidRDefault="003B725E" w:rsidP="003B725E">
      <w:pPr>
        <w:pStyle w:val="EndNoteBibliography"/>
        <w:spacing w:after="0"/>
      </w:pPr>
      <w:bookmarkStart w:id="704" w:name="_ENREF_440"/>
      <w:r w:rsidRPr="003B725E">
        <w:rPr>
          <w:lang w:val="it-IT"/>
        </w:rPr>
        <w:t>440.</w:t>
      </w:r>
      <w:r w:rsidRPr="003B725E">
        <w:rPr>
          <w:lang w:val="it-IT"/>
        </w:rPr>
        <w:tab/>
        <w:t xml:space="preserve">D'Amelio P, Grimaldi A, Cristofaro MA, Ravazzoli M, Molinatti PA, Pescarmona GP, et al. </w:t>
      </w:r>
      <w:r w:rsidRPr="003B725E">
        <w:t>Alendronate reduces osteoclast precursors in osteoporosis. Osteoporosis international : a journal established as result of cooperation between the European Foundation for Osteoporosis and the National Osteoporosis Foundation of the USA. 2010;21(10):1741-50.</w:t>
      </w:r>
      <w:bookmarkEnd w:id="704"/>
    </w:p>
    <w:p w:rsidR="003B725E" w:rsidRPr="003B725E" w:rsidRDefault="003B725E" w:rsidP="003B725E">
      <w:pPr>
        <w:pStyle w:val="EndNoteBibliography"/>
        <w:spacing w:after="0"/>
      </w:pPr>
      <w:bookmarkStart w:id="705" w:name="_ENREF_441"/>
      <w:r w:rsidRPr="003B725E">
        <w:rPr>
          <w:lang w:val="it-IT"/>
        </w:rPr>
        <w:t>441.</w:t>
      </w:r>
      <w:r w:rsidRPr="003B725E">
        <w:rPr>
          <w:lang w:val="it-IT"/>
        </w:rPr>
        <w:tab/>
        <w:t xml:space="preserve">D'Amelio P, Grimaldi A, Di Bella S, Tamone C, Brianza SZ, Ravazzoli MG, et al. </w:t>
      </w:r>
      <w:r w:rsidRPr="003B725E">
        <w:t>Risedronate reduces osteoclast precursors and cytokine production in postmenopausal osteoporotic women. Journal of bone and mineral research : the official journal of the American Society for Bone and Mineral Research. 2008;23(3):373-9.</w:t>
      </w:r>
      <w:bookmarkEnd w:id="705"/>
    </w:p>
    <w:p w:rsidR="003B725E" w:rsidRPr="003B725E" w:rsidRDefault="003B725E" w:rsidP="003B725E">
      <w:pPr>
        <w:pStyle w:val="EndNoteBibliography"/>
        <w:spacing w:after="0"/>
      </w:pPr>
      <w:bookmarkStart w:id="706" w:name="_ENREF_442"/>
      <w:r w:rsidRPr="003B725E">
        <w:t>442.</w:t>
      </w:r>
      <w:r w:rsidRPr="003B725E">
        <w:tab/>
        <w:t>Dalbeth N, Pool B, Stewart A, Horne A, House ME, Cornish J, et al. No reduction in circulating preosteoclasts 18 months after treatment with zoledronate: analysis from a randomized placebo controlled trial. Calcified tissue international. 2013;92(1):1-5.</w:t>
      </w:r>
      <w:bookmarkEnd w:id="706"/>
    </w:p>
    <w:p w:rsidR="003B725E" w:rsidRPr="003B725E" w:rsidRDefault="003B725E" w:rsidP="003B725E">
      <w:pPr>
        <w:pStyle w:val="EndNoteBibliography"/>
        <w:spacing w:after="0"/>
      </w:pPr>
      <w:bookmarkStart w:id="707" w:name="_ENREF_443"/>
      <w:r w:rsidRPr="003B725E">
        <w:t>443.</w:t>
      </w:r>
      <w:r w:rsidRPr="003B725E">
        <w:tab/>
        <w:t>Sauty A, Pecherstorfer M, Zimmer-Roth I, Fioroni P, Juillerat L, Markert M, et al. Interleukin-6 and tumor necrosis factor alpha levels after bisphosphonates treatment in vitro and in patients with malignancy. Bone. 1996;18(2):133-9.</w:t>
      </w:r>
      <w:bookmarkEnd w:id="707"/>
    </w:p>
    <w:p w:rsidR="003B725E" w:rsidRPr="003B725E" w:rsidRDefault="003B725E" w:rsidP="003B725E">
      <w:pPr>
        <w:pStyle w:val="EndNoteBibliography"/>
        <w:spacing w:after="0"/>
      </w:pPr>
      <w:bookmarkStart w:id="708" w:name="_ENREF_444"/>
      <w:r w:rsidRPr="003B725E">
        <w:t>444.</w:t>
      </w:r>
      <w:r w:rsidRPr="003B725E">
        <w:tab/>
        <w:t>Schweitzer DH, Oostendorp-van de Ruit M, Van der Pluijm G, Lowik CW, Papapoulos SE. Interleukin-6 and the acute phase response during treatment of patients with Paget's disease with the nitrogen-containing bisphosphonate dimethylaminohydroxypropylidene bisphosphonate. Journal of bone and mineral research : the official journal of the American Society for Bone and Mineral Research. 1995;10(6):956-62.</w:t>
      </w:r>
      <w:bookmarkEnd w:id="708"/>
    </w:p>
    <w:p w:rsidR="003B725E" w:rsidRPr="003B725E" w:rsidRDefault="003B725E" w:rsidP="003B725E">
      <w:pPr>
        <w:pStyle w:val="EndNoteBibliography"/>
        <w:spacing w:after="0"/>
        <w:rPr>
          <w:lang w:val="fr-FR"/>
        </w:rPr>
      </w:pPr>
      <w:bookmarkStart w:id="709" w:name="_ENREF_445"/>
      <w:r w:rsidRPr="003B725E">
        <w:t>445.</w:t>
      </w:r>
      <w:r w:rsidRPr="003B725E">
        <w:tab/>
        <w:t xml:space="preserve">Hewitt RE, Lissina A, Green AE, Slay ES, Price DA, Sewell AK. The bisphosphonate acute phase response: rapid and copious production of proinflammatory cytokines by peripheral blood gd T cells in response to aminobisphosphonates is inhibited by statins. </w:t>
      </w:r>
      <w:r w:rsidRPr="003B725E">
        <w:rPr>
          <w:lang w:val="fr-FR"/>
        </w:rPr>
        <w:t>Clin Exp Immunol. 2005;139(1):101-11.</w:t>
      </w:r>
      <w:bookmarkEnd w:id="709"/>
    </w:p>
    <w:p w:rsidR="003B725E" w:rsidRPr="003B725E" w:rsidRDefault="003B725E" w:rsidP="003B725E">
      <w:pPr>
        <w:pStyle w:val="EndNoteBibliography"/>
        <w:spacing w:after="0"/>
        <w:rPr>
          <w:lang w:val="fr-FR"/>
        </w:rPr>
      </w:pPr>
      <w:bookmarkStart w:id="710" w:name="_ENREF_446"/>
      <w:r w:rsidRPr="003B725E">
        <w:rPr>
          <w:lang w:val="fr-FR"/>
        </w:rPr>
        <w:t>446.</w:t>
      </w:r>
      <w:r w:rsidRPr="003B725E">
        <w:rPr>
          <w:lang w:val="fr-FR"/>
        </w:rPr>
        <w:tab/>
        <w:t>Papadaki HA, Tsatsanis C, Christoforidou A, Malliaraki N, Psyllaki M, Pontikoglou C, et al. Alendronate reduces serum TNFalpha and IL-1beta, increases neutrophil counts, and improves bone mineral density and bone metabolism indices in patients with chronic idiopathic neutropenia (CIN)-associated osteopenia/osteoporosis. Journal of bone and mineral metabolism. 2004;22(6):577-87.</w:t>
      </w:r>
      <w:bookmarkEnd w:id="710"/>
    </w:p>
    <w:p w:rsidR="003B725E" w:rsidRPr="003B725E" w:rsidRDefault="003B725E" w:rsidP="003B725E">
      <w:pPr>
        <w:pStyle w:val="EndNoteBibliography"/>
        <w:spacing w:after="0"/>
      </w:pPr>
      <w:bookmarkStart w:id="711" w:name="_ENREF_447"/>
      <w:r w:rsidRPr="003B725E">
        <w:rPr>
          <w:lang w:val="fr-FR"/>
        </w:rPr>
        <w:t>447.</w:t>
      </w:r>
      <w:r w:rsidRPr="003B725E">
        <w:rPr>
          <w:lang w:val="fr-FR"/>
        </w:rPr>
        <w:tab/>
        <w:t xml:space="preserve">Li J, Sarosi I, Yan XQ, Morony S, Capparelli C, Tan HL, et al. </w:t>
      </w:r>
      <w:r w:rsidRPr="003B725E">
        <w:t>RANK is the intrinsic hematopoietic cell surface receptor that controls osteoclastogenesis and regulation of bone mass and calcium metabolism. Proceedings of the National Academy of Sciences of the United States of America. 2000;97(4):1566-71.</w:t>
      </w:r>
      <w:bookmarkEnd w:id="711"/>
    </w:p>
    <w:p w:rsidR="003B725E" w:rsidRPr="003B725E" w:rsidRDefault="003B725E" w:rsidP="003B725E">
      <w:pPr>
        <w:pStyle w:val="EndNoteBibliography"/>
        <w:spacing w:after="0"/>
      </w:pPr>
      <w:bookmarkStart w:id="712" w:name="_ENREF_448"/>
      <w:r w:rsidRPr="003B725E">
        <w:lastRenderedPageBreak/>
        <w:t>448.</w:t>
      </w:r>
      <w:r w:rsidRPr="003B725E">
        <w:tab/>
        <w:t>Dundar U, Kavuncu V, Ciftci IH, Evcik D, Solak O, Cakir T. The effect of risedronate treatment on serum cytokines in postmenopausal osteoporosis: a 6-month randomized and controlled study. Journal of bone and mineral metabolism. 2009;27(4):464-70.</w:t>
      </w:r>
      <w:bookmarkEnd w:id="712"/>
    </w:p>
    <w:p w:rsidR="003B725E" w:rsidRPr="003B725E" w:rsidRDefault="003B725E" w:rsidP="003B725E">
      <w:pPr>
        <w:pStyle w:val="EndNoteBibliography"/>
        <w:spacing w:after="0"/>
      </w:pPr>
      <w:bookmarkStart w:id="713" w:name="_ENREF_449"/>
      <w:r w:rsidRPr="003B725E">
        <w:t>449.</w:t>
      </w:r>
      <w:r w:rsidRPr="003B725E">
        <w:tab/>
        <w:t>Dobnig H, Hofbauer LC, Viereck V, Obermayer-Pietsch B, Fahrleitner-Pammer A. Changes in the RANK ligand/osteoprotegerin system are correlated to changes in bone mineral density in bisphosphonate-treated osteoporotic patients. Osteoporosis international : a journal established as result of cooperation between the European Foundation for Osteoporosis and the National Osteoporosis Foundation of the USA. 2006;17(5):693-703.</w:t>
      </w:r>
      <w:bookmarkEnd w:id="713"/>
    </w:p>
    <w:p w:rsidR="003B725E" w:rsidRPr="003B725E" w:rsidRDefault="003B725E" w:rsidP="003B725E">
      <w:pPr>
        <w:pStyle w:val="EndNoteBibliography"/>
        <w:spacing w:after="0"/>
      </w:pPr>
      <w:bookmarkStart w:id="714" w:name="_ENREF_450"/>
      <w:r w:rsidRPr="003B725E">
        <w:t>450.</w:t>
      </w:r>
      <w:r w:rsidRPr="003B725E">
        <w:tab/>
        <w:t>Anastasilakis AD, Goulis DG, Polyzos SA, Gerou S, Koukoulis G, Kita M, et al. Serum osteoprotegerin and RANKL are not specifically altered in women with postmenopausal osteoporosis treated with teriparatide or risedronate: a randomized, controlled trial. Hormone and metabolic research = Hormon- und Stoffwechselforschung = Hormones et metabolisme. 2008;40(4):281-5.</w:t>
      </w:r>
      <w:bookmarkEnd w:id="714"/>
    </w:p>
    <w:p w:rsidR="003B725E" w:rsidRPr="003B725E" w:rsidRDefault="003B725E" w:rsidP="003B725E">
      <w:pPr>
        <w:pStyle w:val="EndNoteBibliography"/>
        <w:spacing w:after="0"/>
      </w:pPr>
      <w:bookmarkStart w:id="715" w:name="_ENREF_451"/>
      <w:r w:rsidRPr="003B725E">
        <w:t>451.</w:t>
      </w:r>
      <w:r w:rsidRPr="003B725E">
        <w:tab/>
        <w:t>Bonnick S, Saag KG, Kiel DP, McClung M, Hochberg M, Burnett SM, et al. Comparison of weekly treatment of postmenopausal osteoporosis with alendronate versus risedronate over two years. The Journal of clinical endocrinology and metabolism. 2006;91(7):2631-7.</w:t>
      </w:r>
      <w:bookmarkEnd w:id="715"/>
    </w:p>
    <w:p w:rsidR="003B725E" w:rsidRPr="003B725E" w:rsidRDefault="003B725E" w:rsidP="003B725E">
      <w:pPr>
        <w:pStyle w:val="EndNoteBibliography"/>
        <w:spacing w:after="0"/>
      </w:pPr>
      <w:bookmarkStart w:id="716" w:name="_ENREF_452"/>
      <w:r w:rsidRPr="003B725E">
        <w:t>452.</w:t>
      </w:r>
      <w:r w:rsidRPr="003B725E">
        <w:tab/>
        <w:t>Taylor AF, Saunders MM, Shingle DL, Cimbala JM, Zhou Z, Donahue HJ. Mechanically stimulated osteocytes regulate osteoblastic activity via gap junctions. Am J Physiol Cell Physiol. 2007;292(1):C545-52.</w:t>
      </w:r>
      <w:bookmarkEnd w:id="716"/>
    </w:p>
    <w:p w:rsidR="003B725E" w:rsidRPr="003B725E" w:rsidRDefault="003B725E" w:rsidP="003B725E">
      <w:pPr>
        <w:pStyle w:val="EndNoteBibliography"/>
        <w:spacing w:after="0"/>
        <w:rPr>
          <w:lang w:val="it-IT"/>
        </w:rPr>
      </w:pPr>
      <w:bookmarkStart w:id="717" w:name="_ENREF_453"/>
      <w:r w:rsidRPr="003B725E">
        <w:t>453.</w:t>
      </w:r>
      <w:r w:rsidRPr="003B725E">
        <w:tab/>
        <w:t xml:space="preserve">Gatti D, Viapiana O, Adami S, Idolazzi L, Fracassi E, Rossini M. Bisphosphonate treatment of postmenopausal osteoporosis is associated with a dose dependent increase in serum sclerostin. </w:t>
      </w:r>
      <w:r w:rsidRPr="003B725E">
        <w:rPr>
          <w:lang w:val="it-IT"/>
        </w:rPr>
        <w:t>Bone. 2012;50(3):739-42.</w:t>
      </w:r>
      <w:bookmarkEnd w:id="717"/>
    </w:p>
    <w:p w:rsidR="003B725E" w:rsidRPr="003B725E" w:rsidRDefault="003B725E" w:rsidP="003B725E">
      <w:pPr>
        <w:pStyle w:val="EndNoteBibliography"/>
        <w:spacing w:after="0"/>
      </w:pPr>
      <w:bookmarkStart w:id="718" w:name="_ENREF_454"/>
      <w:r w:rsidRPr="003B725E">
        <w:rPr>
          <w:lang w:val="it-IT"/>
        </w:rPr>
        <w:t>454.</w:t>
      </w:r>
      <w:r w:rsidRPr="003B725E">
        <w:rPr>
          <w:lang w:val="it-IT"/>
        </w:rPr>
        <w:tab/>
        <w:t xml:space="preserve">Gatti D, Viapiana O, Idolazzi L, Fracassi E, Ionescu C, Dartizio C, et al. </w:t>
      </w:r>
      <w:r w:rsidRPr="003B725E">
        <w:t>Distinct effect of zoledronate and clodronate on circulating levels of DKK1 and sclerostin in women with postmenopausal osteoporosis. Bone. 2014;67:189-92.</w:t>
      </w:r>
      <w:bookmarkEnd w:id="718"/>
    </w:p>
    <w:p w:rsidR="003B725E" w:rsidRPr="003B725E" w:rsidRDefault="003B725E" w:rsidP="003B725E">
      <w:pPr>
        <w:pStyle w:val="EndNoteBibliography"/>
        <w:spacing w:after="0"/>
      </w:pPr>
      <w:bookmarkStart w:id="719" w:name="_ENREF_455"/>
      <w:r w:rsidRPr="003B725E">
        <w:t>455.</w:t>
      </w:r>
      <w:r w:rsidRPr="003B725E">
        <w:tab/>
        <w:t>Catalano A, Morabito N, Basile G, Brancatelli S, Cucinotta D, Lasco A. Zoledronic acid acutely increases sclerostin serum levels in women with postmenopausal osteoporosis. The Journal of clinical endocrinology and metabolism. 2013;98(5):1911-5.</w:t>
      </w:r>
      <w:bookmarkEnd w:id="719"/>
    </w:p>
    <w:p w:rsidR="003B725E" w:rsidRPr="003B725E" w:rsidRDefault="003B725E" w:rsidP="003B725E">
      <w:pPr>
        <w:pStyle w:val="EndNoteBibliography"/>
        <w:spacing w:after="0"/>
      </w:pPr>
      <w:bookmarkStart w:id="720" w:name="_ENREF_456"/>
      <w:r w:rsidRPr="003B725E">
        <w:t>456.</w:t>
      </w:r>
      <w:r w:rsidRPr="003B725E">
        <w:tab/>
        <w:t>Anastasilakis AD, Polyzos SA, Gkiomisi A, Bisbinas I, Gerou S, Makras P. Comparative effect of zoledronic acid versus denosumab on serum sclerostin and dickkopf-1 levels of naive postmenopausal women with low bone mass: a randomized, head-to-head clinical trial. The Journal of clinical endocrinology and metabolism. 2013;98(8):3206-12.</w:t>
      </w:r>
      <w:bookmarkEnd w:id="720"/>
    </w:p>
    <w:p w:rsidR="003B725E" w:rsidRPr="003B725E" w:rsidRDefault="003B725E" w:rsidP="003B725E">
      <w:pPr>
        <w:pStyle w:val="EndNoteBibliography"/>
        <w:spacing w:after="0"/>
      </w:pPr>
      <w:bookmarkStart w:id="721" w:name="_ENREF_457"/>
      <w:r w:rsidRPr="003B725E">
        <w:t>457.</w:t>
      </w:r>
      <w:r w:rsidRPr="003B725E">
        <w:tab/>
        <w:t>Polyzos SA, Anastasilakis AD, Bratengeier C, Woloszczuk W, Papatheodorou A, Terpos E. Serum sclerostin levels positively correlate with lumbar spinal bone mineral density in postmenopausal women--the six-month effect of risedronate and teriparatide. Osteoporosis international : a journal established as result of cooperation between the European Foundation for Osteoporosis and the National Osteoporosis Foundation of the USA. 2012;23(3):1171-6.</w:t>
      </w:r>
      <w:bookmarkEnd w:id="721"/>
    </w:p>
    <w:p w:rsidR="003B725E" w:rsidRPr="003B725E" w:rsidRDefault="003B725E" w:rsidP="003B725E">
      <w:pPr>
        <w:pStyle w:val="EndNoteBibliography"/>
        <w:spacing w:after="0"/>
      </w:pPr>
      <w:bookmarkStart w:id="722" w:name="_ENREF_458"/>
      <w:r w:rsidRPr="003B725E">
        <w:t>458.</w:t>
      </w:r>
      <w:r w:rsidRPr="003B725E">
        <w:tab/>
        <w:t>Gossiel F, Hoyle C, McCloskey EV, Naylor KE, Walsh J, Peel N, et al. The effect of bisphosphonate treatment on osteoclast precursor cells in postmenopausal osteoporosis: The TRIO study. Bone. 2016;92:94-9.</w:t>
      </w:r>
      <w:bookmarkEnd w:id="722"/>
    </w:p>
    <w:p w:rsidR="003B725E" w:rsidRPr="003B725E" w:rsidRDefault="003B725E" w:rsidP="003B725E">
      <w:pPr>
        <w:pStyle w:val="EndNoteBibliography"/>
        <w:spacing w:after="0"/>
      </w:pPr>
      <w:bookmarkStart w:id="723" w:name="_ENREF_459"/>
      <w:r w:rsidRPr="003B725E">
        <w:t>459.</w:t>
      </w:r>
      <w:r w:rsidRPr="003B725E">
        <w:tab/>
        <w:t>Gossiel F, Paggiosi MA, Naylor KE, McCloskey EV, Walsh J, Peel N, et al. The effect of bisphosphosphonates on bone turnover and bone balance in postmenopausal women with osteoporosis: The T-score bone marker approach in the TRIO study. Bone. 2020;131:115158.</w:t>
      </w:r>
      <w:bookmarkEnd w:id="723"/>
    </w:p>
    <w:p w:rsidR="003B725E" w:rsidRPr="003B725E" w:rsidRDefault="003B725E" w:rsidP="003B725E">
      <w:pPr>
        <w:pStyle w:val="EndNoteBibliography"/>
        <w:spacing w:after="0"/>
      </w:pPr>
      <w:bookmarkStart w:id="724" w:name="_ENREF_460"/>
      <w:r w:rsidRPr="003B725E">
        <w:t>460.</w:t>
      </w:r>
      <w:r w:rsidRPr="003B725E">
        <w:tab/>
        <w:t>Roelofs AJ, Stewart CA, Sun S, Blazewska KM, Kashemirov BA, McKenna CE, et al. Influence of bone affinity on the skeletal distribution of fluorescently labeled bisphosphonates in vivo. Journal of bone and mineral research : the official journal of the American Society for Bone and Mineral Research. 2012;27(4):835-47.</w:t>
      </w:r>
      <w:bookmarkEnd w:id="724"/>
    </w:p>
    <w:p w:rsidR="003B725E" w:rsidRPr="003B725E" w:rsidRDefault="003B725E" w:rsidP="003B725E">
      <w:pPr>
        <w:pStyle w:val="EndNoteBibliography"/>
        <w:spacing w:after="0"/>
      </w:pPr>
      <w:bookmarkStart w:id="725" w:name="_ENREF_461"/>
      <w:r w:rsidRPr="003B725E">
        <w:t>461.</w:t>
      </w:r>
      <w:r w:rsidRPr="003B725E">
        <w:tab/>
        <w:t>Valleala H, Mandelin J, Laasonen L, Koivula MK, Risteli J, Konttinen YT. Effect of cyclical intermittent etidronate therapy on circulating osteoprotegerin levels in patients with rheumatoid arthritis. European journal of endocrinology / European Federation of Endocrine Societies. 2003;148(5):527-30.</w:t>
      </w:r>
      <w:bookmarkEnd w:id="725"/>
    </w:p>
    <w:p w:rsidR="003B725E" w:rsidRPr="003B725E" w:rsidRDefault="003B725E" w:rsidP="003B725E">
      <w:pPr>
        <w:pStyle w:val="EndNoteBibliography"/>
        <w:spacing w:after="0"/>
      </w:pPr>
      <w:bookmarkStart w:id="726" w:name="_ENREF_462"/>
      <w:r w:rsidRPr="003B725E">
        <w:lastRenderedPageBreak/>
        <w:t>462.</w:t>
      </w:r>
      <w:r w:rsidRPr="003B725E">
        <w:tab/>
        <w:t>Alvarez L, Peris P, Guanabens N, Vidal S, Ros I, Pons F, et al. Serum osteoprotegerin and its ligand in Paget's disease of bone: relationship to disease activity and effect of treatment with bisphosphonates. Arthritis and rheumatism. 2003;48(3):824-8.</w:t>
      </w:r>
      <w:bookmarkEnd w:id="726"/>
    </w:p>
    <w:p w:rsidR="003B725E" w:rsidRPr="003B725E" w:rsidRDefault="003B725E" w:rsidP="003B725E">
      <w:pPr>
        <w:pStyle w:val="EndNoteBibliography"/>
        <w:spacing w:after="0"/>
      </w:pPr>
      <w:bookmarkStart w:id="727" w:name="_ENREF_463"/>
      <w:r w:rsidRPr="003B725E">
        <w:t>463.</w:t>
      </w:r>
      <w:r w:rsidRPr="003B725E">
        <w:tab/>
        <w:t>Anastasilakis AD, Polyzos SA, Gkiomisi A, Saridakis ZG, Digkas D, Bisbinas I, et al. Denosumab versus zoledronic acid in patients previously treated with zoledronic acid. Osteoporosis international : a journal established as result of cooperation between the European Foundation for Osteoporosis and the National Osteoporosis Foundation of the USA. 2015.</w:t>
      </w:r>
      <w:bookmarkEnd w:id="727"/>
    </w:p>
    <w:p w:rsidR="003B725E" w:rsidRPr="003B725E" w:rsidRDefault="003B725E" w:rsidP="003B725E">
      <w:pPr>
        <w:pStyle w:val="EndNoteBibliography"/>
        <w:spacing w:after="0"/>
      </w:pPr>
      <w:bookmarkStart w:id="728" w:name="_ENREF_464"/>
      <w:r w:rsidRPr="003B725E">
        <w:t>464.</w:t>
      </w:r>
      <w:r w:rsidRPr="003B725E">
        <w:tab/>
        <w:t>Pan B, Farrugia AN, To LB, Findlay DM, Green J, Lynch K, et al. The nitrogen-containing bisphosphonate, zoledronic acid, influences RANKL expression in human osteoblast-like cells by activating TNF-alpha converting enzyme (TACE). Journal of bone and mineral research : the official journal of the American Society for Bone and Mineral Research. 2004;19(1):147-54.</w:t>
      </w:r>
      <w:bookmarkEnd w:id="728"/>
    </w:p>
    <w:p w:rsidR="003B725E" w:rsidRPr="003B725E" w:rsidRDefault="003B725E" w:rsidP="003B725E">
      <w:pPr>
        <w:pStyle w:val="EndNoteBibliography"/>
        <w:spacing w:after="0"/>
      </w:pPr>
      <w:bookmarkStart w:id="729" w:name="_ENREF_465"/>
      <w:r w:rsidRPr="003B725E">
        <w:t>465.</w:t>
      </w:r>
      <w:r w:rsidRPr="003B725E">
        <w:tab/>
        <w:t>Chung YE, Lee SH, Lee SY, Kim SY, Kim HH, Mirza FS, et al. Long-term treatment with raloxifene, but not bisphosphonates, reduces circulating sclerostin levels in postmenopausal women. Osteoporosis international : a journal established as result of cooperation between the European Foundation for Osteoporosis and the National Osteoporosis Foundation of the USA. 2012;23(4):1235-43.</w:t>
      </w:r>
      <w:bookmarkEnd w:id="729"/>
    </w:p>
    <w:p w:rsidR="003B725E" w:rsidRPr="003B725E" w:rsidRDefault="003B725E" w:rsidP="003B725E">
      <w:pPr>
        <w:pStyle w:val="EndNoteBibliography"/>
        <w:spacing w:after="0"/>
      </w:pPr>
      <w:bookmarkStart w:id="730" w:name="_ENREF_466"/>
      <w:r w:rsidRPr="003B725E">
        <w:t>466.</w:t>
      </w:r>
      <w:r w:rsidRPr="003B725E">
        <w:tab/>
        <w:t>Kogianni G, Mann V, Ebetino F, Nuttall M, Nijweide P, Simpson H, et al. Fas/CD95 is associated with glucocorticoid-induced osteocyte apoptosis. Life Sci. 2004;75(24):2879-95.</w:t>
      </w:r>
      <w:bookmarkEnd w:id="730"/>
    </w:p>
    <w:p w:rsidR="003B725E" w:rsidRPr="003B725E" w:rsidRDefault="003B725E" w:rsidP="003B725E">
      <w:pPr>
        <w:pStyle w:val="EndNoteBibliography"/>
        <w:spacing w:after="0"/>
      </w:pPr>
      <w:bookmarkStart w:id="731" w:name="_ENREF_467"/>
      <w:r w:rsidRPr="003B725E">
        <w:t>467.</w:t>
      </w:r>
      <w:r w:rsidRPr="003B725E">
        <w:tab/>
        <w:t>Burger EH, Klein-Nulen J. Responses of bone cells to biomechanical forces in vitro. Adv Dent Res. 1999;13:93-8.</w:t>
      </w:r>
      <w:bookmarkEnd w:id="731"/>
    </w:p>
    <w:p w:rsidR="003B725E" w:rsidRPr="003B725E" w:rsidRDefault="003B725E" w:rsidP="003B725E">
      <w:pPr>
        <w:pStyle w:val="EndNoteBibliography"/>
        <w:spacing w:after="0"/>
      </w:pPr>
      <w:bookmarkStart w:id="732" w:name="_ENREF_468"/>
      <w:r w:rsidRPr="003B725E">
        <w:t>468.</w:t>
      </w:r>
      <w:r w:rsidRPr="003B725E">
        <w:tab/>
        <w:t>Tomkinson A, Reeve J, Shaw RW, Noble BS. The death of osteocytes via apoptosis accompanies estrogen withdrawal in human bone. The Journal of clinical endocrinology and metabolism. 1997;82(9):3128-35.</w:t>
      </w:r>
      <w:bookmarkEnd w:id="732"/>
    </w:p>
    <w:p w:rsidR="003B725E" w:rsidRPr="003B725E" w:rsidRDefault="003B725E" w:rsidP="003B725E">
      <w:pPr>
        <w:pStyle w:val="EndNoteBibliography"/>
        <w:spacing w:after="0"/>
      </w:pPr>
      <w:bookmarkStart w:id="733" w:name="_ENREF_469"/>
      <w:r w:rsidRPr="003B725E">
        <w:t>469.</w:t>
      </w:r>
      <w:r w:rsidRPr="003B725E">
        <w:tab/>
        <w:t>Tomkinson A, Gevers EF, Wit JM, Reeve J, Noble BS. The role of estrogen in the control of rat osteocyte apoptosis. Journal of bone and mineral research : the official journal of the American Society for Bone and Mineral Research. 1998;13(8):1243-50.</w:t>
      </w:r>
      <w:bookmarkEnd w:id="733"/>
    </w:p>
    <w:p w:rsidR="003B725E" w:rsidRPr="003B725E" w:rsidRDefault="003B725E" w:rsidP="003B725E">
      <w:pPr>
        <w:pStyle w:val="EndNoteBibliography"/>
        <w:spacing w:after="0"/>
      </w:pPr>
      <w:bookmarkStart w:id="734" w:name="_ENREF_470"/>
      <w:r w:rsidRPr="003B725E">
        <w:t>470.</w:t>
      </w:r>
      <w:r w:rsidRPr="003B725E">
        <w:tab/>
        <w:t>Delmas PD, Bjarnason NH, Mitlak BH, Ravoux AC, Shah AS, Huster WJ, et al. Effects of raloxifene on bone mineral density, serum cholesterol concentrations, and uterine endometrium in postmenopausal women. The New England journal of medicine. 1997;337(23):1641-7.</w:t>
      </w:r>
      <w:bookmarkEnd w:id="734"/>
    </w:p>
    <w:p w:rsidR="003B725E" w:rsidRPr="003B725E" w:rsidRDefault="003B725E" w:rsidP="003B725E">
      <w:pPr>
        <w:pStyle w:val="EndNoteBibliography"/>
        <w:spacing w:after="0"/>
        <w:rPr>
          <w:lang w:val="fr-FR"/>
        </w:rPr>
      </w:pPr>
      <w:bookmarkStart w:id="735" w:name="_ENREF_471"/>
      <w:r w:rsidRPr="003B725E">
        <w:t>471.</w:t>
      </w:r>
      <w:r w:rsidRPr="003B725E">
        <w:tab/>
        <w:t xml:space="preserve">Ensrud KE, Stock JL, Barrett-Connor E, Grady D, Mosca L, Khaw KT, et al. Effects of raloxifene on fracture risk in postmenopausal women: the Raloxifene Use for the Heart Trial. Journal of bone and mineral research : the official journal of the American Society for Bone and Mineral Research. </w:t>
      </w:r>
      <w:r w:rsidRPr="003B725E">
        <w:rPr>
          <w:lang w:val="fr-FR"/>
        </w:rPr>
        <w:t>2008;23(1):112-20.</w:t>
      </w:r>
      <w:bookmarkEnd w:id="735"/>
    </w:p>
    <w:p w:rsidR="003B725E" w:rsidRPr="003B725E" w:rsidRDefault="003B725E" w:rsidP="003B725E">
      <w:pPr>
        <w:pStyle w:val="EndNoteBibliography"/>
        <w:spacing w:after="0"/>
      </w:pPr>
      <w:bookmarkStart w:id="736" w:name="_ENREF_472"/>
      <w:r w:rsidRPr="003B725E">
        <w:rPr>
          <w:lang w:val="fr-FR"/>
        </w:rPr>
        <w:t>472.</w:t>
      </w:r>
      <w:r w:rsidRPr="003B725E">
        <w:rPr>
          <w:lang w:val="fr-FR"/>
        </w:rPr>
        <w:tab/>
        <w:t xml:space="preserve">Ramalho AC, Couttet P, Baudoin C, Morieux C, Graulet AM, de Vernejoul MC, et al. </w:t>
      </w:r>
      <w:r w:rsidRPr="003B725E">
        <w:t>Estradiol and raloxifene decrease the formation of multinucleate cells in human bone marrow cultures. Eur Cytokine Netw. 2002;13(1):39-45.</w:t>
      </w:r>
      <w:bookmarkEnd w:id="736"/>
    </w:p>
    <w:p w:rsidR="003B725E" w:rsidRPr="003B725E" w:rsidRDefault="003B725E" w:rsidP="003B725E">
      <w:pPr>
        <w:pStyle w:val="EndNoteBibliography"/>
        <w:spacing w:after="0"/>
      </w:pPr>
      <w:bookmarkStart w:id="737" w:name="_ENREF_473"/>
      <w:r w:rsidRPr="003B725E">
        <w:t>473.</w:t>
      </w:r>
      <w:r w:rsidRPr="003B725E">
        <w:tab/>
        <w:t>Fernandez-Garcia D, Munoz-Torres M, Mezquita-Raya P, de la Higuera M, Alonso G, Reyes-Garcia R, et al. Effects of raloxifene therapy on circulating osteoprotegerin and RANK ligand levels in post-menopausal osteoporosis. Journal of endocrinological investigation. 2008;31(5):416-21.</w:t>
      </w:r>
      <w:bookmarkEnd w:id="737"/>
    </w:p>
    <w:p w:rsidR="003B725E" w:rsidRPr="003B725E" w:rsidRDefault="003B725E" w:rsidP="003B725E">
      <w:pPr>
        <w:pStyle w:val="EndNoteBibliography"/>
        <w:spacing w:after="0"/>
      </w:pPr>
      <w:bookmarkStart w:id="738" w:name="_ENREF_474"/>
      <w:r w:rsidRPr="003B725E">
        <w:t>474.</w:t>
      </w:r>
      <w:r w:rsidRPr="003B725E">
        <w:tab/>
        <w:t>Yan MZ, Xu Y, Gong YX, Liu JM, Lu SY, Huang L, et al. Raloxifene inhibits bone loss and improves bone strength through an Opg-independent mechanism. Endocrine. 2010;37(1):55-61.</w:t>
      </w:r>
      <w:bookmarkEnd w:id="738"/>
    </w:p>
    <w:p w:rsidR="003B725E" w:rsidRPr="003B725E" w:rsidRDefault="003B725E" w:rsidP="003B725E">
      <w:pPr>
        <w:pStyle w:val="EndNoteBibliography"/>
        <w:spacing w:after="0"/>
      </w:pPr>
      <w:bookmarkStart w:id="739" w:name="_ENREF_475"/>
      <w:r w:rsidRPr="003B725E">
        <w:t>475.</w:t>
      </w:r>
      <w:r w:rsidRPr="003B725E">
        <w:tab/>
        <w:t>Bord S, Beavan S, Ireland D, Horner A, Compston JE. Mechanisms by which high-dose estrogen therapy produces anabolic skeletal effects in postmenopausal women: role of locally produced growth factors. Bone. 2001;29(3):216-22.</w:t>
      </w:r>
      <w:bookmarkEnd w:id="739"/>
    </w:p>
    <w:p w:rsidR="003B725E" w:rsidRPr="003B725E" w:rsidRDefault="003B725E" w:rsidP="003B725E">
      <w:pPr>
        <w:pStyle w:val="EndNoteBibliography"/>
        <w:spacing w:after="0"/>
      </w:pPr>
      <w:bookmarkStart w:id="740" w:name="_ENREF_476"/>
      <w:r w:rsidRPr="003B725E">
        <w:t>476.</w:t>
      </w:r>
      <w:r w:rsidRPr="003B725E">
        <w:tab/>
        <w:t>Khastgir G, Studd J, Holland N, Alaghband-Zadeh J, Fox S, Chow J. Anabolic effect of estrogen replacement on bone in postmenopausal women with osteoporosis: histomorphometric evidence in a longitudinal study. The Journal of clinical endocrinology and metabolism. 2001;86(1):289-95.</w:t>
      </w:r>
      <w:bookmarkEnd w:id="740"/>
    </w:p>
    <w:p w:rsidR="003B725E" w:rsidRPr="003B725E" w:rsidRDefault="003B725E" w:rsidP="003B725E">
      <w:pPr>
        <w:pStyle w:val="EndNoteBibliography"/>
        <w:spacing w:after="0"/>
      </w:pPr>
      <w:bookmarkStart w:id="741" w:name="_ENREF_477"/>
      <w:r w:rsidRPr="003B725E">
        <w:t>477.</w:t>
      </w:r>
      <w:r w:rsidRPr="003B725E">
        <w:tab/>
        <w:t>Cauley JA. Estrogen and bone health in men and women. Steroids. 2014.</w:t>
      </w:r>
      <w:bookmarkEnd w:id="741"/>
    </w:p>
    <w:p w:rsidR="003B725E" w:rsidRPr="003B725E" w:rsidRDefault="003B725E" w:rsidP="003B725E">
      <w:pPr>
        <w:pStyle w:val="EndNoteBibliography"/>
        <w:spacing w:after="0"/>
      </w:pPr>
      <w:bookmarkStart w:id="742" w:name="_ENREF_478"/>
      <w:r w:rsidRPr="003B725E">
        <w:lastRenderedPageBreak/>
        <w:t>478.</w:t>
      </w:r>
      <w:r w:rsidRPr="003B725E">
        <w:tab/>
        <w:t>van Essen HW, Holzmann PJ, Blankenstein MA, Lips P, Bravenboer N. Effect of raloxifene treatment on osteocyte apoptosis in postmenopausal women. Calcified tissue international. 2007;81(3):183-90.</w:t>
      </w:r>
      <w:bookmarkEnd w:id="742"/>
    </w:p>
    <w:p w:rsidR="003B725E" w:rsidRPr="003B725E" w:rsidRDefault="003B725E" w:rsidP="003B725E">
      <w:pPr>
        <w:pStyle w:val="EndNoteBibliography"/>
        <w:spacing w:after="0"/>
      </w:pPr>
      <w:bookmarkStart w:id="743" w:name="_ENREF_479"/>
      <w:r w:rsidRPr="003B725E">
        <w:t>479.</w:t>
      </w:r>
      <w:r w:rsidRPr="003B725E">
        <w:tab/>
        <w:t>Hochberg MC, Greenspan S, Wasnich RD, Miller P, Thompson DE, Ross PD. Changes in bone density and turnover explain the reductions in incidence of nonvertebral fractures that occur during treatment with antiresorptive agents. The Journal of clinical endocrinology and metabolism. 2002;87(4):1586-92.</w:t>
      </w:r>
      <w:bookmarkEnd w:id="743"/>
    </w:p>
    <w:p w:rsidR="003B725E" w:rsidRPr="003B725E" w:rsidRDefault="003B725E" w:rsidP="003B725E">
      <w:pPr>
        <w:pStyle w:val="EndNoteBibliography"/>
        <w:spacing w:after="0"/>
      </w:pPr>
      <w:bookmarkStart w:id="744" w:name="_ENREF_480"/>
      <w:r w:rsidRPr="003B725E">
        <w:t>480.</w:t>
      </w:r>
      <w:r w:rsidRPr="003B725E">
        <w:tab/>
        <w:t>Brown JP, Albert C, Nassar BA, Adachi JD, Cole D, Davison KS, et al. Bone turnover markers in the management of postmenopausal osteoporosis. Clinical biochemistry. 2009;42(10-11):929-42.</w:t>
      </w:r>
      <w:bookmarkEnd w:id="744"/>
    </w:p>
    <w:p w:rsidR="003B725E" w:rsidRPr="003B725E" w:rsidRDefault="003B725E" w:rsidP="003B725E">
      <w:pPr>
        <w:pStyle w:val="EndNoteBibliography"/>
        <w:spacing w:after="0"/>
        <w:rPr>
          <w:lang w:val="nl-NL"/>
        </w:rPr>
      </w:pPr>
      <w:bookmarkStart w:id="745" w:name="_ENREF_481"/>
      <w:r w:rsidRPr="003B725E">
        <w:t>481.</w:t>
      </w:r>
      <w:r w:rsidRPr="003B725E">
        <w:tab/>
        <w:t xml:space="preserve">Reid IR. Short-term and long-term effects of osteoporosis therapies. </w:t>
      </w:r>
      <w:r w:rsidRPr="003B725E">
        <w:rPr>
          <w:lang w:val="nl-NL"/>
        </w:rPr>
        <w:t>Nat Rev Endocrinol. 2015;11(7):418-28.</w:t>
      </w:r>
      <w:bookmarkEnd w:id="745"/>
    </w:p>
    <w:p w:rsidR="003B725E" w:rsidRPr="003B725E" w:rsidRDefault="003B725E" w:rsidP="003B725E">
      <w:pPr>
        <w:pStyle w:val="EndNoteBibliography"/>
        <w:spacing w:after="0"/>
        <w:rPr>
          <w:lang w:val="de-DE"/>
        </w:rPr>
      </w:pPr>
      <w:bookmarkStart w:id="746" w:name="_ENREF_482"/>
      <w:r w:rsidRPr="003B725E">
        <w:rPr>
          <w:lang w:val="nl-NL"/>
        </w:rPr>
        <w:t>482.</w:t>
      </w:r>
      <w:r w:rsidRPr="003B725E">
        <w:rPr>
          <w:lang w:val="nl-NL"/>
        </w:rPr>
        <w:tab/>
        <w:t xml:space="preserve">Boonen S, Ferrari S, Miller PD, Eriksen EF, Sambrook PN, Compston J, et al. </w:t>
      </w:r>
      <w:r w:rsidRPr="003B725E">
        <w:t xml:space="preserve">Postmenopausal osteoporosis treatment with antiresorptives: effects of discontinuation or long-term continuation on bone turnover and fracture risk--a perspective. Journal of bone and mineral research : the official journal of the American Society for Bone and Mineral Research. </w:t>
      </w:r>
      <w:r w:rsidRPr="003B725E">
        <w:rPr>
          <w:lang w:val="de-DE"/>
        </w:rPr>
        <w:t>2012;27(5):963-74.</w:t>
      </w:r>
      <w:bookmarkEnd w:id="746"/>
    </w:p>
    <w:p w:rsidR="003B725E" w:rsidRPr="003B725E" w:rsidRDefault="003B725E" w:rsidP="003B725E">
      <w:pPr>
        <w:pStyle w:val="EndNoteBibliography"/>
        <w:spacing w:after="0"/>
      </w:pPr>
      <w:bookmarkStart w:id="747" w:name="_ENREF_483"/>
      <w:r w:rsidRPr="003B725E">
        <w:rPr>
          <w:lang w:val="de-DE"/>
        </w:rPr>
        <w:t>483.</w:t>
      </w:r>
      <w:r w:rsidRPr="003B725E">
        <w:rPr>
          <w:lang w:val="de-DE"/>
        </w:rPr>
        <w:tab/>
        <w:t xml:space="preserve">Miller PD, Bolognese MA, Lewiecki EM, McClung MR, Ding B, Austin M, et al. </w:t>
      </w:r>
      <w:r w:rsidRPr="003B725E">
        <w:t>Effect of denosumab on bone density and turnover in postmenopausal women with low bone mass after long-term continued, discontinued, and restarting of therapy: a randomized blinded phase 2 clinical trial. Bone. 2008;43(2):222-9.</w:t>
      </w:r>
      <w:bookmarkEnd w:id="747"/>
    </w:p>
    <w:p w:rsidR="003B725E" w:rsidRPr="003B725E" w:rsidRDefault="003B725E" w:rsidP="003B725E">
      <w:pPr>
        <w:pStyle w:val="EndNoteBibliography"/>
        <w:spacing w:after="0"/>
      </w:pPr>
      <w:bookmarkStart w:id="748" w:name="_ENREF_484"/>
      <w:r w:rsidRPr="003B725E">
        <w:t>484.</w:t>
      </w:r>
      <w:r w:rsidRPr="003B725E">
        <w:tab/>
        <w:t>Garnero P, Gineyts E, Schaffer AV, Seaman J, Delmas PD. Measurement of urinary excretion of nonisomerized and beta-isomerized forms of type I collagen breakdown products to monitor the effects of the bisphosphonate zoledronate in Paget's disease. Arthritis and rheumatism. 1998;41(2):354-60.</w:t>
      </w:r>
      <w:bookmarkEnd w:id="748"/>
    </w:p>
    <w:p w:rsidR="003B725E" w:rsidRPr="003B725E" w:rsidRDefault="003B725E" w:rsidP="003B725E">
      <w:pPr>
        <w:pStyle w:val="EndNoteBibliography"/>
        <w:spacing w:after="0"/>
      </w:pPr>
      <w:bookmarkStart w:id="749" w:name="_ENREF_485"/>
      <w:r w:rsidRPr="003B725E">
        <w:t>485.</w:t>
      </w:r>
      <w:r w:rsidRPr="003B725E">
        <w:tab/>
        <w:t>Russell RG. Pharmacological diversity among drugs that inhibit bone resorption. Curr Opin Pharmacol. 2015;22:115-30.</w:t>
      </w:r>
      <w:bookmarkEnd w:id="749"/>
    </w:p>
    <w:p w:rsidR="003B725E" w:rsidRPr="003B725E" w:rsidRDefault="003B725E" w:rsidP="003B725E">
      <w:pPr>
        <w:pStyle w:val="EndNoteBibliography"/>
      </w:pPr>
      <w:bookmarkStart w:id="750" w:name="_ENREF_486"/>
      <w:r w:rsidRPr="003B725E">
        <w:t>486.</w:t>
      </w:r>
      <w:r w:rsidRPr="003B725E">
        <w:tab/>
        <w:t>Fang S, Deng Y, Gu P, Fan X. MicroRNAs regulate bone development and regeneration. Int J Mol Sci. 2015;16(4):8227-53.</w:t>
      </w:r>
      <w:bookmarkEnd w:id="750"/>
    </w:p>
    <w:p w:rsidR="00102AFE" w:rsidRDefault="000267DF" w:rsidP="003B725E">
      <w:pPr>
        <w:jc w:val="both"/>
        <w:rPr>
          <w:rFonts w:ascii="Arial" w:hAnsi="Arial" w:cs="Arial"/>
        </w:rPr>
      </w:pPr>
      <w:r>
        <w:rPr>
          <w:rFonts w:ascii="Arial" w:hAnsi="Arial" w:cs="Arial"/>
        </w:rPr>
        <w:fldChar w:fldCharType="end"/>
      </w:r>
    </w:p>
    <w:p w:rsidR="000C602E" w:rsidRDefault="000C602E" w:rsidP="00900F2C">
      <w:pPr>
        <w:rPr>
          <w:rFonts w:ascii="Arial" w:hAnsi="Arial" w:cs="Arial"/>
        </w:rPr>
      </w:pPr>
    </w:p>
    <w:p w:rsidR="000C602E" w:rsidRDefault="000C602E" w:rsidP="00900F2C">
      <w:pPr>
        <w:rPr>
          <w:rFonts w:ascii="Arial" w:hAnsi="Arial" w:cs="Arial"/>
        </w:rPr>
      </w:pPr>
    </w:p>
    <w:p w:rsidR="000C602E" w:rsidRDefault="000C602E" w:rsidP="00900F2C">
      <w:pPr>
        <w:rPr>
          <w:rFonts w:ascii="Arial" w:hAnsi="Arial" w:cs="Arial"/>
        </w:rPr>
      </w:pPr>
    </w:p>
    <w:p w:rsidR="005F2AEA" w:rsidRDefault="005F2AEA" w:rsidP="00900F2C">
      <w:pPr>
        <w:rPr>
          <w:rFonts w:ascii="Arial" w:hAnsi="Arial" w:cs="Arial"/>
        </w:rPr>
      </w:pPr>
    </w:p>
    <w:p w:rsidR="005F2AEA" w:rsidRDefault="005F2AEA" w:rsidP="00900F2C">
      <w:pPr>
        <w:rPr>
          <w:rFonts w:ascii="Arial" w:hAnsi="Arial" w:cs="Arial"/>
        </w:rPr>
      </w:pPr>
    </w:p>
    <w:p w:rsidR="00685609" w:rsidRDefault="00685609" w:rsidP="00900F2C">
      <w:pPr>
        <w:pStyle w:val="Heading1"/>
      </w:pPr>
      <w:bookmarkStart w:id="751" w:name="_Toc425418983"/>
    </w:p>
    <w:p w:rsidR="00685609" w:rsidRDefault="00685609" w:rsidP="00900F2C">
      <w:pPr>
        <w:pStyle w:val="Heading1"/>
      </w:pPr>
    </w:p>
    <w:p w:rsidR="00685609" w:rsidRDefault="00685609" w:rsidP="00900F2C">
      <w:pPr>
        <w:pStyle w:val="Heading1"/>
      </w:pPr>
    </w:p>
    <w:p w:rsidR="00685609" w:rsidRDefault="00685609" w:rsidP="00900F2C">
      <w:pPr>
        <w:pStyle w:val="Heading1"/>
      </w:pPr>
    </w:p>
    <w:p w:rsidR="00685609" w:rsidRDefault="00685609" w:rsidP="00900F2C">
      <w:pPr>
        <w:pStyle w:val="Heading1"/>
      </w:pPr>
    </w:p>
    <w:p w:rsidR="00685609" w:rsidRDefault="00685609" w:rsidP="00900F2C">
      <w:pPr>
        <w:pStyle w:val="Heading1"/>
      </w:pPr>
    </w:p>
    <w:p w:rsidR="00685609" w:rsidRDefault="00685609" w:rsidP="00900F2C">
      <w:pPr>
        <w:pStyle w:val="Heading1"/>
      </w:pPr>
    </w:p>
    <w:p w:rsidR="00685609" w:rsidRDefault="00685609" w:rsidP="00900F2C">
      <w:pPr>
        <w:pStyle w:val="Heading1"/>
      </w:pPr>
    </w:p>
    <w:p w:rsidR="00685609" w:rsidRDefault="00685609" w:rsidP="00685609"/>
    <w:p w:rsidR="00685609" w:rsidRDefault="00685609" w:rsidP="00685609"/>
    <w:p w:rsidR="00685609" w:rsidRDefault="00685609" w:rsidP="00900F2C">
      <w:pPr>
        <w:pStyle w:val="Heading1"/>
        <w:rPr>
          <w:rFonts w:asciiTheme="minorHAnsi" w:eastAsiaTheme="minorHAnsi" w:hAnsiTheme="minorHAnsi" w:cstheme="minorBidi"/>
          <w:bCs w:val="0"/>
          <w:sz w:val="22"/>
          <w:szCs w:val="22"/>
          <w:u w:val="none"/>
        </w:rPr>
      </w:pPr>
    </w:p>
    <w:p w:rsidR="00685609" w:rsidRPr="00685609" w:rsidRDefault="00685609" w:rsidP="00685609"/>
    <w:p w:rsidR="00F90F64" w:rsidRPr="00F90F64" w:rsidRDefault="00F90F64" w:rsidP="00685609">
      <w:pPr>
        <w:pStyle w:val="Heading1"/>
      </w:pPr>
      <w:r>
        <w:t>Appendices</w:t>
      </w:r>
      <w:bookmarkEnd w:id="751"/>
    </w:p>
    <w:p w:rsidR="005F2AEA" w:rsidRDefault="005F2AEA" w:rsidP="00900F2C">
      <w:pPr>
        <w:rPr>
          <w:rFonts w:ascii="Arial" w:hAnsi="Arial" w:cs="Arial"/>
        </w:rPr>
      </w:pPr>
      <w:r>
        <w:rPr>
          <w:rFonts w:ascii="Arial" w:hAnsi="Arial" w:cs="Arial"/>
        </w:rPr>
        <w:t>Appendices 1: PINP Kit Insert</w:t>
      </w:r>
    </w:p>
    <w:p w:rsidR="005F2AEA" w:rsidRDefault="005F2AEA" w:rsidP="00900F2C">
      <w:pPr>
        <w:rPr>
          <w:rFonts w:ascii="Arial" w:hAnsi="Arial" w:cs="Arial"/>
        </w:rPr>
      </w:pPr>
      <w:r w:rsidRPr="005F2AEA">
        <w:rPr>
          <w:noProof/>
          <w:lang w:eastAsia="zh-CN"/>
        </w:rPr>
        <w:lastRenderedPageBreak/>
        <w:drawing>
          <wp:inline distT="0" distB="0" distL="0" distR="0" wp14:anchorId="0B98229F" wp14:editId="3D8A0B65">
            <wp:extent cx="5731510" cy="8622665"/>
            <wp:effectExtent l="0" t="0" r="2540" b="698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31510" cy="8622665"/>
                    </a:xfrm>
                    <a:prstGeom prst="rect">
                      <a:avLst/>
                    </a:prstGeom>
                  </pic:spPr>
                </pic:pic>
              </a:graphicData>
            </a:graphic>
          </wp:inline>
        </w:drawing>
      </w:r>
    </w:p>
    <w:p w:rsidR="005F2AEA" w:rsidRDefault="005F2AEA" w:rsidP="00900F2C">
      <w:pPr>
        <w:rPr>
          <w:rFonts w:ascii="Arial" w:hAnsi="Arial" w:cs="Arial"/>
        </w:rPr>
      </w:pPr>
      <w:r w:rsidRPr="005F2AEA">
        <w:rPr>
          <w:noProof/>
          <w:lang w:eastAsia="zh-CN"/>
        </w:rPr>
        <w:lastRenderedPageBreak/>
        <w:drawing>
          <wp:inline distT="0" distB="0" distL="0" distR="0" wp14:anchorId="65F4938A" wp14:editId="1EE3817D">
            <wp:extent cx="5731510" cy="8989695"/>
            <wp:effectExtent l="0" t="0" r="2540" b="1905"/>
            <wp:docPr id="18440" name="Picture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31510" cy="8989695"/>
                    </a:xfrm>
                    <a:prstGeom prst="rect">
                      <a:avLst/>
                    </a:prstGeom>
                  </pic:spPr>
                </pic:pic>
              </a:graphicData>
            </a:graphic>
          </wp:inline>
        </w:drawing>
      </w:r>
    </w:p>
    <w:p w:rsidR="005F2AEA" w:rsidRDefault="005F2AEA" w:rsidP="00900F2C">
      <w:pPr>
        <w:rPr>
          <w:rFonts w:ascii="Arial" w:hAnsi="Arial" w:cs="Arial"/>
        </w:rPr>
      </w:pPr>
      <w:r w:rsidRPr="005F2AEA">
        <w:rPr>
          <w:noProof/>
          <w:lang w:eastAsia="zh-CN"/>
        </w:rPr>
        <w:lastRenderedPageBreak/>
        <w:drawing>
          <wp:inline distT="0" distB="0" distL="0" distR="0" wp14:anchorId="0744A848" wp14:editId="45442CED">
            <wp:extent cx="5731510" cy="9241790"/>
            <wp:effectExtent l="0" t="0" r="2540" b="0"/>
            <wp:docPr id="18445" name="Picture 1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31510" cy="9241790"/>
                    </a:xfrm>
                    <a:prstGeom prst="rect">
                      <a:avLst/>
                    </a:prstGeom>
                  </pic:spPr>
                </pic:pic>
              </a:graphicData>
            </a:graphic>
          </wp:inline>
        </w:drawing>
      </w:r>
    </w:p>
    <w:p w:rsidR="00F90F64" w:rsidRDefault="00F90F64" w:rsidP="00900F2C">
      <w:pPr>
        <w:rPr>
          <w:rFonts w:ascii="Arial" w:hAnsi="Arial" w:cs="Arial"/>
        </w:rPr>
      </w:pPr>
      <w:r w:rsidRPr="00F90F64">
        <w:rPr>
          <w:noProof/>
          <w:lang w:eastAsia="zh-CN"/>
        </w:rPr>
        <w:lastRenderedPageBreak/>
        <w:drawing>
          <wp:inline distT="0" distB="0" distL="0" distR="0" wp14:anchorId="2945C1C8" wp14:editId="20DD99F7">
            <wp:extent cx="5731510" cy="3581400"/>
            <wp:effectExtent l="0" t="0" r="2540" b="0"/>
            <wp:docPr id="18533" name="Picture 1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31510" cy="3581400"/>
                    </a:xfrm>
                    <a:prstGeom prst="rect">
                      <a:avLst/>
                    </a:prstGeom>
                  </pic:spPr>
                </pic:pic>
              </a:graphicData>
            </a:graphic>
          </wp:inline>
        </w:drawing>
      </w: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685609" w:rsidRDefault="00685609" w:rsidP="00900F2C">
      <w:pPr>
        <w:rPr>
          <w:rFonts w:ascii="Arial" w:hAnsi="Arial" w:cs="Arial"/>
        </w:rPr>
      </w:pPr>
    </w:p>
    <w:p w:rsidR="005F2AEA" w:rsidRPr="00685609" w:rsidRDefault="00F90F64" w:rsidP="00685609">
      <w:pPr>
        <w:rPr>
          <w:rFonts w:ascii="Arial" w:hAnsi="Arial" w:cs="Arial"/>
        </w:rPr>
      </w:pPr>
      <w:r>
        <w:rPr>
          <w:rFonts w:ascii="Arial" w:hAnsi="Arial" w:cs="Arial"/>
        </w:rPr>
        <w:lastRenderedPageBreak/>
        <w:t>Appendices 1.1: CTX Kit In</w:t>
      </w:r>
      <w:r w:rsidR="00765DEA">
        <w:rPr>
          <w:rFonts w:ascii="Arial" w:hAnsi="Arial" w:cs="Arial"/>
        </w:rPr>
        <w:t>sert</w:t>
      </w:r>
      <w:r w:rsidR="00685609" w:rsidRPr="00F90F64">
        <w:rPr>
          <w:noProof/>
          <w:lang w:eastAsia="zh-CN"/>
        </w:rPr>
        <w:drawing>
          <wp:inline distT="0" distB="0" distL="0" distR="0" wp14:anchorId="22551A3E" wp14:editId="35DC8A86">
            <wp:extent cx="5400040" cy="8589137"/>
            <wp:effectExtent l="0" t="0" r="0" b="2540"/>
            <wp:docPr id="18540" name="Picture 1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00040" cy="8589137"/>
                    </a:xfrm>
                    <a:prstGeom prst="rect">
                      <a:avLst/>
                    </a:prstGeom>
                  </pic:spPr>
                </pic:pic>
              </a:graphicData>
            </a:graphic>
          </wp:inline>
        </w:drawing>
      </w:r>
    </w:p>
    <w:p w:rsidR="005F2AEA" w:rsidRDefault="005F2AEA" w:rsidP="00900F2C">
      <w:pPr>
        <w:rPr>
          <w:rFonts w:ascii="Arial" w:hAnsi="Arial" w:cs="Arial"/>
        </w:rPr>
      </w:pPr>
    </w:p>
    <w:p w:rsidR="00F90F64" w:rsidRDefault="00F90F64" w:rsidP="00900F2C">
      <w:pPr>
        <w:rPr>
          <w:rFonts w:ascii="Arial" w:hAnsi="Arial" w:cs="Arial"/>
        </w:rPr>
      </w:pPr>
      <w:r w:rsidRPr="00F90F64">
        <w:rPr>
          <w:noProof/>
          <w:lang w:eastAsia="zh-CN"/>
        </w:rPr>
        <w:lastRenderedPageBreak/>
        <w:drawing>
          <wp:inline distT="0" distB="0" distL="0" distR="0" wp14:anchorId="729BB663" wp14:editId="16CB6383">
            <wp:extent cx="5731510" cy="9222105"/>
            <wp:effectExtent l="0" t="0" r="2540" b="0"/>
            <wp:docPr id="18559" name="Picture 1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31510" cy="9222105"/>
                    </a:xfrm>
                    <a:prstGeom prst="rect">
                      <a:avLst/>
                    </a:prstGeom>
                  </pic:spPr>
                </pic:pic>
              </a:graphicData>
            </a:graphic>
          </wp:inline>
        </w:drawing>
      </w:r>
    </w:p>
    <w:p w:rsidR="00F90F64" w:rsidRDefault="00F90F64" w:rsidP="00900F2C">
      <w:pPr>
        <w:rPr>
          <w:rFonts w:ascii="Arial" w:hAnsi="Arial" w:cs="Arial"/>
        </w:rPr>
      </w:pPr>
      <w:r w:rsidRPr="00F90F64">
        <w:rPr>
          <w:noProof/>
          <w:lang w:eastAsia="zh-CN"/>
        </w:rPr>
        <w:lastRenderedPageBreak/>
        <w:drawing>
          <wp:inline distT="0" distB="0" distL="0" distR="0" wp14:anchorId="52D4BB74" wp14:editId="4B57B29D">
            <wp:extent cx="5731510" cy="9034780"/>
            <wp:effectExtent l="0" t="0" r="2540" b="0"/>
            <wp:docPr id="18560" name="Picture 1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31510" cy="9034780"/>
                    </a:xfrm>
                    <a:prstGeom prst="rect">
                      <a:avLst/>
                    </a:prstGeom>
                  </pic:spPr>
                </pic:pic>
              </a:graphicData>
            </a:graphic>
          </wp:inline>
        </w:drawing>
      </w:r>
    </w:p>
    <w:p w:rsidR="00F90F64" w:rsidRDefault="00F90F64" w:rsidP="00900F2C">
      <w:pPr>
        <w:rPr>
          <w:rFonts w:ascii="Arial" w:hAnsi="Arial" w:cs="Arial"/>
        </w:rPr>
      </w:pPr>
    </w:p>
    <w:p w:rsidR="00F90F64" w:rsidRDefault="00F90F64" w:rsidP="00900F2C">
      <w:pPr>
        <w:rPr>
          <w:rFonts w:ascii="Arial" w:hAnsi="Arial" w:cs="Arial"/>
        </w:rPr>
      </w:pPr>
      <w:r>
        <w:rPr>
          <w:rFonts w:ascii="Arial" w:hAnsi="Arial" w:cs="Arial"/>
        </w:rPr>
        <w:lastRenderedPageBreak/>
        <w:t>Appendices 1.2: Osteoclacin Kit Insert</w:t>
      </w:r>
    </w:p>
    <w:p w:rsidR="00F90F64" w:rsidRDefault="00F90F64" w:rsidP="00900F2C">
      <w:pPr>
        <w:rPr>
          <w:rFonts w:ascii="Arial" w:hAnsi="Arial" w:cs="Arial"/>
        </w:rPr>
      </w:pPr>
      <w:r w:rsidRPr="00F90F64">
        <w:rPr>
          <w:noProof/>
          <w:lang w:eastAsia="zh-CN"/>
        </w:rPr>
        <w:drawing>
          <wp:inline distT="0" distB="0" distL="0" distR="0" wp14:anchorId="4A046975" wp14:editId="6B81ED46">
            <wp:extent cx="5731510" cy="8632190"/>
            <wp:effectExtent l="0" t="0" r="2540" b="0"/>
            <wp:docPr id="18562" name="Picture 1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31510" cy="8632190"/>
                    </a:xfrm>
                    <a:prstGeom prst="rect">
                      <a:avLst/>
                    </a:prstGeom>
                  </pic:spPr>
                </pic:pic>
              </a:graphicData>
            </a:graphic>
          </wp:inline>
        </w:drawing>
      </w:r>
    </w:p>
    <w:p w:rsidR="00F90F64" w:rsidRDefault="00F90F64" w:rsidP="00900F2C">
      <w:pPr>
        <w:rPr>
          <w:rFonts w:ascii="Arial" w:hAnsi="Arial" w:cs="Arial"/>
        </w:rPr>
      </w:pPr>
      <w:r w:rsidRPr="00F90F64">
        <w:rPr>
          <w:noProof/>
          <w:lang w:eastAsia="zh-CN"/>
        </w:rPr>
        <w:lastRenderedPageBreak/>
        <w:drawing>
          <wp:inline distT="0" distB="0" distL="0" distR="0" wp14:anchorId="05FFF020" wp14:editId="530FD6AA">
            <wp:extent cx="5731510" cy="9308465"/>
            <wp:effectExtent l="0" t="0" r="2540" b="6985"/>
            <wp:docPr id="18570" name="Picture 1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31510" cy="9308465"/>
                    </a:xfrm>
                    <a:prstGeom prst="rect">
                      <a:avLst/>
                    </a:prstGeom>
                  </pic:spPr>
                </pic:pic>
              </a:graphicData>
            </a:graphic>
          </wp:inline>
        </w:drawing>
      </w:r>
    </w:p>
    <w:p w:rsidR="00F90F64" w:rsidRDefault="00F90F64" w:rsidP="00900F2C">
      <w:pPr>
        <w:rPr>
          <w:rFonts w:ascii="Arial" w:hAnsi="Arial" w:cs="Arial"/>
        </w:rPr>
      </w:pPr>
      <w:r w:rsidRPr="00F90F64">
        <w:rPr>
          <w:noProof/>
          <w:lang w:eastAsia="zh-CN"/>
        </w:rPr>
        <w:lastRenderedPageBreak/>
        <w:drawing>
          <wp:inline distT="0" distB="0" distL="0" distR="0" wp14:anchorId="357A74B2" wp14:editId="32392AB3">
            <wp:extent cx="5731510" cy="8952230"/>
            <wp:effectExtent l="0" t="0" r="2540" b="1270"/>
            <wp:docPr id="18580" name="Picture 1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31510" cy="8952230"/>
                    </a:xfrm>
                    <a:prstGeom prst="rect">
                      <a:avLst/>
                    </a:prstGeom>
                  </pic:spPr>
                </pic:pic>
              </a:graphicData>
            </a:graphic>
          </wp:inline>
        </w:drawing>
      </w:r>
    </w:p>
    <w:p w:rsidR="00F90F64" w:rsidRDefault="00F90F64" w:rsidP="00900F2C">
      <w:pPr>
        <w:rPr>
          <w:rFonts w:ascii="Arial" w:hAnsi="Arial" w:cs="Arial"/>
        </w:rPr>
      </w:pPr>
      <w:r w:rsidRPr="00F90F64">
        <w:rPr>
          <w:noProof/>
          <w:lang w:eastAsia="zh-CN"/>
        </w:rPr>
        <w:lastRenderedPageBreak/>
        <w:drawing>
          <wp:inline distT="0" distB="0" distL="0" distR="0" wp14:anchorId="402DF1B2" wp14:editId="73EC12B5">
            <wp:extent cx="2789840" cy="4219575"/>
            <wp:effectExtent l="0" t="0" r="0" b="0"/>
            <wp:docPr id="18582" name="Picture 1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97295" cy="4230850"/>
                    </a:xfrm>
                    <a:prstGeom prst="rect">
                      <a:avLst/>
                    </a:prstGeom>
                  </pic:spPr>
                </pic:pic>
              </a:graphicData>
            </a:graphic>
          </wp:inline>
        </w:drawing>
      </w: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p>
    <w:p w:rsidR="00F90F64" w:rsidRDefault="00F90F64" w:rsidP="00900F2C">
      <w:pPr>
        <w:rPr>
          <w:rFonts w:ascii="Arial" w:hAnsi="Arial" w:cs="Arial"/>
        </w:rPr>
      </w:pPr>
      <w:r>
        <w:rPr>
          <w:rFonts w:ascii="Arial" w:hAnsi="Arial" w:cs="Arial"/>
        </w:rPr>
        <w:lastRenderedPageBreak/>
        <w:t>Appendices 1.3: Bone ALP Kit Insert</w:t>
      </w:r>
    </w:p>
    <w:p w:rsidR="0000562E" w:rsidRDefault="0000562E" w:rsidP="00900F2C">
      <w:pPr>
        <w:rPr>
          <w:rFonts w:ascii="Arial" w:hAnsi="Arial" w:cs="Arial"/>
        </w:rPr>
      </w:pPr>
      <w:r w:rsidRPr="0000562E">
        <w:rPr>
          <w:noProof/>
          <w:lang w:eastAsia="zh-CN"/>
        </w:rPr>
        <w:drawing>
          <wp:inline distT="0" distB="0" distL="0" distR="0" wp14:anchorId="25822591" wp14:editId="354AB993">
            <wp:extent cx="5731510" cy="8966200"/>
            <wp:effectExtent l="0" t="0" r="2540" b="6350"/>
            <wp:docPr id="18584" name="Picture 1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31510" cy="8966200"/>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0A7139C8" wp14:editId="715F4246">
            <wp:extent cx="5731510" cy="8913495"/>
            <wp:effectExtent l="0" t="0" r="2540" b="1905"/>
            <wp:docPr id="18585" name="Picture 1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31510" cy="8913495"/>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49375578" wp14:editId="79CEE7AC">
            <wp:extent cx="5731510" cy="9298940"/>
            <wp:effectExtent l="0" t="0" r="2540" b="0"/>
            <wp:docPr id="18586" name="Picture 1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31510" cy="9298940"/>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133E9A79" wp14:editId="17979034">
            <wp:extent cx="3178282" cy="9448800"/>
            <wp:effectExtent l="0" t="0" r="3175" b="0"/>
            <wp:docPr id="18599" name="Picture 1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182167" cy="9460350"/>
                    </a:xfrm>
                    <a:prstGeom prst="rect">
                      <a:avLst/>
                    </a:prstGeom>
                  </pic:spPr>
                </pic:pic>
              </a:graphicData>
            </a:graphic>
          </wp:inline>
        </w:drawing>
      </w:r>
    </w:p>
    <w:p w:rsidR="0000562E" w:rsidRDefault="0000562E" w:rsidP="00900F2C">
      <w:pPr>
        <w:rPr>
          <w:rFonts w:ascii="Arial" w:hAnsi="Arial" w:cs="Arial"/>
        </w:rPr>
      </w:pPr>
    </w:p>
    <w:p w:rsidR="0000562E" w:rsidRDefault="0000562E" w:rsidP="00900F2C">
      <w:pPr>
        <w:rPr>
          <w:rFonts w:ascii="Arial" w:hAnsi="Arial" w:cs="Arial"/>
        </w:rPr>
      </w:pPr>
      <w:r>
        <w:rPr>
          <w:rFonts w:ascii="Arial" w:hAnsi="Arial" w:cs="Arial"/>
        </w:rPr>
        <w:t>Appendices 1.4: Sclerostin Kit Insert</w:t>
      </w:r>
    </w:p>
    <w:p w:rsidR="0000562E" w:rsidRDefault="0000562E" w:rsidP="00900F2C">
      <w:pPr>
        <w:rPr>
          <w:rFonts w:ascii="Arial" w:hAnsi="Arial" w:cs="Arial"/>
        </w:rPr>
      </w:pPr>
      <w:r w:rsidRPr="0000562E">
        <w:rPr>
          <w:noProof/>
          <w:lang w:eastAsia="zh-CN"/>
        </w:rPr>
        <w:drawing>
          <wp:inline distT="0" distB="0" distL="0" distR="0" wp14:anchorId="5C9CE99C" wp14:editId="55567F00">
            <wp:extent cx="5731510" cy="5821045"/>
            <wp:effectExtent l="0" t="0" r="2540" b="8255"/>
            <wp:docPr id="18643" name="Picture 1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31510" cy="5821045"/>
                    </a:xfrm>
                    <a:prstGeom prst="rect">
                      <a:avLst/>
                    </a:prstGeom>
                  </pic:spPr>
                </pic:pic>
              </a:graphicData>
            </a:graphic>
          </wp:inline>
        </w:drawing>
      </w:r>
    </w:p>
    <w:p w:rsidR="00F90F64" w:rsidRDefault="0000562E" w:rsidP="00900F2C">
      <w:pPr>
        <w:rPr>
          <w:rFonts w:ascii="Arial" w:hAnsi="Arial" w:cs="Arial"/>
        </w:rPr>
      </w:pPr>
      <w:r w:rsidRPr="0000562E">
        <w:rPr>
          <w:noProof/>
          <w:lang w:eastAsia="zh-CN"/>
        </w:rPr>
        <w:lastRenderedPageBreak/>
        <w:drawing>
          <wp:inline distT="0" distB="0" distL="0" distR="0" wp14:anchorId="06497E88" wp14:editId="35595D63">
            <wp:extent cx="5731510" cy="5820410"/>
            <wp:effectExtent l="0" t="0" r="2540" b="8890"/>
            <wp:docPr id="18664" name="Picture 1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31510" cy="5820410"/>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26D7E11C" wp14:editId="0ADE32E0">
            <wp:extent cx="5731510" cy="5554980"/>
            <wp:effectExtent l="0" t="0" r="2540" b="7620"/>
            <wp:docPr id="18671" name="Picture 1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31510" cy="5554980"/>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0D87CC40" wp14:editId="56BB1E3F">
            <wp:extent cx="5731510" cy="5484495"/>
            <wp:effectExtent l="0" t="0" r="2540" b="1905"/>
            <wp:docPr id="18672" name="Picture 1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31510" cy="5484495"/>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7C403D67" wp14:editId="24B6FC49">
            <wp:extent cx="5731510" cy="5150485"/>
            <wp:effectExtent l="0" t="0" r="2540" b="0"/>
            <wp:docPr id="18673" name="Picture 1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31510" cy="5150485"/>
                    </a:xfrm>
                    <a:prstGeom prst="rect">
                      <a:avLst/>
                    </a:prstGeom>
                  </pic:spPr>
                </pic:pic>
              </a:graphicData>
            </a:graphic>
          </wp:inline>
        </w:drawing>
      </w:r>
    </w:p>
    <w:p w:rsidR="0000562E" w:rsidRDefault="0000562E" w:rsidP="00900F2C">
      <w:pPr>
        <w:rPr>
          <w:rFonts w:ascii="Arial" w:hAnsi="Arial" w:cs="Arial"/>
        </w:rPr>
      </w:pPr>
      <w:r w:rsidRPr="0000562E">
        <w:rPr>
          <w:noProof/>
          <w:lang w:eastAsia="zh-CN"/>
        </w:rPr>
        <w:lastRenderedPageBreak/>
        <w:drawing>
          <wp:inline distT="0" distB="0" distL="0" distR="0" wp14:anchorId="68439F74" wp14:editId="12B078AE">
            <wp:extent cx="3346545" cy="6696075"/>
            <wp:effectExtent l="0" t="0" r="6350" b="0"/>
            <wp:docPr id="18674" name="Picture 1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349401" cy="6701790"/>
                    </a:xfrm>
                    <a:prstGeom prst="rect">
                      <a:avLst/>
                    </a:prstGeom>
                  </pic:spPr>
                </pic:pic>
              </a:graphicData>
            </a:graphic>
          </wp:inline>
        </w:drawing>
      </w: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p>
    <w:p w:rsidR="00627CD8" w:rsidRDefault="00627CD8" w:rsidP="00900F2C">
      <w:pPr>
        <w:rPr>
          <w:rFonts w:ascii="Arial" w:hAnsi="Arial" w:cs="Arial"/>
        </w:rPr>
      </w:pPr>
      <w:r>
        <w:rPr>
          <w:rFonts w:ascii="Arial" w:hAnsi="Arial" w:cs="Arial"/>
        </w:rPr>
        <w:lastRenderedPageBreak/>
        <w:t>Appendices 1.5: NTX Kit Insert</w:t>
      </w:r>
    </w:p>
    <w:p w:rsidR="00627CD8" w:rsidRDefault="00627CD8" w:rsidP="00900F2C">
      <w:pPr>
        <w:rPr>
          <w:rFonts w:ascii="Arial" w:hAnsi="Arial" w:cs="Arial"/>
        </w:rPr>
      </w:pPr>
      <w:r w:rsidRPr="00627CD8">
        <w:rPr>
          <w:noProof/>
          <w:lang w:eastAsia="zh-CN"/>
        </w:rPr>
        <w:drawing>
          <wp:inline distT="0" distB="0" distL="0" distR="0" wp14:anchorId="7B387B33" wp14:editId="71FD128B">
            <wp:extent cx="5731510" cy="5116195"/>
            <wp:effectExtent l="0" t="0" r="2540" b="8255"/>
            <wp:docPr id="18675" name="Picture 1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31510" cy="511619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3D50C779" wp14:editId="1D27DD38">
            <wp:extent cx="5731510" cy="4436745"/>
            <wp:effectExtent l="0" t="0" r="2540" b="1905"/>
            <wp:docPr id="18676" name="Picture 1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731510" cy="443674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drawing>
          <wp:inline distT="0" distB="0" distL="0" distR="0" wp14:anchorId="35B54BEE" wp14:editId="17EDA4AE">
            <wp:extent cx="5731510" cy="4547235"/>
            <wp:effectExtent l="0" t="0" r="2540" b="5715"/>
            <wp:docPr id="18677" name="Picture 1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31510" cy="454723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4A90C78B" wp14:editId="5D749255">
            <wp:extent cx="5731510" cy="4684395"/>
            <wp:effectExtent l="0" t="0" r="2540" b="1905"/>
            <wp:docPr id="18678" name="Picture 1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31510" cy="468439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626B6DBE" wp14:editId="087C1E92">
            <wp:extent cx="5731510" cy="4733925"/>
            <wp:effectExtent l="0" t="0" r="2540" b="9525"/>
            <wp:docPr id="18679" name="Picture 1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31510" cy="473392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23491AB0" wp14:editId="7ACF1763">
            <wp:extent cx="5731510" cy="5034280"/>
            <wp:effectExtent l="0" t="0" r="2540" b="0"/>
            <wp:docPr id="18681" name="Picture 1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31510" cy="5034280"/>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4163CEBE" wp14:editId="21B5F80C">
            <wp:extent cx="5731510" cy="4943475"/>
            <wp:effectExtent l="0" t="0" r="2540" b="9525"/>
            <wp:docPr id="18682" name="Picture 1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31510" cy="4943475"/>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79B2CCDE" wp14:editId="33CAA299">
            <wp:extent cx="5731510" cy="4813300"/>
            <wp:effectExtent l="0" t="0" r="2540" b="6350"/>
            <wp:docPr id="18684" name="Picture 1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31510" cy="4813300"/>
                    </a:xfrm>
                    <a:prstGeom prst="rect">
                      <a:avLst/>
                    </a:prstGeom>
                  </pic:spPr>
                </pic:pic>
              </a:graphicData>
            </a:graphic>
          </wp:inline>
        </w:drawing>
      </w: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765DEA" w:rsidRDefault="00765DEA" w:rsidP="00900F2C">
      <w:pPr>
        <w:rPr>
          <w:rFonts w:ascii="Arial" w:hAnsi="Arial" w:cs="Arial"/>
        </w:rPr>
      </w:pPr>
    </w:p>
    <w:p w:rsidR="00627CD8" w:rsidRDefault="00627CD8" w:rsidP="00900F2C">
      <w:pPr>
        <w:rPr>
          <w:rFonts w:ascii="Arial" w:hAnsi="Arial" w:cs="Arial"/>
        </w:rPr>
      </w:pPr>
      <w:r>
        <w:rPr>
          <w:rFonts w:ascii="Arial" w:hAnsi="Arial" w:cs="Arial"/>
        </w:rPr>
        <w:lastRenderedPageBreak/>
        <w:t>Appendices 1.6: Creatinine Kit Insert</w:t>
      </w:r>
    </w:p>
    <w:p w:rsidR="00627CD8" w:rsidRDefault="00627CD8" w:rsidP="00900F2C">
      <w:pPr>
        <w:rPr>
          <w:rFonts w:ascii="Arial" w:hAnsi="Arial" w:cs="Arial"/>
        </w:rPr>
      </w:pPr>
      <w:r w:rsidRPr="00627CD8">
        <w:rPr>
          <w:noProof/>
          <w:lang w:eastAsia="zh-CN"/>
        </w:rPr>
        <w:drawing>
          <wp:inline distT="0" distB="0" distL="0" distR="0" wp14:anchorId="2D177CAA" wp14:editId="35E81279">
            <wp:extent cx="5512586" cy="5753100"/>
            <wp:effectExtent l="0" t="0" r="0" b="0"/>
            <wp:docPr id="18686" name="Picture 1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523911" cy="5764919"/>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214C20C8" wp14:editId="6753CA11">
            <wp:extent cx="5731510" cy="7659370"/>
            <wp:effectExtent l="0" t="0" r="2540" b="0"/>
            <wp:docPr id="18752" name="Picture 1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31510" cy="7659370"/>
                    </a:xfrm>
                    <a:prstGeom prst="rect">
                      <a:avLst/>
                    </a:prstGeom>
                  </pic:spPr>
                </pic:pic>
              </a:graphicData>
            </a:graphic>
          </wp:inline>
        </w:drawing>
      </w:r>
    </w:p>
    <w:p w:rsidR="00627CD8" w:rsidRDefault="00627CD8" w:rsidP="00900F2C">
      <w:pPr>
        <w:rPr>
          <w:rFonts w:ascii="Arial" w:hAnsi="Arial" w:cs="Arial"/>
        </w:rPr>
      </w:pPr>
      <w:r w:rsidRPr="00627CD8">
        <w:rPr>
          <w:noProof/>
          <w:lang w:eastAsia="zh-CN"/>
        </w:rPr>
        <w:lastRenderedPageBreak/>
        <w:drawing>
          <wp:inline distT="0" distB="0" distL="0" distR="0" wp14:anchorId="109EE448" wp14:editId="5C386302">
            <wp:extent cx="5731510" cy="6901815"/>
            <wp:effectExtent l="0" t="0" r="2540" b="0"/>
            <wp:docPr id="18753" name="Picture 1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31510" cy="6901815"/>
                    </a:xfrm>
                    <a:prstGeom prst="rect">
                      <a:avLst/>
                    </a:prstGeom>
                  </pic:spPr>
                </pic:pic>
              </a:graphicData>
            </a:graphic>
          </wp:inline>
        </w:drawing>
      </w:r>
    </w:p>
    <w:p w:rsidR="008F1AA2" w:rsidRDefault="008F1AA2" w:rsidP="00900F2C">
      <w:pPr>
        <w:rPr>
          <w:rFonts w:ascii="Arial" w:hAnsi="Arial" w:cs="Arial"/>
        </w:rPr>
      </w:pPr>
      <w:r w:rsidRPr="008F1AA2">
        <w:rPr>
          <w:noProof/>
          <w:lang w:eastAsia="zh-CN"/>
        </w:rPr>
        <w:lastRenderedPageBreak/>
        <w:drawing>
          <wp:inline distT="0" distB="0" distL="0" distR="0" wp14:anchorId="26DF7FAC" wp14:editId="77403A28">
            <wp:extent cx="5731510" cy="5465445"/>
            <wp:effectExtent l="0" t="0" r="2540" b="1905"/>
            <wp:docPr id="18756" name="Picture 1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31510" cy="5465445"/>
                    </a:xfrm>
                    <a:prstGeom prst="rect">
                      <a:avLst/>
                    </a:prstGeom>
                  </pic:spPr>
                </pic:pic>
              </a:graphicData>
            </a:graphic>
          </wp:inline>
        </w:drawing>
      </w:r>
      <w:r w:rsidRPr="008F1AA2">
        <w:rPr>
          <w:noProof/>
          <w:lang w:eastAsia="en-GB"/>
        </w:rPr>
        <w:t xml:space="preserve"> </w:t>
      </w:r>
    </w:p>
    <w:p w:rsidR="00B841D6" w:rsidRDefault="00B841D6"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066E61" w:rsidRDefault="00066E61" w:rsidP="00900F2C">
      <w:pPr>
        <w:rPr>
          <w:rFonts w:ascii="Arial" w:hAnsi="Arial" w:cs="Arial"/>
        </w:rPr>
      </w:pPr>
    </w:p>
    <w:p w:rsidR="00FE5129" w:rsidRDefault="00FE5129" w:rsidP="00066E61">
      <w:pPr>
        <w:rPr>
          <w:rFonts w:ascii="Arial" w:hAnsi="Arial" w:cs="Arial"/>
        </w:rPr>
      </w:pPr>
    </w:p>
    <w:p w:rsidR="00066E61" w:rsidRDefault="00066E61" w:rsidP="00066E61">
      <w:pPr>
        <w:rPr>
          <w:rFonts w:ascii="Arial" w:hAnsi="Arial" w:cs="Arial"/>
        </w:rPr>
      </w:pPr>
      <w:r>
        <w:rPr>
          <w:rFonts w:ascii="Arial" w:hAnsi="Arial" w:cs="Arial"/>
        </w:rPr>
        <w:lastRenderedPageBreak/>
        <w:t>Appendices 2: Published papers</w:t>
      </w:r>
    </w:p>
    <w:p w:rsidR="00066E61" w:rsidRDefault="00066E61" w:rsidP="00066E61">
      <w:pPr>
        <w:rPr>
          <w:rFonts w:ascii="Arial" w:hAnsi="Arial" w:cs="Arial"/>
        </w:rPr>
      </w:pPr>
      <w:r>
        <w:rPr>
          <w:rFonts w:ascii="Arial" w:hAnsi="Arial" w:cs="Arial"/>
        </w:rPr>
        <w:t>The following is a list of published papers that have originated from the research within my thesis:</w:t>
      </w:r>
    </w:p>
    <w:p w:rsidR="00066E61" w:rsidRDefault="00066E61" w:rsidP="00066E61">
      <w:pPr>
        <w:pStyle w:val="ListParagraph"/>
        <w:numPr>
          <w:ilvl w:val="0"/>
          <w:numId w:val="45"/>
        </w:numPr>
        <w:rPr>
          <w:rFonts w:ascii="Arial" w:hAnsi="Arial" w:cs="Arial"/>
        </w:rPr>
      </w:pPr>
      <w:r w:rsidRPr="00435D94">
        <w:rPr>
          <w:rFonts w:ascii="Arial" w:hAnsi="Arial" w:cs="Arial"/>
        </w:rPr>
        <w:t>Establishing reference intervals for bone turnover markers in healthy postmenopausal women in a non-fasting state. Gossiel F, Finigan J, Jacques R, Reid D, Felsenberg D, Roux C, Glueer C, Eastell R. Bonekey Rep. 2014 Sep 3;3:573.</w:t>
      </w:r>
    </w:p>
    <w:p w:rsidR="00066E61" w:rsidRPr="00435D94" w:rsidRDefault="00066E61" w:rsidP="00066E61">
      <w:pPr>
        <w:pStyle w:val="ListParagraph"/>
        <w:rPr>
          <w:rFonts w:ascii="Arial" w:hAnsi="Arial" w:cs="Arial"/>
        </w:rPr>
      </w:pPr>
    </w:p>
    <w:p w:rsidR="00066E61" w:rsidRDefault="00066E61" w:rsidP="00066E61">
      <w:pPr>
        <w:pStyle w:val="ListParagraph"/>
        <w:numPr>
          <w:ilvl w:val="0"/>
          <w:numId w:val="45"/>
        </w:numPr>
        <w:spacing w:line="240" w:lineRule="auto"/>
        <w:rPr>
          <w:rFonts w:ascii="Arial" w:hAnsi="Arial" w:cs="Arial"/>
        </w:rPr>
      </w:pPr>
      <w:r w:rsidRPr="00435D94">
        <w:rPr>
          <w:rFonts w:ascii="Arial" w:hAnsi="Arial" w:cs="Arial"/>
        </w:rPr>
        <w:t>Bone turnover markers after the menopause: T-score approach. Gossiel F, Altaher H, Reid DM, Roux C, Felsenberg D, Glüer CC, Eastell R. Bone. 2018 Jun</w:t>
      </w:r>
      <w:proofErr w:type="gramStart"/>
      <w:r w:rsidRPr="00435D94">
        <w:rPr>
          <w:rFonts w:ascii="Arial" w:hAnsi="Arial" w:cs="Arial"/>
        </w:rPr>
        <w:t>;111:44</w:t>
      </w:r>
      <w:proofErr w:type="gramEnd"/>
      <w:r w:rsidRPr="00435D94">
        <w:rPr>
          <w:rFonts w:ascii="Arial" w:hAnsi="Arial" w:cs="Arial"/>
        </w:rPr>
        <w:t>-48.</w:t>
      </w:r>
    </w:p>
    <w:p w:rsidR="00066E61" w:rsidRPr="00291551" w:rsidRDefault="00066E61" w:rsidP="00066E61">
      <w:pPr>
        <w:pStyle w:val="ListParagraph"/>
        <w:spacing w:line="240" w:lineRule="auto"/>
        <w:rPr>
          <w:rFonts w:ascii="Arial" w:hAnsi="Arial" w:cs="Arial"/>
        </w:rPr>
      </w:pPr>
    </w:p>
    <w:p w:rsidR="00066E61" w:rsidRPr="00291551" w:rsidRDefault="00066E61" w:rsidP="00066E61">
      <w:pPr>
        <w:pStyle w:val="ListParagraph"/>
        <w:spacing w:line="240" w:lineRule="auto"/>
        <w:rPr>
          <w:rFonts w:ascii="Arial" w:hAnsi="Arial" w:cs="Arial"/>
        </w:rPr>
      </w:pPr>
    </w:p>
    <w:p w:rsidR="00066E61" w:rsidRDefault="00066E61" w:rsidP="00066E61">
      <w:pPr>
        <w:pStyle w:val="ListParagraph"/>
        <w:numPr>
          <w:ilvl w:val="0"/>
          <w:numId w:val="45"/>
        </w:numPr>
        <w:spacing w:line="240" w:lineRule="auto"/>
        <w:rPr>
          <w:rFonts w:ascii="Arial" w:hAnsi="Arial" w:cs="Arial"/>
        </w:rPr>
      </w:pPr>
      <w:r w:rsidRPr="00435D94">
        <w:rPr>
          <w:rFonts w:ascii="Arial" w:hAnsi="Arial" w:cs="Arial"/>
        </w:rPr>
        <w:t>The effect of bisphosphosphonates on bone turnover and bone balance in postmenopausal women with osteoporosis: The T-score bone marker approach in the TRIO study. Gossiel F, Paggiosi MA, Naylor KE, McCloskey EV, Walsh J, Peel N, Eastell R. Bone. 2020 Feb</w:t>
      </w:r>
      <w:proofErr w:type="gramStart"/>
      <w:r w:rsidRPr="00435D94">
        <w:rPr>
          <w:rFonts w:ascii="Arial" w:hAnsi="Arial" w:cs="Arial"/>
        </w:rPr>
        <w:t>;131:115158</w:t>
      </w:r>
      <w:proofErr w:type="gramEnd"/>
      <w:r w:rsidRPr="00435D94">
        <w:rPr>
          <w:rFonts w:ascii="Arial" w:hAnsi="Arial" w:cs="Arial"/>
        </w:rPr>
        <w:t>.</w:t>
      </w:r>
    </w:p>
    <w:p w:rsidR="00640090" w:rsidRDefault="00640090" w:rsidP="00640090">
      <w:pPr>
        <w:pStyle w:val="ListParagraph"/>
        <w:spacing w:line="240" w:lineRule="auto"/>
        <w:rPr>
          <w:rFonts w:ascii="Arial" w:hAnsi="Arial" w:cs="Arial"/>
        </w:rPr>
      </w:pPr>
    </w:p>
    <w:p w:rsidR="00FE5129" w:rsidRPr="00640090" w:rsidRDefault="00640090" w:rsidP="00640090">
      <w:pPr>
        <w:pStyle w:val="ListParagraph"/>
        <w:numPr>
          <w:ilvl w:val="0"/>
          <w:numId w:val="45"/>
        </w:numPr>
        <w:spacing w:line="240" w:lineRule="auto"/>
        <w:rPr>
          <w:rFonts w:ascii="Arial" w:hAnsi="Arial" w:cs="Arial"/>
        </w:rPr>
      </w:pPr>
      <w:r w:rsidRPr="00640090">
        <w:rPr>
          <w:rFonts w:ascii="Arial" w:hAnsi="Arial" w:cs="Arial"/>
          <w:lang w:val="it-IT"/>
        </w:rPr>
        <w:t xml:space="preserve">Response to letter relating to Gossiel F, Paggiosi MA, Naylor KE, et al. </w:t>
      </w:r>
      <w:r w:rsidRPr="00640090">
        <w:rPr>
          <w:rFonts w:ascii="Arial" w:hAnsi="Arial" w:cs="Arial"/>
        </w:rPr>
        <w:t>The effect of bisphosphosphonates on bone turnover and bone balance in postmenopausal women with osteoporosis: the T-score bone ma</w:t>
      </w:r>
      <w:r>
        <w:rPr>
          <w:rFonts w:ascii="Arial" w:hAnsi="Arial" w:cs="Arial"/>
        </w:rPr>
        <w:t xml:space="preserve">rker approach in the TRIO study. </w:t>
      </w:r>
      <w:r w:rsidRPr="00640090">
        <w:rPr>
          <w:rFonts w:ascii="Arial" w:hAnsi="Arial" w:cs="Arial"/>
        </w:rPr>
        <w:t>F Gossiel and</w:t>
      </w:r>
      <w:r>
        <w:rPr>
          <w:rFonts w:ascii="Arial" w:hAnsi="Arial" w:cs="Arial"/>
        </w:rPr>
        <w:t xml:space="preserve"> R Eastell. </w:t>
      </w:r>
      <w:r w:rsidR="00FE5129" w:rsidRPr="00640090">
        <w:rPr>
          <w:rFonts w:ascii="Arial" w:hAnsi="Arial" w:cs="Arial"/>
        </w:rPr>
        <w:t xml:space="preserve">Bone  2020 Aug;137:115430 </w:t>
      </w:r>
    </w:p>
    <w:p w:rsidR="00066E61" w:rsidRPr="00435D94" w:rsidRDefault="00066E61" w:rsidP="00066E61">
      <w:pPr>
        <w:pStyle w:val="ListParagraph"/>
        <w:rPr>
          <w:rFonts w:ascii="Arial" w:hAnsi="Arial" w:cs="Arial"/>
        </w:rPr>
      </w:pPr>
    </w:p>
    <w:p w:rsidR="00066E61" w:rsidRPr="00435D94" w:rsidRDefault="00066E61" w:rsidP="00066E61">
      <w:pPr>
        <w:pStyle w:val="ListParagraph"/>
        <w:numPr>
          <w:ilvl w:val="0"/>
          <w:numId w:val="45"/>
        </w:numPr>
        <w:rPr>
          <w:rFonts w:ascii="Arial" w:hAnsi="Arial" w:cs="Arial"/>
        </w:rPr>
      </w:pPr>
      <w:r w:rsidRPr="00435D94">
        <w:rPr>
          <w:rFonts w:ascii="Arial" w:hAnsi="Arial" w:cs="Arial"/>
        </w:rPr>
        <w:t>The effect of bisphosphonate treatment on osteoclast precursor cells in postmenopausal osteoporosis: The TRIO study. Gossiel F, Hoyle C, McCloskey EV, Naylor KE, Walsh J, Peel N, Eastell R. Bone. 2016 Nov;92:94-99</w:t>
      </w:r>
    </w:p>
    <w:p w:rsidR="00066E61" w:rsidRDefault="00066E61" w:rsidP="00066E61">
      <w:pPr>
        <w:rPr>
          <w:rFonts w:ascii="Arial" w:hAnsi="Arial" w:cs="Arial"/>
        </w:rPr>
      </w:pPr>
    </w:p>
    <w:p w:rsidR="00066E61" w:rsidRPr="00102AFE" w:rsidRDefault="00066E61" w:rsidP="00900F2C">
      <w:pPr>
        <w:rPr>
          <w:rFonts w:ascii="Arial" w:hAnsi="Arial" w:cs="Arial"/>
        </w:rPr>
      </w:pPr>
    </w:p>
    <w:sectPr w:rsidR="00066E61" w:rsidRPr="00102AFE" w:rsidSect="00035EA8">
      <w:footerReference w:type="default" r:id="rId229"/>
      <w:pgSz w:w="11906" w:h="16838"/>
      <w:pgMar w:top="851" w:right="1134" w:bottom="284"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32B5" w:rsidRDefault="008432B5" w:rsidP="00FF6E13">
      <w:pPr>
        <w:spacing w:after="0" w:line="240" w:lineRule="auto"/>
      </w:pPr>
      <w:r>
        <w:separator/>
      </w:r>
    </w:p>
  </w:endnote>
  <w:endnote w:type="continuationSeparator" w:id="0">
    <w:p w:rsidR="008432B5" w:rsidRDefault="008432B5" w:rsidP="00FF6E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UOS Blake">
    <w:altName w:val="Corbel"/>
    <w:panose1 w:val="020B0503040000020004"/>
    <w:charset w:val="00"/>
    <w:family w:val="swiss"/>
    <w:pitch w:val="variable"/>
    <w:sig w:usb0="8000002F" w:usb1="4000004A" w:usb2="00000000" w:usb3="00000000" w:csb0="00000011" w:csb1="00000000"/>
  </w:font>
  <w:font w:name="Cambria Math">
    <w:panose1 w:val="02040503050406030204"/>
    <w:charset w:val="00"/>
    <w:family w:val="roman"/>
    <w:pitch w:val="variable"/>
    <w:sig w:usb0="E00006FF" w:usb1="420024FF" w:usb2="02000000" w:usb3="00000000" w:csb0="0000019F" w:csb1="00000000"/>
  </w:font>
  <w:font w:name="CMR1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641817"/>
      <w:docPartObj>
        <w:docPartGallery w:val="Page Numbers (Bottom of Page)"/>
        <w:docPartUnique/>
      </w:docPartObj>
    </w:sdtPr>
    <w:sdtEndPr>
      <w:rPr>
        <w:noProof/>
      </w:rPr>
    </w:sdtEndPr>
    <w:sdtContent>
      <w:p w:rsidR="004166BC" w:rsidRDefault="004166BC">
        <w:pPr>
          <w:pStyle w:val="Footer"/>
          <w:jc w:val="center"/>
        </w:pPr>
        <w:r>
          <w:fldChar w:fldCharType="begin"/>
        </w:r>
        <w:r>
          <w:instrText xml:space="preserve"> PAGE   \* MERGEFORMAT </w:instrText>
        </w:r>
        <w:r>
          <w:fldChar w:fldCharType="separate"/>
        </w:r>
        <w:r w:rsidR="00606BF3">
          <w:rPr>
            <w:noProof/>
          </w:rPr>
          <w:t>2</w:t>
        </w:r>
        <w:r>
          <w:rPr>
            <w:noProof/>
          </w:rPr>
          <w:fldChar w:fldCharType="end"/>
        </w:r>
      </w:p>
    </w:sdtContent>
  </w:sdt>
  <w:p w:rsidR="004166BC" w:rsidRDefault="004166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32B5" w:rsidRDefault="008432B5" w:rsidP="00FF6E13">
      <w:pPr>
        <w:spacing w:after="0" w:line="240" w:lineRule="auto"/>
      </w:pPr>
      <w:r>
        <w:separator/>
      </w:r>
    </w:p>
  </w:footnote>
  <w:footnote w:type="continuationSeparator" w:id="0">
    <w:p w:rsidR="008432B5" w:rsidRDefault="008432B5" w:rsidP="00FF6E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85001"/>
    <w:multiLevelType w:val="hybridMultilevel"/>
    <w:tmpl w:val="AB963286"/>
    <w:lvl w:ilvl="0" w:tplc="7610E8E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0577D"/>
    <w:multiLevelType w:val="hybridMultilevel"/>
    <w:tmpl w:val="3B9669A8"/>
    <w:lvl w:ilvl="0" w:tplc="08090001">
      <w:start w:val="1"/>
      <w:numFmt w:val="bullet"/>
      <w:lvlText w:val=""/>
      <w:lvlJc w:val="left"/>
      <w:pPr>
        <w:ind w:left="1437" w:hanging="360"/>
      </w:pPr>
      <w:rPr>
        <w:rFonts w:ascii="Symbol" w:hAnsi="Symbol" w:hint="default"/>
      </w:rPr>
    </w:lvl>
    <w:lvl w:ilvl="1" w:tplc="08090003" w:tentative="1">
      <w:start w:val="1"/>
      <w:numFmt w:val="bullet"/>
      <w:lvlText w:val="o"/>
      <w:lvlJc w:val="left"/>
      <w:pPr>
        <w:ind w:left="2157" w:hanging="360"/>
      </w:pPr>
      <w:rPr>
        <w:rFonts w:ascii="Courier New" w:hAnsi="Courier New" w:cs="Courier New" w:hint="default"/>
      </w:rPr>
    </w:lvl>
    <w:lvl w:ilvl="2" w:tplc="08090005" w:tentative="1">
      <w:start w:val="1"/>
      <w:numFmt w:val="bullet"/>
      <w:lvlText w:val=""/>
      <w:lvlJc w:val="left"/>
      <w:pPr>
        <w:ind w:left="2877" w:hanging="360"/>
      </w:pPr>
      <w:rPr>
        <w:rFonts w:ascii="Wingdings" w:hAnsi="Wingdings" w:hint="default"/>
      </w:rPr>
    </w:lvl>
    <w:lvl w:ilvl="3" w:tplc="08090001" w:tentative="1">
      <w:start w:val="1"/>
      <w:numFmt w:val="bullet"/>
      <w:lvlText w:val=""/>
      <w:lvlJc w:val="left"/>
      <w:pPr>
        <w:ind w:left="3597" w:hanging="360"/>
      </w:pPr>
      <w:rPr>
        <w:rFonts w:ascii="Symbol" w:hAnsi="Symbol" w:hint="default"/>
      </w:rPr>
    </w:lvl>
    <w:lvl w:ilvl="4" w:tplc="08090003" w:tentative="1">
      <w:start w:val="1"/>
      <w:numFmt w:val="bullet"/>
      <w:lvlText w:val="o"/>
      <w:lvlJc w:val="left"/>
      <w:pPr>
        <w:ind w:left="4317" w:hanging="360"/>
      </w:pPr>
      <w:rPr>
        <w:rFonts w:ascii="Courier New" w:hAnsi="Courier New" w:cs="Courier New" w:hint="default"/>
      </w:rPr>
    </w:lvl>
    <w:lvl w:ilvl="5" w:tplc="08090005" w:tentative="1">
      <w:start w:val="1"/>
      <w:numFmt w:val="bullet"/>
      <w:lvlText w:val=""/>
      <w:lvlJc w:val="left"/>
      <w:pPr>
        <w:ind w:left="5037" w:hanging="360"/>
      </w:pPr>
      <w:rPr>
        <w:rFonts w:ascii="Wingdings" w:hAnsi="Wingdings" w:hint="default"/>
      </w:rPr>
    </w:lvl>
    <w:lvl w:ilvl="6" w:tplc="08090001" w:tentative="1">
      <w:start w:val="1"/>
      <w:numFmt w:val="bullet"/>
      <w:lvlText w:val=""/>
      <w:lvlJc w:val="left"/>
      <w:pPr>
        <w:ind w:left="5757" w:hanging="360"/>
      </w:pPr>
      <w:rPr>
        <w:rFonts w:ascii="Symbol" w:hAnsi="Symbol" w:hint="default"/>
      </w:rPr>
    </w:lvl>
    <w:lvl w:ilvl="7" w:tplc="08090003" w:tentative="1">
      <w:start w:val="1"/>
      <w:numFmt w:val="bullet"/>
      <w:lvlText w:val="o"/>
      <w:lvlJc w:val="left"/>
      <w:pPr>
        <w:ind w:left="6477" w:hanging="360"/>
      </w:pPr>
      <w:rPr>
        <w:rFonts w:ascii="Courier New" w:hAnsi="Courier New" w:cs="Courier New" w:hint="default"/>
      </w:rPr>
    </w:lvl>
    <w:lvl w:ilvl="8" w:tplc="08090005" w:tentative="1">
      <w:start w:val="1"/>
      <w:numFmt w:val="bullet"/>
      <w:lvlText w:val=""/>
      <w:lvlJc w:val="left"/>
      <w:pPr>
        <w:ind w:left="7197" w:hanging="360"/>
      </w:pPr>
      <w:rPr>
        <w:rFonts w:ascii="Wingdings" w:hAnsi="Wingdings" w:hint="default"/>
      </w:rPr>
    </w:lvl>
  </w:abstractNum>
  <w:abstractNum w:abstractNumId="2" w15:restartNumberingAfterBreak="0">
    <w:nsid w:val="05F94E7E"/>
    <w:multiLevelType w:val="hybridMultilevel"/>
    <w:tmpl w:val="D7488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91A27"/>
    <w:multiLevelType w:val="hybridMultilevel"/>
    <w:tmpl w:val="78F61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302BD3"/>
    <w:multiLevelType w:val="hybridMultilevel"/>
    <w:tmpl w:val="86EEE760"/>
    <w:lvl w:ilvl="0" w:tplc="87DA6174">
      <w:start w:val="1"/>
      <w:numFmt w:val="lowerRoman"/>
      <w:lvlText w:val="%1)"/>
      <w:lvlJc w:val="left"/>
      <w:pPr>
        <w:ind w:left="1080" w:hanging="720"/>
      </w:pPr>
      <w:rPr>
        <w:rFonts w:ascii="Arial" w:eastAsiaTheme="minorHAnsi" w:hAnsi="Arial" w:cs="Arial"/>
      </w:rPr>
    </w:lvl>
    <w:lvl w:ilvl="1" w:tplc="08090001">
      <w:start w:val="1"/>
      <w:numFmt w:val="bullet"/>
      <w:lvlText w:val=""/>
      <w:lvlJc w:val="left"/>
      <w:pPr>
        <w:ind w:left="1440" w:hanging="360"/>
      </w:pPr>
      <w:rPr>
        <w:rFonts w:ascii="Symbol" w:hAnsi="Symbol" w:hint="default"/>
      </w:rPr>
    </w:lvl>
    <w:lvl w:ilvl="2" w:tplc="D93EC84E">
      <w:numFmt w:val="bullet"/>
      <w:lvlText w:val="-"/>
      <w:lvlJc w:val="left"/>
      <w:pPr>
        <w:ind w:left="2340" w:hanging="360"/>
      </w:pPr>
      <w:rPr>
        <w:rFonts w:ascii="Arial" w:eastAsia="Calibri" w:hAnsi="Arial" w:cs="Arial" w:hint="default"/>
      </w:rPr>
    </w:lvl>
    <w:lvl w:ilvl="3" w:tplc="D0062BCE">
      <w:start w:val="1"/>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B53589"/>
    <w:multiLevelType w:val="hybridMultilevel"/>
    <w:tmpl w:val="47B678E6"/>
    <w:lvl w:ilvl="0" w:tplc="115401A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B44935"/>
    <w:multiLevelType w:val="hybridMultilevel"/>
    <w:tmpl w:val="34261A4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A15E83"/>
    <w:multiLevelType w:val="hybridMultilevel"/>
    <w:tmpl w:val="4AA4E252"/>
    <w:lvl w:ilvl="0" w:tplc="21922370">
      <w:start w:val="1"/>
      <w:numFmt w:val="bullet"/>
      <w:lvlText w:val="•"/>
      <w:lvlJc w:val="left"/>
      <w:pPr>
        <w:tabs>
          <w:tab w:val="num" w:pos="720"/>
        </w:tabs>
        <w:ind w:left="720" w:hanging="360"/>
      </w:pPr>
      <w:rPr>
        <w:rFonts w:ascii="Arial" w:hAnsi="Arial" w:hint="default"/>
      </w:rPr>
    </w:lvl>
    <w:lvl w:ilvl="1" w:tplc="F1DAF586" w:tentative="1">
      <w:start w:val="1"/>
      <w:numFmt w:val="bullet"/>
      <w:lvlText w:val="•"/>
      <w:lvlJc w:val="left"/>
      <w:pPr>
        <w:tabs>
          <w:tab w:val="num" w:pos="1440"/>
        </w:tabs>
        <w:ind w:left="1440" w:hanging="360"/>
      </w:pPr>
      <w:rPr>
        <w:rFonts w:ascii="Arial" w:hAnsi="Arial" w:hint="default"/>
      </w:rPr>
    </w:lvl>
    <w:lvl w:ilvl="2" w:tplc="D18EBF22" w:tentative="1">
      <w:start w:val="1"/>
      <w:numFmt w:val="bullet"/>
      <w:lvlText w:val="•"/>
      <w:lvlJc w:val="left"/>
      <w:pPr>
        <w:tabs>
          <w:tab w:val="num" w:pos="2160"/>
        </w:tabs>
        <w:ind w:left="2160" w:hanging="360"/>
      </w:pPr>
      <w:rPr>
        <w:rFonts w:ascii="Arial" w:hAnsi="Arial" w:hint="default"/>
      </w:rPr>
    </w:lvl>
    <w:lvl w:ilvl="3" w:tplc="375E991A" w:tentative="1">
      <w:start w:val="1"/>
      <w:numFmt w:val="bullet"/>
      <w:lvlText w:val="•"/>
      <w:lvlJc w:val="left"/>
      <w:pPr>
        <w:tabs>
          <w:tab w:val="num" w:pos="2880"/>
        </w:tabs>
        <w:ind w:left="2880" w:hanging="360"/>
      </w:pPr>
      <w:rPr>
        <w:rFonts w:ascii="Arial" w:hAnsi="Arial" w:hint="default"/>
      </w:rPr>
    </w:lvl>
    <w:lvl w:ilvl="4" w:tplc="F294B74E" w:tentative="1">
      <w:start w:val="1"/>
      <w:numFmt w:val="bullet"/>
      <w:lvlText w:val="•"/>
      <w:lvlJc w:val="left"/>
      <w:pPr>
        <w:tabs>
          <w:tab w:val="num" w:pos="3600"/>
        </w:tabs>
        <w:ind w:left="3600" w:hanging="360"/>
      </w:pPr>
      <w:rPr>
        <w:rFonts w:ascii="Arial" w:hAnsi="Arial" w:hint="default"/>
      </w:rPr>
    </w:lvl>
    <w:lvl w:ilvl="5" w:tplc="C1989A38" w:tentative="1">
      <w:start w:val="1"/>
      <w:numFmt w:val="bullet"/>
      <w:lvlText w:val="•"/>
      <w:lvlJc w:val="left"/>
      <w:pPr>
        <w:tabs>
          <w:tab w:val="num" w:pos="4320"/>
        </w:tabs>
        <w:ind w:left="4320" w:hanging="360"/>
      </w:pPr>
      <w:rPr>
        <w:rFonts w:ascii="Arial" w:hAnsi="Arial" w:hint="default"/>
      </w:rPr>
    </w:lvl>
    <w:lvl w:ilvl="6" w:tplc="D4320CFE" w:tentative="1">
      <w:start w:val="1"/>
      <w:numFmt w:val="bullet"/>
      <w:lvlText w:val="•"/>
      <w:lvlJc w:val="left"/>
      <w:pPr>
        <w:tabs>
          <w:tab w:val="num" w:pos="5040"/>
        </w:tabs>
        <w:ind w:left="5040" w:hanging="360"/>
      </w:pPr>
      <w:rPr>
        <w:rFonts w:ascii="Arial" w:hAnsi="Arial" w:hint="default"/>
      </w:rPr>
    </w:lvl>
    <w:lvl w:ilvl="7" w:tplc="D57452F6" w:tentative="1">
      <w:start w:val="1"/>
      <w:numFmt w:val="bullet"/>
      <w:lvlText w:val="•"/>
      <w:lvlJc w:val="left"/>
      <w:pPr>
        <w:tabs>
          <w:tab w:val="num" w:pos="5760"/>
        </w:tabs>
        <w:ind w:left="5760" w:hanging="360"/>
      </w:pPr>
      <w:rPr>
        <w:rFonts w:ascii="Arial" w:hAnsi="Arial" w:hint="default"/>
      </w:rPr>
    </w:lvl>
    <w:lvl w:ilvl="8" w:tplc="4036D58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623201"/>
    <w:multiLevelType w:val="hybridMultilevel"/>
    <w:tmpl w:val="1536131C"/>
    <w:lvl w:ilvl="0" w:tplc="FAAC46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44E045E"/>
    <w:multiLevelType w:val="hybridMultilevel"/>
    <w:tmpl w:val="DB5A8C52"/>
    <w:lvl w:ilvl="0" w:tplc="080E3AA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50A2B12"/>
    <w:multiLevelType w:val="hybridMultilevel"/>
    <w:tmpl w:val="0C2C5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8B4ACB"/>
    <w:multiLevelType w:val="hybridMultilevel"/>
    <w:tmpl w:val="07245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654437"/>
    <w:multiLevelType w:val="hybridMultilevel"/>
    <w:tmpl w:val="EC88B31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DCE7ABF"/>
    <w:multiLevelType w:val="hybridMultilevel"/>
    <w:tmpl w:val="68DA002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15958F1"/>
    <w:multiLevelType w:val="hybridMultilevel"/>
    <w:tmpl w:val="C1AA4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EE06D6"/>
    <w:multiLevelType w:val="hybridMultilevel"/>
    <w:tmpl w:val="22AA5D34"/>
    <w:lvl w:ilvl="0" w:tplc="41B62E14">
      <w:start w:val="1"/>
      <w:numFmt w:val="lowerRoman"/>
      <w:lvlText w:val="%1)"/>
      <w:lvlJc w:val="left"/>
      <w:pPr>
        <w:ind w:left="765" w:hanging="720"/>
      </w:pPr>
      <w:rPr>
        <w:rFonts w:asciiTheme="minorHAnsi" w:hAnsiTheme="minorHAnsi" w:cstheme="minorBidi"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16" w15:restartNumberingAfterBreak="0">
    <w:nsid w:val="33D81C9A"/>
    <w:multiLevelType w:val="hybridMultilevel"/>
    <w:tmpl w:val="7C44D434"/>
    <w:lvl w:ilvl="0" w:tplc="6F489A8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F50181"/>
    <w:multiLevelType w:val="hybridMultilevel"/>
    <w:tmpl w:val="B224A5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AF1B92"/>
    <w:multiLevelType w:val="hybridMultilevel"/>
    <w:tmpl w:val="AD2E5488"/>
    <w:lvl w:ilvl="0" w:tplc="7DCEB4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141B50"/>
    <w:multiLevelType w:val="hybridMultilevel"/>
    <w:tmpl w:val="0E2E5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876FB0"/>
    <w:multiLevelType w:val="hybridMultilevel"/>
    <w:tmpl w:val="E2383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BDD45F3"/>
    <w:multiLevelType w:val="hybridMultilevel"/>
    <w:tmpl w:val="18DC24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AE213C"/>
    <w:multiLevelType w:val="hybridMultilevel"/>
    <w:tmpl w:val="502E7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6C095C"/>
    <w:multiLevelType w:val="hybridMultilevel"/>
    <w:tmpl w:val="60D08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306095D"/>
    <w:multiLevelType w:val="hybridMultilevel"/>
    <w:tmpl w:val="3C2E0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027496"/>
    <w:multiLevelType w:val="hybridMultilevel"/>
    <w:tmpl w:val="B324FDBC"/>
    <w:lvl w:ilvl="0" w:tplc="401020F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453737"/>
    <w:multiLevelType w:val="hybridMultilevel"/>
    <w:tmpl w:val="7228FFD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D67294E"/>
    <w:multiLevelType w:val="hybridMultilevel"/>
    <w:tmpl w:val="9E906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6E97CFB"/>
    <w:multiLevelType w:val="hybridMultilevel"/>
    <w:tmpl w:val="0CFA4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CD1C90"/>
    <w:multiLevelType w:val="hybridMultilevel"/>
    <w:tmpl w:val="D084D6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3C4402"/>
    <w:multiLevelType w:val="hybridMultilevel"/>
    <w:tmpl w:val="6430E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BA193B"/>
    <w:multiLevelType w:val="hybridMultilevel"/>
    <w:tmpl w:val="3CF4D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B04EDD"/>
    <w:multiLevelType w:val="hybridMultilevel"/>
    <w:tmpl w:val="5614958E"/>
    <w:lvl w:ilvl="0" w:tplc="08090011">
      <w:start w:val="1"/>
      <w:numFmt w:val="decimal"/>
      <w:lvlText w:val="%1)"/>
      <w:lvlJc w:val="left"/>
      <w:pPr>
        <w:ind w:left="720" w:hanging="360"/>
      </w:pPr>
      <w:rPr>
        <w:rFonts w:hint="default"/>
      </w:rPr>
    </w:lvl>
    <w:lvl w:ilvl="1" w:tplc="EA02FEA4">
      <w:start w:val="1"/>
      <w:numFmt w:val="lowerRoman"/>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46129EC"/>
    <w:multiLevelType w:val="hybridMultilevel"/>
    <w:tmpl w:val="35684DB4"/>
    <w:lvl w:ilvl="0" w:tplc="87DA6174">
      <w:start w:val="1"/>
      <w:numFmt w:val="lowerRoman"/>
      <w:lvlText w:val="%1)"/>
      <w:lvlJc w:val="left"/>
      <w:pPr>
        <w:ind w:left="1080" w:hanging="720"/>
      </w:pPr>
      <w:rPr>
        <w:rFonts w:ascii="Arial" w:eastAsiaTheme="minorHAnsi" w:hAnsi="Arial" w:cs="Arial"/>
      </w:rPr>
    </w:lvl>
    <w:lvl w:ilvl="1" w:tplc="08090001">
      <w:start w:val="1"/>
      <w:numFmt w:val="bullet"/>
      <w:lvlText w:val=""/>
      <w:lvlJc w:val="left"/>
      <w:pPr>
        <w:ind w:left="1440" w:hanging="360"/>
      </w:pPr>
      <w:rPr>
        <w:rFonts w:ascii="Symbol" w:hAnsi="Symbol" w:hint="default"/>
      </w:rPr>
    </w:lvl>
    <w:lvl w:ilvl="2" w:tplc="D93EC84E">
      <w:numFmt w:val="bullet"/>
      <w:lvlText w:val="-"/>
      <w:lvlJc w:val="left"/>
      <w:pPr>
        <w:ind w:left="2340" w:hanging="360"/>
      </w:pPr>
      <w:rPr>
        <w:rFonts w:ascii="Arial" w:eastAsia="Calibri" w:hAnsi="Arial" w:cs="Arial" w:hint="default"/>
      </w:rPr>
    </w:lvl>
    <w:lvl w:ilvl="3" w:tplc="D0062BCE">
      <w:start w:val="1"/>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8DB6372"/>
    <w:multiLevelType w:val="hybridMultilevel"/>
    <w:tmpl w:val="A770E8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7653CD"/>
    <w:multiLevelType w:val="hybridMultilevel"/>
    <w:tmpl w:val="71E24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CAC5A26"/>
    <w:multiLevelType w:val="hybridMultilevel"/>
    <w:tmpl w:val="359ACE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AA6358"/>
    <w:multiLevelType w:val="hybridMultilevel"/>
    <w:tmpl w:val="C2B417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1D0471"/>
    <w:multiLevelType w:val="hybridMultilevel"/>
    <w:tmpl w:val="4DD8A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114191"/>
    <w:multiLevelType w:val="hybridMultilevel"/>
    <w:tmpl w:val="4C0A8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3322635"/>
    <w:multiLevelType w:val="hybridMultilevel"/>
    <w:tmpl w:val="144E3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4E001E4"/>
    <w:multiLevelType w:val="hybridMultilevel"/>
    <w:tmpl w:val="8604AABC"/>
    <w:lvl w:ilvl="0" w:tplc="6BBC80DA">
      <w:start w:val="1"/>
      <w:numFmt w:val="lowerRoman"/>
      <w:lvlText w:val="%1)"/>
      <w:lvlJc w:val="left"/>
      <w:pPr>
        <w:ind w:left="1080" w:hanging="720"/>
      </w:pPr>
      <w:rPr>
        <w:rFonts w:ascii="Arial" w:eastAsiaTheme="majorEastAsia" w:hAnsi="Arial" w:cstheme="maj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69F74E6"/>
    <w:multiLevelType w:val="hybridMultilevel"/>
    <w:tmpl w:val="B9B605D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3" w15:restartNumberingAfterBreak="0">
    <w:nsid w:val="7F44212B"/>
    <w:multiLevelType w:val="hybridMultilevel"/>
    <w:tmpl w:val="686691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FB21AB0"/>
    <w:multiLevelType w:val="hybridMultilevel"/>
    <w:tmpl w:val="24A8C2AA"/>
    <w:lvl w:ilvl="0" w:tplc="A67A1A0A">
      <w:start w:val="1"/>
      <w:numFmt w:val="bullet"/>
      <w:lvlText w:val="•"/>
      <w:lvlJc w:val="left"/>
      <w:pPr>
        <w:tabs>
          <w:tab w:val="num" w:pos="720"/>
        </w:tabs>
        <w:ind w:left="720" w:hanging="360"/>
      </w:pPr>
      <w:rPr>
        <w:rFonts w:ascii="Arial" w:hAnsi="Arial" w:hint="default"/>
      </w:rPr>
    </w:lvl>
    <w:lvl w:ilvl="1" w:tplc="62769DE6" w:tentative="1">
      <w:start w:val="1"/>
      <w:numFmt w:val="bullet"/>
      <w:lvlText w:val="•"/>
      <w:lvlJc w:val="left"/>
      <w:pPr>
        <w:tabs>
          <w:tab w:val="num" w:pos="1440"/>
        </w:tabs>
        <w:ind w:left="1440" w:hanging="360"/>
      </w:pPr>
      <w:rPr>
        <w:rFonts w:ascii="Arial" w:hAnsi="Arial" w:hint="default"/>
      </w:rPr>
    </w:lvl>
    <w:lvl w:ilvl="2" w:tplc="3230A436" w:tentative="1">
      <w:start w:val="1"/>
      <w:numFmt w:val="bullet"/>
      <w:lvlText w:val="•"/>
      <w:lvlJc w:val="left"/>
      <w:pPr>
        <w:tabs>
          <w:tab w:val="num" w:pos="2160"/>
        </w:tabs>
        <w:ind w:left="2160" w:hanging="360"/>
      </w:pPr>
      <w:rPr>
        <w:rFonts w:ascii="Arial" w:hAnsi="Arial" w:hint="default"/>
      </w:rPr>
    </w:lvl>
    <w:lvl w:ilvl="3" w:tplc="55287676" w:tentative="1">
      <w:start w:val="1"/>
      <w:numFmt w:val="bullet"/>
      <w:lvlText w:val="•"/>
      <w:lvlJc w:val="left"/>
      <w:pPr>
        <w:tabs>
          <w:tab w:val="num" w:pos="2880"/>
        </w:tabs>
        <w:ind w:left="2880" w:hanging="360"/>
      </w:pPr>
      <w:rPr>
        <w:rFonts w:ascii="Arial" w:hAnsi="Arial" w:hint="default"/>
      </w:rPr>
    </w:lvl>
    <w:lvl w:ilvl="4" w:tplc="F320C8BA" w:tentative="1">
      <w:start w:val="1"/>
      <w:numFmt w:val="bullet"/>
      <w:lvlText w:val="•"/>
      <w:lvlJc w:val="left"/>
      <w:pPr>
        <w:tabs>
          <w:tab w:val="num" w:pos="3600"/>
        </w:tabs>
        <w:ind w:left="3600" w:hanging="360"/>
      </w:pPr>
      <w:rPr>
        <w:rFonts w:ascii="Arial" w:hAnsi="Arial" w:hint="default"/>
      </w:rPr>
    </w:lvl>
    <w:lvl w:ilvl="5" w:tplc="066C9E62" w:tentative="1">
      <w:start w:val="1"/>
      <w:numFmt w:val="bullet"/>
      <w:lvlText w:val="•"/>
      <w:lvlJc w:val="left"/>
      <w:pPr>
        <w:tabs>
          <w:tab w:val="num" w:pos="4320"/>
        </w:tabs>
        <w:ind w:left="4320" w:hanging="360"/>
      </w:pPr>
      <w:rPr>
        <w:rFonts w:ascii="Arial" w:hAnsi="Arial" w:hint="default"/>
      </w:rPr>
    </w:lvl>
    <w:lvl w:ilvl="6" w:tplc="906E5916" w:tentative="1">
      <w:start w:val="1"/>
      <w:numFmt w:val="bullet"/>
      <w:lvlText w:val="•"/>
      <w:lvlJc w:val="left"/>
      <w:pPr>
        <w:tabs>
          <w:tab w:val="num" w:pos="5040"/>
        </w:tabs>
        <w:ind w:left="5040" w:hanging="360"/>
      </w:pPr>
      <w:rPr>
        <w:rFonts w:ascii="Arial" w:hAnsi="Arial" w:hint="default"/>
      </w:rPr>
    </w:lvl>
    <w:lvl w:ilvl="7" w:tplc="1D3CCA2E" w:tentative="1">
      <w:start w:val="1"/>
      <w:numFmt w:val="bullet"/>
      <w:lvlText w:val="•"/>
      <w:lvlJc w:val="left"/>
      <w:pPr>
        <w:tabs>
          <w:tab w:val="num" w:pos="5760"/>
        </w:tabs>
        <w:ind w:left="5760" w:hanging="360"/>
      </w:pPr>
      <w:rPr>
        <w:rFonts w:ascii="Arial" w:hAnsi="Arial" w:hint="default"/>
      </w:rPr>
    </w:lvl>
    <w:lvl w:ilvl="8" w:tplc="C5EC99E8" w:tentative="1">
      <w:start w:val="1"/>
      <w:numFmt w:val="bullet"/>
      <w:lvlText w:val="•"/>
      <w:lvlJc w:val="left"/>
      <w:pPr>
        <w:tabs>
          <w:tab w:val="num" w:pos="6480"/>
        </w:tabs>
        <w:ind w:left="6480" w:hanging="360"/>
      </w:pPr>
      <w:rPr>
        <w:rFonts w:ascii="Arial" w:hAnsi="Arial" w:hint="default"/>
      </w:rPr>
    </w:lvl>
  </w:abstractNum>
  <w:num w:numId="1">
    <w:abstractNumId w:val="27"/>
  </w:num>
  <w:num w:numId="2">
    <w:abstractNumId w:val="9"/>
  </w:num>
  <w:num w:numId="3">
    <w:abstractNumId w:val="41"/>
  </w:num>
  <w:num w:numId="4">
    <w:abstractNumId w:val="33"/>
  </w:num>
  <w:num w:numId="5">
    <w:abstractNumId w:val="10"/>
  </w:num>
  <w:num w:numId="6">
    <w:abstractNumId w:val="16"/>
  </w:num>
  <w:num w:numId="7">
    <w:abstractNumId w:val="32"/>
  </w:num>
  <w:num w:numId="8">
    <w:abstractNumId w:val="5"/>
  </w:num>
  <w:num w:numId="9">
    <w:abstractNumId w:val="12"/>
  </w:num>
  <w:num w:numId="10">
    <w:abstractNumId w:val="8"/>
  </w:num>
  <w:num w:numId="11">
    <w:abstractNumId w:val="18"/>
  </w:num>
  <w:num w:numId="12">
    <w:abstractNumId w:val="0"/>
  </w:num>
  <w:num w:numId="13">
    <w:abstractNumId w:val="42"/>
  </w:num>
  <w:num w:numId="14">
    <w:abstractNumId w:val="30"/>
  </w:num>
  <w:num w:numId="15">
    <w:abstractNumId w:val="1"/>
  </w:num>
  <w:num w:numId="16">
    <w:abstractNumId w:val="7"/>
  </w:num>
  <w:num w:numId="17">
    <w:abstractNumId w:val="44"/>
  </w:num>
  <w:num w:numId="18">
    <w:abstractNumId w:val="40"/>
  </w:num>
  <w:num w:numId="19">
    <w:abstractNumId w:val="3"/>
  </w:num>
  <w:num w:numId="20">
    <w:abstractNumId w:val="29"/>
  </w:num>
  <w:num w:numId="21">
    <w:abstractNumId w:val="13"/>
  </w:num>
  <w:num w:numId="22">
    <w:abstractNumId w:val="35"/>
  </w:num>
  <w:num w:numId="23">
    <w:abstractNumId w:val="20"/>
  </w:num>
  <w:num w:numId="24">
    <w:abstractNumId w:val="21"/>
  </w:num>
  <w:num w:numId="25">
    <w:abstractNumId w:val="39"/>
  </w:num>
  <w:num w:numId="26">
    <w:abstractNumId w:val="43"/>
  </w:num>
  <w:num w:numId="27">
    <w:abstractNumId w:val="24"/>
  </w:num>
  <w:num w:numId="28">
    <w:abstractNumId w:val="4"/>
  </w:num>
  <w:num w:numId="29">
    <w:abstractNumId w:val="22"/>
  </w:num>
  <w:num w:numId="30">
    <w:abstractNumId w:val="34"/>
  </w:num>
  <w:num w:numId="31">
    <w:abstractNumId w:val="17"/>
  </w:num>
  <w:num w:numId="32">
    <w:abstractNumId w:val="37"/>
  </w:num>
  <w:num w:numId="33">
    <w:abstractNumId w:val="19"/>
  </w:num>
  <w:num w:numId="34">
    <w:abstractNumId w:val="11"/>
  </w:num>
  <w:num w:numId="35">
    <w:abstractNumId w:val="23"/>
  </w:num>
  <w:num w:numId="36">
    <w:abstractNumId w:val="2"/>
  </w:num>
  <w:num w:numId="37">
    <w:abstractNumId w:val="26"/>
  </w:num>
  <w:num w:numId="38">
    <w:abstractNumId w:val="38"/>
  </w:num>
  <w:num w:numId="39">
    <w:abstractNumId w:val="36"/>
  </w:num>
  <w:num w:numId="40">
    <w:abstractNumId w:val="14"/>
  </w:num>
  <w:num w:numId="41">
    <w:abstractNumId w:val="15"/>
  </w:num>
  <w:num w:numId="42">
    <w:abstractNumId w:val="25"/>
  </w:num>
  <w:num w:numId="43">
    <w:abstractNumId w:val="28"/>
  </w:num>
  <w:num w:numId="44">
    <w:abstractNumId w:val="6"/>
  </w:num>
  <w:num w:numId="4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99pfvae505tsbee9eapvxv0srxdfv2ttr5e&quot;&gt;My EndNote Library&lt;record-ids&gt;&lt;item&gt;410&lt;/item&gt;&lt;item&gt;411&lt;/item&gt;&lt;item&gt;412&lt;/item&gt;&lt;item&gt;414&lt;/item&gt;&lt;item&gt;415&lt;/item&gt;&lt;item&gt;491&lt;/item&gt;&lt;item&gt;497&lt;/item&gt;&lt;item&gt;500&lt;/item&gt;&lt;item&gt;514&lt;/item&gt;&lt;item&gt;515&lt;/item&gt;&lt;item&gt;518&lt;/item&gt;&lt;item&gt;522&lt;/item&gt;&lt;item&gt;531&lt;/item&gt;&lt;item&gt;535&lt;/item&gt;&lt;item&gt;536&lt;/item&gt;&lt;item&gt;539&lt;/item&gt;&lt;item&gt;542&lt;/item&gt;&lt;item&gt;543&lt;/item&gt;&lt;/record-ids&gt;&lt;/item&gt;&lt;/Libraries&gt;"/>
  </w:docVars>
  <w:rsids>
    <w:rsidRoot w:val="00102AFE"/>
    <w:rsid w:val="000000B8"/>
    <w:rsid w:val="00000992"/>
    <w:rsid w:val="00000CAD"/>
    <w:rsid w:val="0000131C"/>
    <w:rsid w:val="00001B96"/>
    <w:rsid w:val="00001E9B"/>
    <w:rsid w:val="00001F56"/>
    <w:rsid w:val="00002D40"/>
    <w:rsid w:val="0000335C"/>
    <w:rsid w:val="00003AF9"/>
    <w:rsid w:val="00004490"/>
    <w:rsid w:val="00004ED7"/>
    <w:rsid w:val="00004FE3"/>
    <w:rsid w:val="0000562E"/>
    <w:rsid w:val="0000595F"/>
    <w:rsid w:val="00005BED"/>
    <w:rsid w:val="00007122"/>
    <w:rsid w:val="00007DCE"/>
    <w:rsid w:val="0001045D"/>
    <w:rsid w:val="0001077A"/>
    <w:rsid w:val="00010A6C"/>
    <w:rsid w:val="00010CB7"/>
    <w:rsid w:val="000136D1"/>
    <w:rsid w:val="00013AE8"/>
    <w:rsid w:val="00014051"/>
    <w:rsid w:val="00014C14"/>
    <w:rsid w:val="0001531E"/>
    <w:rsid w:val="0001534F"/>
    <w:rsid w:val="00015A50"/>
    <w:rsid w:val="00015B24"/>
    <w:rsid w:val="00015F88"/>
    <w:rsid w:val="0001649E"/>
    <w:rsid w:val="00016C68"/>
    <w:rsid w:val="000172EC"/>
    <w:rsid w:val="000178EA"/>
    <w:rsid w:val="000202D0"/>
    <w:rsid w:val="00020F68"/>
    <w:rsid w:val="00022461"/>
    <w:rsid w:val="00022C5F"/>
    <w:rsid w:val="00022F90"/>
    <w:rsid w:val="0002341B"/>
    <w:rsid w:val="0002551F"/>
    <w:rsid w:val="00025563"/>
    <w:rsid w:val="00025698"/>
    <w:rsid w:val="000262F5"/>
    <w:rsid w:val="0002677F"/>
    <w:rsid w:val="000267DF"/>
    <w:rsid w:val="00027295"/>
    <w:rsid w:val="000276EB"/>
    <w:rsid w:val="00027A35"/>
    <w:rsid w:val="000304AD"/>
    <w:rsid w:val="00030B6A"/>
    <w:rsid w:val="00031824"/>
    <w:rsid w:val="00033257"/>
    <w:rsid w:val="000334A8"/>
    <w:rsid w:val="000339E6"/>
    <w:rsid w:val="00034691"/>
    <w:rsid w:val="000346E4"/>
    <w:rsid w:val="00034EAD"/>
    <w:rsid w:val="00034F79"/>
    <w:rsid w:val="0003555B"/>
    <w:rsid w:val="00035813"/>
    <w:rsid w:val="00035EA8"/>
    <w:rsid w:val="0003621E"/>
    <w:rsid w:val="000363C4"/>
    <w:rsid w:val="000363E4"/>
    <w:rsid w:val="000367DC"/>
    <w:rsid w:val="00036B66"/>
    <w:rsid w:val="00036D8F"/>
    <w:rsid w:val="000372FF"/>
    <w:rsid w:val="000379D3"/>
    <w:rsid w:val="0004058F"/>
    <w:rsid w:val="00041C46"/>
    <w:rsid w:val="00041C8C"/>
    <w:rsid w:val="00042305"/>
    <w:rsid w:val="00042ABD"/>
    <w:rsid w:val="00042C8E"/>
    <w:rsid w:val="00043411"/>
    <w:rsid w:val="0004470A"/>
    <w:rsid w:val="00044C17"/>
    <w:rsid w:val="000454B5"/>
    <w:rsid w:val="00046A91"/>
    <w:rsid w:val="00046EF5"/>
    <w:rsid w:val="00047236"/>
    <w:rsid w:val="00047350"/>
    <w:rsid w:val="00047D4B"/>
    <w:rsid w:val="000512CD"/>
    <w:rsid w:val="000518BA"/>
    <w:rsid w:val="00052B0B"/>
    <w:rsid w:val="00052F1F"/>
    <w:rsid w:val="00053665"/>
    <w:rsid w:val="00054C0C"/>
    <w:rsid w:val="00054E15"/>
    <w:rsid w:val="000553FC"/>
    <w:rsid w:val="0005568C"/>
    <w:rsid w:val="00055C2C"/>
    <w:rsid w:val="00055F57"/>
    <w:rsid w:val="00060552"/>
    <w:rsid w:val="00060814"/>
    <w:rsid w:val="00060864"/>
    <w:rsid w:val="0006093A"/>
    <w:rsid w:val="00061128"/>
    <w:rsid w:val="00061330"/>
    <w:rsid w:val="0006135C"/>
    <w:rsid w:val="0006145F"/>
    <w:rsid w:val="00061960"/>
    <w:rsid w:val="000624BC"/>
    <w:rsid w:val="00063166"/>
    <w:rsid w:val="000636BF"/>
    <w:rsid w:val="0006371E"/>
    <w:rsid w:val="000639E5"/>
    <w:rsid w:val="00063B51"/>
    <w:rsid w:val="00063B78"/>
    <w:rsid w:val="00063EAB"/>
    <w:rsid w:val="000649E5"/>
    <w:rsid w:val="0006555A"/>
    <w:rsid w:val="00066AC7"/>
    <w:rsid w:val="00066C53"/>
    <w:rsid w:val="00066E61"/>
    <w:rsid w:val="00067135"/>
    <w:rsid w:val="00067351"/>
    <w:rsid w:val="000673BD"/>
    <w:rsid w:val="00070541"/>
    <w:rsid w:val="00071A07"/>
    <w:rsid w:val="00071B1D"/>
    <w:rsid w:val="00071B5B"/>
    <w:rsid w:val="000726D7"/>
    <w:rsid w:val="000727CC"/>
    <w:rsid w:val="00072A22"/>
    <w:rsid w:val="00072E9C"/>
    <w:rsid w:val="00074AED"/>
    <w:rsid w:val="00074F92"/>
    <w:rsid w:val="00075348"/>
    <w:rsid w:val="000757F0"/>
    <w:rsid w:val="00076181"/>
    <w:rsid w:val="00076197"/>
    <w:rsid w:val="00076241"/>
    <w:rsid w:val="000776A0"/>
    <w:rsid w:val="00077AA1"/>
    <w:rsid w:val="00080BAC"/>
    <w:rsid w:val="000810B3"/>
    <w:rsid w:val="000822C9"/>
    <w:rsid w:val="00082739"/>
    <w:rsid w:val="000830F2"/>
    <w:rsid w:val="000845D8"/>
    <w:rsid w:val="00084EC2"/>
    <w:rsid w:val="00084EEF"/>
    <w:rsid w:val="000853DF"/>
    <w:rsid w:val="00086129"/>
    <w:rsid w:val="00086AA4"/>
    <w:rsid w:val="000909AD"/>
    <w:rsid w:val="0009175B"/>
    <w:rsid w:val="000934A2"/>
    <w:rsid w:val="00093AD5"/>
    <w:rsid w:val="00093E1B"/>
    <w:rsid w:val="00096116"/>
    <w:rsid w:val="00096B93"/>
    <w:rsid w:val="00097581"/>
    <w:rsid w:val="0009798A"/>
    <w:rsid w:val="000A08C4"/>
    <w:rsid w:val="000A14B7"/>
    <w:rsid w:val="000A168B"/>
    <w:rsid w:val="000A196F"/>
    <w:rsid w:val="000A28B9"/>
    <w:rsid w:val="000A30EA"/>
    <w:rsid w:val="000A3D59"/>
    <w:rsid w:val="000A4CCB"/>
    <w:rsid w:val="000A5C51"/>
    <w:rsid w:val="000A5EFC"/>
    <w:rsid w:val="000A60BA"/>
    <w:rsid w:val="000A72C8"/>
    <w:rsid w:val="000B0461"/>
    <w:rsid w:val="000B0553"/>
    <w:rsid w:val="000B0864"/>
    <w:rsid w:val="000B0D44"/>
    <w:rsid w:val="000B1358"/>
    <w:rsid w:val="000B19A6"/>
    <w:rsid w:val="000B1F3D"/>
    <w:rsid w:val="000B2537"/>
    <w:rsid w:val="000B287F"/>
    <w:rsid w:val="000B31F3"/>
    <w:rsid w:val="000B468D"/>
    <w:rsid w:val="000B475C"/>
    <w:rsid w:val="000B5EA7"/>
    <w:rsid w:val="000B5F72"/>
    <w:rsid w:val="000B7862"/>
    <w:rsid w:val="000B7DDC"/>
    <w:rsid w:val="000B7DF7"/>
    <w:rsid w:val="000C0294"/>
    <w:rsid w:val="000C10C2"/>
    <w:rsid w:val="000C1CF3"/>
    <w:rsid w:val="000C1E3F"/>
    <w:rsid w:val="000C3AFE"/>
    <w:rsid w:val="000C59E7"/>
    <w:rsid w:val="000C602E"/>
    <w:rsid w:val="000C709B"/>
    <w:rsid w:val="000C73D2"/>
    <w:rsid w:val="000C796F"/>
    <w:rsid w:val="000D041E"/>
    <w:rsid w:val="000D0536"/>
    <w:rsid w:val="000D05C5"/>
    <w:rsid w:val="000D0D90"/>
    <w:rsid w:val="000D10C3"/>
    <w:rsid w:val="000D155C"/>
    <w:rsid w:val="000D1DA9"/>
    <w:rsid w:val="000D2020"/>
    <w:rsid w:val="000D218C"/>
    <w:rsid w:val="000D3005"/>
    <w:rsid w:val="000D3DAA"/>
    <w:rsid w:val="000E04F5"/>
    <w:rsid w:val="000E05FF"/>
    <w:rsid w:val="000E1850"/>
    <w:rsid w:val="000E2016"/>
    <w:rsid w:val="000E26BC"/>
    <w:rsid w:val="000E274B"/>
    <w:rsid w:val="000E4EA4"/>
    <w:rsid w:val="000E5215"/>
    <w:rsid w:val="000E6601"/>
    <w:rsid w:val="000E6AA8"/>
    <w:rsid w:val="000E6B92"/>
    <w:rsid w:val="000E745E"/>
    <w:rsid w:val="000F0597"/>
    <w:rsid w:val="000F0A49"/>
    <w:rsid w:val="000F0C47"/>
    <w:rsid w:val="000F1B3D"/>
    <w:rsid w:val="000F1EE3"/>
    <w:rsid w:val="000F2FEF"/>
    <w:rsid w:val="000F5265"/>
    <w:rsid w:val="000F6165"/>
    <w:rsid w:val="000F63FE"/>
    <w:rsid w:val="000F6514"/>
    <w:rsid w:val="000F6C07"/>
    <w:rsid w:val="000F6E4A"/>
    <w:rsid w:val="00100481"/>
    <w:rsid w:val="00100C86"/>
    <w:rsid w:val="0010101F"/>
    <w:rsid w:val="0010151E"/>
    <w:rsid w:val="00101808"/>
    <w:rsid w:val="00101ABF"/>
    <w:rsid w:val="00102AFE"/>
    <w:rsid w:val="00102D9F"/>
    <w:rsid w:val="00103321"/>
    <w:rsid w:val="001038DC"/>
    <w:rsid w:val="001049E1"/>
    <w:rsid w:val="00105C83"/>
    <w:rsid w:val="00106829"/>
    <w:rsid w:val="00106B5F"/>
    <w:rsid w:val="001075D9"/>
    <w:rsid w:val="00110EE4"/>
    <w:rsid w:val="001119AE"/>
    <w:rsid w:val="0011354E"/>
    <w:rsid w:val="00113701"/>
    <w:rsid w:val="00114156"/>
    <w:rsid w:val="00114931"/>
    <w:rsid w:val="0011598E"/>
    <w:rsid w:val="00117384"/>
    <w:rsid w:val="0011782A"/>
    <w:rsid w:val="0012063A"/>
    <w:rsid w:val="00121100"/>
    <w:rsid w:val="0012156C"/>
    <w:rsid w:val="00121713"/>
    <w:rsid w:val="0012266A"/>
    <w:rsid w:val="0012276D"/>
    <w:rsid w:val="001233BD"/>
    <w:rsid w:val="0012347C"/>
    <w:rsid w:val="0012361E"/>
    <w:rsid w:val="0012421A"/>
    <w:rsid w:val="00124BE1"/>
    <w:rsid w:val="0012580B"/>
    <w:rsid w:val="00126C8F"/>
    <w:rsid w:val="0012747F"/>
    <w:rsid w:val="00131349"/>
    <w:rsid w:val="00133027"/>
    <w:rsid w:val="001339E8"/>
    <w:rsid w:val="00134147"/>
    <w:rsid w:val="0013491F"/>
    <w:rsid w:val="001349E6"/>
    <w:rsid w:val="00134CFA"/>
    <w:rsid w:val="00135204"/>
    <w:rsid w:val="00135273"/>
    <w:rsid w:val="0013532F"/>
    <w:rsid w:val="0013570F"/>
    <w:rsid w:val="00135F96"/>
    <w:rsid w:val="001366BA"/>
    <w:rsid w:val="00136C3C"/>
    <w:rsid w:val="001403E3"/>
    <w:rsid w:val="00140978"/>
    <w:rsid w:val="00140BC3"/>
    <w:rsid w:val="00141C2F"/>
    <w:rsid w:val="001422AE"/>
    <w:rsid w:val="001423C2"/>
    <w:rsid w:val="00142B9A"/>
    <w:rsid w:val="00142D19"/>
    <w:rsid w:val="0014388E"/>
    <w:rsid w:val="00143C88"/>
    <w:rsid w:val="0014434D"/>
    <w:rsid w:val="001443C6"/>
    <w:rsid w:val="00144809"/>
    <w:rsid w:val="00144816"/>
    <w:rsid w:val="00144CB6"/>
    <w:rsid w:val="001451EF"/>
    <w:rsid w:val="001459F2"/>
    <w:rsid w:val="00145DB6"/>
    <w:rsid w:val="001462B0"/>
    <w:rsid w:val="00146AB8"/>
    <w:rsid w:val="00146FA1"/>
    <w:rsid w:val="00153502"/>
    <w:rsid w:val="001536A5"/>
    <w:rsid w:val="00153862"/>
    <w:rsid w:val="0015421A"/>
    <w:rsid w:val="001542D6"/>
    <w:rsid w:val="001549D4"/>
    <w:rsid w:val="00155321"/>
    <w:rsid w:val="00155B24"/>
    <w:rsid w:val="00155C44"/>
    <w:rsid w:val="00157BBE"/>
    <w:rsid w:val="00157EC7"/>
    <w:rsid w:val="00160161"/>
    <w:rsid w:val="00160A41"/>
    <w:rsid w:val="00161075"/>
    <w:rsid w:val="001658EE"/>
    <w:rsid w:val="00166A9A"/>
    <w:rsid w:val="00170043"/>
    <w:rsid w:val="00171900"/>
    <w:rsid w:val="00173441"/>
    <w:rsid w:val="00173854"/>
    <w:rsid w:val="0017429E"/>
    <w:rsid w:val="00174540"/>
    <w:rsid w:val="00176EE8"/>
    <w:rsid w:val="0017743F"/>
    <w:rsid w:val="0017773A"/>
    <w:rsid w:val="00180483"/>
    <w:rsid w:val="00182095"/>
    <w:rsid w:val="0018224B"/>
    <w:rsid w:val="0018271A"/>
    <w:rsid w:val="0018319F"/>
    <w:rsid w:val="001831AB"/>
    <w:rsid w:val="001849E2"/>
    <w:rsid w:val="00184C04"/>
    <w:rsid w:val="0018655D"/>
    <w:rsid w:val="00186C89"/>
    <w:rsid w:val="00187665"/>
    <w:rsid w:val="0019056B"/>
    <w:rsid w:val="001905D6"/>
    <w:rsid w:val="00190E6B"/>
    <w:rsid w:val="00192A46"/>
    <w:rsid w:val="00193F35"/>
    <w:rsid w:val="00194643"/>
    <w:rsid w:val="00194691"/>
    <w:rsid w:val="00194A57"/>
    <w:rsid w:val="00196020"/>
    <w:rsid w:val="00197C7B"/>
    <w:rsid w:val="001A0209"/>
    <w:rsid w:val="001A03F3"/>
    <w:rsid w:val="001A10EE"/>
    <w:rsid w:val="001A257F"/>
    <w:rsid w:val="001A29C0"/>
    <w:rsid w:val="001A3E70"/>
    <w:rsid w:val="001A3F16"/>
    <w:rsid w:val="001A409F"/>
    <w:rsid w:val="001A4873"/>
    <w:rsid w:val="001A5497"/>
    <w:rsid w:val="001A56DE"/>
    <w:rsid w:val="001A56FC"/>
    <w:rsid w:val="001A6417"/>
    <w:rsid w:val="001A7FED"/>
    <w:rsid w:val="001B00FC"/>
    <w:rsid w:val="001B09D0"/>
    <w:rsid w:val="001B0A53"/>
    <w:rsid w:val="001B1437"/>
    <w:rsid w:val="001B1C94"/>
    <w:rsid w:val="001B1EDC"/>
    <w:rsid w:val="001B1FFC"/>
    <w:rsid w:val="001B27BF"/>
    <w:rsid w:val="001B2D54"/>
    <w:rsid w:val="001B3096"/>
    <w:rsid w:val="001B337B"/>
    <w:rsid w:val="001B417F"/>
    <w:rsid w:val="001B4673"/>
    <w:rsid w:val="001B5444"/>
    <w:rsid w:val="001B5ACF"/>
    <w:rsid w:val="001B602A"/>
    <w:rsid w:val="001B6906"/>
    <w:rsid w:val="001B6B70"/>
    <w:rsid w:val="001B70F0"/>
    <w:rsid w:val="001C00E4"/>
    <w:rsid w:val="001C0CCE"/>
    <w:rsid w:val="001C0FF7"/>
    <w:rsid w:val="001C1C0D"/>
    <w:rsid w:val="001C26EC"/>
    <w:rsid w:val="001C278D"/>
    <w:rsid w:val="001C2F1B"/>
    <w:rsid w:val="001C3434"/>
    <w:rsid w:val="001C37A5"/>
    <w:rsid w:val="001C4324"/>
    <w:rsid w:val="001C4677"/>
    <w:rsid w:val="001C48F2"/>
    <w:rsid w:val="001C61BF"/>
    <w:rsid w:val="001C6429"/>
    <w:rsid w:val="001C6791"/>
    <w:rsid w:val="001C7215"/>
    <w:rsid w:val="001C7B03"/>
    <w:rsid w:val="001D046B"/>
    <w:rsid w:val="001D04C6"/>
    <w:rsid w:val="001D0D03"/>
    <w:rsid w:val="001D18A8"/>
    <w:rsid w:val="001D26E3"/>
    <w:rsid w:val="001D279E"/>
    <w:rsid w:val="001D2B6D"/>
    <w:rsid w:val="001D3F3F"/>
    <w:rsid w:val="001D450C"/>
    <w:rsid w:val="001D49D6"/>
    <w:rsid w:val="001D4C0D"/>
    <w:rsid w:val="001D52F2"/>
    <w:rsid w:val="001D5FAD"/>
    <w:rsid w:val="001D6578"/>
    <w:rsid w:val="001D67C8"/>
    <w:rsid w:val="001D6FA2"/>
    <w:rsid w:val="001E1112"/>
    <w:rsid w:val="001E14E1"/>
    <w:rsid w:val="001E1586"/>
    <w:rsid w:val="001E167A"/>
    <w:rsid w:val="001E1DE8"/>
    <w:rsid w:val="001E20A5"/>
    <w:rsid w:val="001E30C1"/>
    <w:rsid w:val="001E31D6"/>
    <w:rsid w:val="001E374A"/>
    <w:rsid w:val="001E3F08"/>
    <w:rsid w:val="001E42E0"/>
    <w:rsid w:val="001E4F60"/>
    <w:rsid w:val="001E546A"/>
    <w:rsid w:val="001E60B6"/>
    <w:rsid w:val="001E783C"/>
    <w:rsid w:val="001F0661"/>
    <w:rsid w:val="001F0A75"/>
    <w:rsid w:val="001F0F27"/>
    <w:rsid w:val="001F16A3"/>
    <w:rsid w:val="001F1CA4"/>
    <w:rsid w:val="001F31E5"/>
    <w:rsid w:val="001F3495"/>
    <w:rsid w:val="001F47C2"/>
    <w:rsid w:val="001F555E"/>
    <w:rsid w:val="001F55D7"/>
    <w:rsid w:val="001F5A1D"/>
    <w:rsid w:val="001F5B40"/>
    <w:rsid w:val="001F602B"/>
    <w:rsid w:val="001F6BE2"/>
    <w:rsid w:val="001F6DCE"/>
    <w:rsid w:val="001F7812"/>
    <w:rsid w:val="001F7EC7"/>
    <w:rsid w:val="00201E0C"/>
    <w:rsid w:val="002031F1"/>
    <w:rsid w:val="00203D81"/>
    <w:rsid w:val="002040CB"/>
    <w:rsid w:val="00204688"/>
    <w:rsid w:val="00204B36"/>
    <w:rsid w:val="00204CBD"/>
    <w:rsid w:val="00205F26"/>
    <w:rsid w:val="0020638C"/>
    <w:rsid w:val="00206D7D"/>
    <w:rsid w:val="002109E4"/>
    <w:rsid w:val="00210F4B"/>
    <w:rsid w:val="00212439"/>
    <w:rsid w:val="00212637"/>
    <w:rsid w:val="00212CF8"/>
    <w:rsid w:val="00213BB1"/>
    <w:rsid w:val="00213D77"/>
    <w:rsid w:val="002142A4"/>
    <w:rsid w:val="00215C0C"/>
    <w:rsid w:val="00215E06"/>
    <w:rsid w:val="00216E94"/>
    <w:rsid w:val="0021719E"/>
    <w:rsid w:val="00217685"/>
    <w:rsid w:val="002178C2"/>
    <w:rsid w:val="00217C9A"/>
    <w:rsid w:val="00217FA8"/>
    <w:rsid w:val="00220137"/>
    <w:rsid w:val="00220658"/>
    <w:rsid w:val="00220933"/>
    <w:rsid w:val="00220A6A"/>
    <w:rsid w:val="00221562"/>
    <w:rsid w:val="00222CEE"/>
    <w:rsid w:val="00222EF9"/>
    <w:rsid w:val="00223B4D"/>
    <w:rsid w:val="0022553E"/>
    <w:rsid w:val="0022634A"/>
    <w:rsid w:val="002264A0"/>
    <w:rsid w:val="00226565"/>
    <w:rsid w:val="00226D95"/>
    <w:rsid w:val="00227EB2"/>
    <w:rsid w:val="002300C3"/>
    <w:rsid w:val="0023035F"/>
    <w:rsid w:val="00230DA3"/>
    <w:rsid w:val="002313DC"/>
    <w:rsid w:val="002327CA"/>
    <w:rsid w:val="0023366A"/>
    <w:rsid w:val="00233A90"/>
    <w:rsid w:val="002344A4"/>
    <w:rsid w:val="00236636"/>
    <w:rsid w:val="0024186F"/>
    <w:rsid w:val="00241E07"/>
    <w:rsid w:val="002440D0"/>
    <w:rsid w:val="00244514"/>
    <w:rsid w:val="00245B9A"/>
    <w:rsid w:val="00246A8E"/>
    <w:rsid w:val="00246C00"/>
    <w:rsid w:val="00247845"/>
    <w:rsid w:val="002511E8"/>
    <w:rsid w:val="002520AF"/>
    <w:rsid w:val="00252A73"/>
    <w:rsid w:val="0025356B"/>
    <w:rsid w:val="00253B00"/>
    <w:rsid w:val="002549D0"/>
    <w:rsid w:val="00254E3B"/>
    <w:rsid w:val="00255F17"/>
    <w:rsid w:val="00260A6C"/>
    <w:rsid w:val="002616B0"/>
    <w:rsid w:val="00262039"/>
    <w:rsid w:val="0026221E"/>
    <w:rsid w:val="002624C6"/>
    <w:rsid w:val="00262900"/>
    <w:rsid w:val="002640F7"/>
    <w:rsid w:val="0026430E"/>
    <w:rsid w:val="00265146"/>
    <w:rsid w:val="002653B8"/>
    <w:rsid w:val="002666FD"/>
    <w:rsid w:val="00267D80"/>
    <w:rsid w:val="002706E7"/>
    <w:rsid w:val="00270BA0"/>
    <w:rsid w:val="00270F20"/>
    <w:rsid w:val="00271B96"/>
    <w:rsid w:val="00271C0C"/>
    <w:rsid w:val="0027234C"/>
    <w:rsid w:val="00272A3E"/>
    <w:rsid w:val="00273075"/>
    <w:rsid w:val="00274EBD"/>
    <w:rsid w:val="0027508F"/>
    <w:rsid w:val="002751D3"/>
    <w:rsid w:val="00275B72"/>
    <w:rsid w:val="00275EC2"/>
    <w:rsid w:val="00276D76"/>
    <w:rsid w:val="0027790F"/>
    <w:rsid w:val="00277CAC"/>
    <w:rsid w:val="00277ED6"/>
    <w:rsid w:val="00281464"/>
    <w:rsid w:val="00281B03"/>
    <w:rsid w:val="00282E8B"/>
    <w:rsid w:val="00283061"/>
    <w:rsid w:val="00283728"/>
    <w:rsid w:val="00284D5F"/>
    <w:rsid w:val="00285964"/>
    <w:rsid w:val="0028599A"/>
    <w:rsid w:val="00290243"/>
    <w:rsid w:val="002908CB"/>
    <w:rsid w:val="002913C2"/>
    <w:rsid w:val="00291FB9"/>
    <w:rsid w:val="00292DDB"/>
    <w:rsid w:val="002938BA"/>
    <w:rsid w:val="00293925"/>
    <w:rsid w:val="00293AFB"/>
    <w:rsid w:val="00295BD7"/>
    <w:rsid w:val="002967CD"/>
    <w:rsid w:val="002973EE"/>
    <w:rsid w:val="00297C2F"/>
    <w:rsid w:val="00297F4D"/>
    <w:rsid w:val="002A07C0"/>
    <w:rsid w:val="002A1A1B"/>
    <w:rsid w:val="002A1DAD"/>
    <w:rsid w:val="002A2FC5"/>
    <w:rsid w:val="002A3D43"/>
    <w:rsid w:val="002A401A"/>
    <w:rsid w:val="002A4272"/>
    <w:rsid w:val="002A48DB"/>
    <w:rsid w:val="002A5F62"/>
    <w:rsid w:val="002A5FE0"/>
    <w:rsid w:val="002A632A"/>
    <w:rsid w:val="002A65B0"/>
    <w:rsid w:val="002A6B78"/>
    <w:rsid w:val="002B19D4"/>
    <w:rsid w:val="002B4B08"/>
    <w:rsid w:val="002B5463"/>
    <w:rsid w:val="002B5631"/>
    <w:rsid w:val="002B6630"/>
    <w:rsid w:val="002B6F3C"/>
    <w:rsid w:val="002B74E8"/>
    <w:rsid w:val="002B797B"/>
    <w:rsid w:val="002B7CB5"/>
    <w:rsid w:val="002B7FEB"/>
    <w:rsid w:val="002C0A9C"/>
    <w:rsid w:val="002C102F"/>
    <w:rsid w:val="002C17A0"/>
    <w:rsid w:val="002C1E13"/>
    <w:rsid w:val="002C26C3"/>
    <w:rsid w:val="002C3C71"/>
    <w:rsid w:val="002C4993"/>
    <w:rsid w:val="002C4EB8"/>
    <w:rsid w:val="002C558E"/>
    <w:rsid w:val="002C6375"/>
    <w:rsid w:val="002C64B2"/>
    <w:rsid w:val="002C658E"/>
    <w:rsid w:val="002C675A"/>
    <w:rsid w:val="002D0658"/>
    <w:rsid w:val="002D129F"/>
    <w:rsid w:val="002D14B6"/>
    <w:rsid w:val="002D18F0"/>
    <w:rsid w:val="002D1CAE"/>
    <w:rsid w:val="002D2550"/>
    <w:rsid w:val="002D3123"/>
    <w:rsid w:val="002D5070"/>
    <w:rsid w:val="002D5D51"/>
    <w:rsid w:val="002D60ED"/>
    <w:rsid w:val="002D63DC"/>
    <w:rsid w:val="002D6FFA"/>
    <w:rsid w:val="002D7999"/>
    <w:rsid w:val="002D7AEB"/>
    <w:rsid w:val="002D7C96"/>
    <w:rsid w:val="002E0B16"/>
    <w:rsid w:val="002E0D83"/>
    <w:rsid w:val="002E2A6A"/>
    <w:rsid w:val="002E40F1"/>
    <w:rsid w:val="002E4ACE"/>
    <w:rsid w:val="002E4D3F"/>
    <w:rsid w:val="002E622B"/>
    <w:rsid w:val="002E7657"/>
    <w:rsid w:val="002E7C95"/>
    <w:rsid w:val="002F0262"/>
    <w:rsid w:val="002F0929"/>
    <w:rsid w:val="002F13CF"/>
    <w:rsid w:val="002F146B"/>
    <w:rsid w:val="002F215A"/>
    <w:rsid w:val="002F2C81"/>
    <w:rsid w:val="002F2E6E"/>
    <w:rsid w:val="002F2E95"/>
    <w:rsid w:val="002F2F81"/>
    <w:rsid w:val="002F328A"/>
    <w:rsid w:val="002F362F"/>
    <w:rsid w:val="002F425B"/>
    <w:rsid w:val="002F56AB"/>
    <w:rsid w:val="002F7AF4"/>
    <w:rsid w:val="00300A1C"/>
    <w:rsid w:val="003010E7"/>
    <w:rsid w:val="00301300"/>
    <w:rsid w:val="0030136C"/>
    <w:rsid w:val="00301482"/>
    <w:rsid w:val="003022A6"/>
    <w:rsid w:val="003028A5"/>
    <w:rsid w:val="003032C4"/>
    <w:rsid w:val="00303B5C"/>
    <w:rsid w:val="00303D5E"/>
    <w:rsid w:val="003040F0"/>
    <w:rsid w:val="003043B0"/>
    <w:rsid w:val="00304803"/>
    <w:rsid w:val="00305A21"/>
    <w:rsid w:val="00305D9E"/>
    <w:rsid w:val="00305EDA"/>
    <w:rsid w:val="003061C4"/>
    <w:rsid w:val="00306AB1"/>
    <w:rsid w:val="00307142"/>
    <w:rsid w:val="003077D2"/>
    <w:rsid w:val="003108FD"/>
    <w:rsid w:val="00310AA9"/>
    <w:rsid w:val="00310CA5"/>
    <w:rsid w:val="00310ED3"/>
    <w:rsid w:val="00311E44"/>
    <w:rsid w:val="00313575"/>
    <w:rsid w:val="00314142"/>
    <w:rsid w:val="003146C8"/>
    <w:rsid w:val="003148CC"/>
    <w:rsid w:val="00314AF3"/>
    <w:rsid w:val="00315196"/>
    <w:rsid w:val="0031546C"/>
    <w:rsid w:val="0031571D"/>
    <w:rsid w:val="00316D07"/>
    <w:rsid w:val="003173E7"/>
    <w:rsid w:val="003179FC"/>
    <w:rsid w:val="00317C30"/>
    <w:rsid w:val="00317E2B"/>
    <w:rsid w:val="00320816"/>
    <w:rsid w:val="00320E3B"/>
    <w:rsid w:val="003228D2"/>
    <w:rsid w:val="00323376"/>
    <w:rsid w:val="003246F6"/>
    <w:rsid w:val="00324A07"/>
    <w:rsid w:val="00324B99"/>
    <w:rsid w:val="003257F9"/>
    <w:rsid w:val="003264AD"/>
    <w:rsid w:val="0032744E"/>
    <w:rsid w:val="0032797C"/>
    <w:rsid w:val="00332518"/>
    <w:rsid w:val="003328C6"/>
    <w:rsid w:val="0033391B"/>
    <w:rsid w:val="003341E2"/>
    <w:rsid w:val="00337136"/>
    <w:rsid w:val="00337CDB"/>
    <w:rsid w:val="0034028A"/>
    <w:rsid w:val="0034092C"/>
    <w:rsid w:val="00341515"/>
    <w:rsid w:val="00341988"/>
    <w:rsid w:val="00341A68"/>
    <w:rsid w:val="00341C8C"/>
    <w:rsid w:val="0034261C"/>
    <w:rsid w:val="00342829"/>
    <w:rsid w:val="00342EFB"/>
    <w:rsid w:val="0034565E"/>
    <w:rsid w:val="00345D6C"/>
    <w:rsid w:val="00345E83"/>
    <w:rsid w:val="00346BA1"/>
    <w:rsid w:val="00347B9D"/>
    <w:rsid w:val="00350404"/>
    <w:rsid w:val="00350594"/>
    <w:rsid w:val="003505A2"/>
    <w:rsid w:val="00351342"/>
    <w:rsid w:val="00351B6E"/>
    <w:rsid w:val="00352FE9"/>
    <w:rsid w:val="003538B5"/>
    <w:rsid w:val="00353E43"/>
    <w:rsid w:val="00355432"/>
    <w:rsid w:val="00355CC3"/>
    <w:rsid w:val="00355DFF"/>
    <w:rsid w:val="003576F7"/>
    <w:rsid w:val="00357B10"/>
    <w:rsid w:val="00361233"/>
    <w:rsid w:val="003612EF"/>
    <w:rsid w:val="0036213E"/>
    <w:rsid w:val="0036288C"/>
    <w:rsid w:val="00362D75"/>
    <w:rsid w:val="00363429"/>
    <w:rsid w:val="00363944"/>
    <w:rsid w:val="00364A84"/>
    <w:rsid w:val="00364BB9"/>
    <w:rsid w:val="00365DF7"/>
    <w:rsid w:val="00366DD4"/>
    <w:rsid w:val="003673D9"/>
    <w:rsid w:val="003702EC"/>
    <w:rsid w:val="00370BDE"/>
    <w:rsid w:val="00370F86"/>
    <w:rsid w:val="003710F6"/>
    <w:rsid w:val="00371682"/>
    <w:rsid w:val="0037266A"/>
    <w:rsid w:val="003730C2"/>
    <w:rsid w:val="003731CF"/>
    <w:rsid w:val="003732A8"/>
    <w:rsid w:val="0037366B"/>
    <w:rsid w:val="00373F5A"/>
    <w:rsid w:val="00377B98"/>
    <w:rsid w:val="00380094"/>
    <w:rsid w:val="003800B6"/>
    <w:rsid w:val="0038012E"/>
    <w:rsid w:val="0038079E"/>
    <w:rsid w:val="00380C19"/>
    <w:rsid w:val="0038138D"/>
    <w:rsid w:val="00381A7E"/>
    <w:rsid w:val="00381BA9"/>
    <w:rsid w:val="00382957"/>
    <w:rsid w:val="00382C3C"/>
    <w:rsid w:val="003830E5"/>
    <w:rsid w:val="0038316F"/>
    <w:rsid w:val="00383386"/>
    <w:rsid w:val="003840A5"/>
    <w:rsid w:val="003843F6"/>
    <w:rsid w:val="00384B3A"/>
    <w:rsid w:val="003850A0"/>
    <w:rsid w:val="00385ED8"/>
    <w:rsid w:val="00387435"/>
    <w:rsid w:val="0038752D"/>
    <w:rsid w:val="0039019C"/>
    <w:rsid w:val="00390993"/>
    <w:rsid w:val="00390AFE"/>
    <w:rsid w:val="00390B76"/>
    <w:rsid w:val="00390F62"/>
    <w:rsid w:val="0039196B"/>
    <w:rsid w:val="00391E25"/>
    <w:rsid w:val="00391F70"/>
    <w:rsid w:val="0039290B"/>
    <w:rsid w:val="00392D34"/>
    <w:rsid w:val="003938D9"/>
    <w:rsid w:val="00393A56"/>
    <w:rsid w:val="00393A66"/>
    <w:rsid w:val="00393B5C"/>
    <w:rsid w:val="00393D76"/>
    <w:rsid w:val="00394458"/>
    <w:rsid w:val="003951FB"/>
    <w:rsid w:val="0039547B"/>
    <w:rsid w:val="00395B7D"/>
    <w:rsid w:val="00395C3F"/>
    <w:rsid w:val="00395FEA"/>
    <w:rsid w:val="0039666C"/>
    <w:rsid w:val="00397C78"/>
    <w:rsid w:val="00397D8E"/>
    <w:rsid w:val="003A14C5"/>
    <w:rsid w:val="003A1C80"/>
    <w:rsid w:val="003A21CC"/>
    <w:rsid w:val="003A223B"/>
    <w:rsid w:val="003A275D"/>
    <w:rsid w:val="003A28D9"/>
    <w:rsid w:val="003A2FA7"/>
    <w:rsid w:val="003A322B"/>
    <w:rsid w:val="003A3C30"/>
    <w:rsid w:val="003A44ED"/>
    <w:rsid w:val="003A4A5B"/>
    <w:rsid w:val="003A4C3D"/>
    <w:rsid w:val="003A5116"/>
    <w:rsid w:val="003A5C00"/>
    <w:rsid w:val="003A6066"/>
    <w:rsid w:val="003A6320"/>
    <w:rsid w:val="003A6DB1"/>
    <w:rsid w:val="003A7994"/>
    <w:rsid w:val="003A7B47"/>
    <w:rsid w:val="003A7F02"/>
    <w:rsid w:val="003B035E"/>
    <w:rsid w:val="003B0751"/>
    <w:rsid w:val="003B1F4F"/>
    <w:rsid w:val="003B2C79"/>
    <w:rsid w:val="003B2E28"/>
    <w:rsid w:val="003B33D4"/>
    <w:rsid w:val="003B4D81"/>
    <w:rsid w:val="003B4DDF"/>
    <w:rsid w:val="003B5BAC"/>
    <w:rsid w:val="003B66E4"/>
    <w:rsid w:val="003B6AD3"/>
    <w:rsid w:val="003B725E"/>
    <w:rsid w:val="003B76AD"/>
    <w:rsid w:val="003B76D4"/>
    <w:rsid w:val="003B78DC"/>
    <w:rsid w:val="003B792E"/>
    <w:rsid w:val="003C03D7"/>
    <w:rsid w:val="003C0656"/>
    <w:rsid w:val="003C12AA"/>
    <w:rsid w:val="003C2E67"/>
    <w:rsid w:val="003C3581"/>
    <w:rsid w:val="003C4BDD"/>
    <w:rsid w:val="003C51E4"/>
    <w:rsid w:val="003C5916"/>
    <w:rsid w:val="003D066A"/>
    <w:rsid w:val="003D19A9"/>
    <w:rsid w:val="003D1F00"/>
    <w:rsid w:val="003D2782"/>
    <w:rsid w:val="003D2F79"/>
    <w:rsid w:val="003D3121"/>
    <w:rsid w:val="003D325A"/>
    <w:rsid w:val="003D453C"/>
    <w:rsid w:val="003D4635"/>
    <w:rsid w:val="003D5390"/>
    <w:rsid w:val="003D551D"/>
    <w:rsid w:val="003D67A2"/>
    <w:rsid w:val="003D6AFB"/>
    <w:rsid w:val="003D6C99"/>
    <w:rsid w:val="003D6E99"/>
    <w:rsid w:val="003D7C81"/>
    <w:rsid w:val="003E0F99"/>
    <w:rsid w:val="003E15A4"/>
    <w:rsid w:val="003E1BF7"/>
    <w:rsid w:val="003E3185"/>
    <w:rsid w:val="003E3581"/>
    <w:rsid w:val="003E367E"/>
    <w:rsid w:val="003E3973"/>
    <w:rsid w:val="003E3B47"/>
    <w:rsid w:val="003E52A0"/>
    <w:rsid w:val="003E57C7"/>
    <w:rsid w:val="003E5B26"/>
    <w:rsid w:val="003E5C23"/>
    <w:rsid w:val="003E6719"/>
    <w:rsid w:val="003E6C3B"/>
    <w:rsid w:val="003E7AE0"/>
    <w:rsid w:val="003E7DD7"/>
    <w:rsid w:val="003F0234"/>
    <w:rsid w:val="003F0A8B"/>
    <w:rsid w:val="003F0B1F"/>
    <w:rsid w:val="003F13DB"/>
    <w:rsid w:val="003F14FD"/>
    <w:rsid w:val="003F1B7A"/>
    <w:rsid w:val="003F1FE5"/>
    <w:rsid w:val="003F2D64"/>
    <w:rsid w:val="003F3B22"/>
    <w:rsid w:val="003F3F7E"/>
    <w:rsid w:val="003F4D58"/>
    <w:rsid w:val="003F54ED"/>
    <w:rsid w:val="003F5ABC"/>
    <w:rsid w:val="003F5CA8"/>
    <w:rsid w:val="003F5F8B"/>
    <w:rsid w:val="003F61D2"/>
    <w:rsid w:val="003F6522"/>
    <w:rsid w:val="003F6648"/>
    <w:rsid w:val="003F6747"/>
    <w:rsid w:val="003F72E0"/>
    <w:rsid w:val="0040037A"/>
    <w:rsid w:val="00400691"/>
    <w:rsid w:val="004009E5"/>
    <w:rsid w:val="00401556"/>
    <w:rsid w:val="00401714"/>
    <w:rsid w:val="00402191"/>
    <w:rsid w:val="004022AF"/>
    <w:rsid w:val="0040369A"/>
    <w:rsid w:val="0040473E"/>
    <w:rsid w:val="004048DE"/>
    <w:rsid w:val="00404DF7"/>
    <w:rsid w:val="00405179"/>
    <w:rsid w:val="00405AC1"/>
    <w:rsid w:val="00406169"/>
    <w:rsid w:val="00406817"/>
    <w:rsid w:val="00406DF3"/>
    <w:rsid w:val="00407EB7"/>
    <w:rsid w:val="0041050C"/>
    <w:rsid w:val="00411350"/>
    <w:rsid w:val="00411606"/>
    <w:rsid w:val="00411E04"/>
    <w:rsid w:val="004131BF"/>
    <w:rsid w:val="00413523"/>
    <w:rsid w:val="00413894"/>
    <w:rsid w:val="00413F53"/>
    <w:rsid w:val="0041566C"/>
    <w:rsid w:val="00415FE9"/>
    <w:rsid w:val="004166BC"/>
    <w:rsid w:val="004173B4"/>
    <w:rsid w:val="0041763C"/>
    <w:rsid w:val="00417713"/>
    <w:rsid w:val="00417B2A"/>
    <w:rsid w:val="00421005"/>
    <w:rsid w:val="00421846"/>
    <w:rsid w:val="00421A2E"/>
    <w:rsid w:val="00421B6B"/>
    <w:rsid w:val="0042202D"/>
    <w:rsid w:val="00422699"/>
    <w:rsid w:val="0042319B"/>
    <w:rsid w:val="00424E95"/>
    <w:rsid w:val="00426FB4"/>
    <w:rsid w:val="00430F9A"/>
    <w:rsid w:val="0043107F"/>
    <w:rsid w:val="004310C3"/>
    <w:rsid w:val="00432983"/>
    <w:rsid w:val="00432F4C"/>
    <w:rsid w:val="00433081"/>
    <w:rsid w:val="004332EE"/>
    <w:rsid w:val="00434236"/>
    <w:rsid w:val="00434316"/>
    <w:rsid w:val="00434B5A"/>
    <w:rsid w:val="004351D6"/>
    <w:rsid w:val="004363EA"/>
    <w:rsid w:val="004367A8"/>
    <w:rsid w:val="00436FB8"/>
    <w:rsid w:val="00437702"/>
    <w:rsid w:val="004377E4"/>
    <w:rsid w:val="00437C1A"/>
    <w:rsid w:val="00437EBF"/>
    <w:rsid w:val="0044015C"/>
    <w:rsid w:val="004409D1"/>
    <w:rsid w:val="004418F1"/>
    <w:rsid w:val="00441D5B"/>
    <w:rsid w:val="0044320E"/>
    <w:rsid w:val="00444A3B"/>
    <w:rsid w:val="00444D41"/>
    <w:rsid w:val="004452A2"/>
    <w:rsid w:val="004453DB"/>
    <w:rsid w:val="0044570D"/>
    <w:rsid w:val="0044579B"/>
    <w:rsid w:val="00446AAC"/>
    <w:rsid w:val="00446C93"/>
    <w:rsid w:val="004471F3"/>
    <w:rsid w:val="00447277"/>
    <w:rsid w:val="00447FA6"/>
    <w:rsid w:val="0045098D"/>
    <w:rsid w:val="00450D0A"/>
    <w:rsid w:val="00450FD2"/>
    <w:rsid w:val="004512A9"/>
    <w:rsid w:val="004514F3"/>
    <w:rsid w:val="00451D41"/>
    <w:rsid w:val="00451F24"/>
    <w:rsid w:val="0045250C"/>
    <w:rsid w:val="00452AEA"/>
    <w:rsid w:val="00452EE2"/>
    <w:rsid w:val="004531C4"/>
    <w:rsid w:val="00453330"/>
    <w:rsid w:val="00453672"/>
    <w:rsid w:val="00453BE3"/>
    <w:rsid w:val="00453C2A"/>
    <w:rsid w:val="00453EAB"/>
    <w:rsid w:val="00454EEA"/>
    <w:rsid w:val="00455BE4"/>
    <w:rsid w:val="00456506"/>
    <w:rsid w:val="00460023"/>
    <w:rsid w:val="004601B5"/>
    <w:rsid w:val="004611E8"/>
    <w:rsid w:val="004614FE"/>
    <w:rsid w:val="00461854"/>
    <w:rsid w:val="00461AAD"/>
    <w:rsid w:val="00461FE6"/>
    <w:rsid w:val="0046247E"/>
    <w:rsid w:val="00462BFB"/>
    <w:rsid w:val="00462E04"/>
    <w:rsid w:val="00463032"/>
    <w:rsid w:val="004634D1"/>
    <w:rsid w:val="00463902"/>
    <w:rsid w:val="0046394B"/>
    <w:rsid w:val="0046468B"/>
    <w:rsid w:val="004658FE"/>
    <w:rsid w:val="00465CE1"/>
    <w:rsid w:val="00466584"/>
    <w:rsid w:val="004666F7"/>
    <w:rsid w:val="00467A87"/>
    <w:rsid w:val="0047144E"/>
    <w:rsid w:val="004726D9"/>
    <w:rsid w:val="00472BC3"/>
    <w:rsid w:val="00472CA5"/>
    <w:rsid w:val="0047486E"/>
    <w:rsid w:val="00474EC1"/>
    <w:rsid w:val="00474EEB"/>
    <w:rsid w:val="004758A1"/>
    <w:rsid w:val="00475BF8"/>
    <w:rsid w:val="0047605B"/>
    <w:rsid w:val="004760BE"/>
    <w:rsid w:val="004772FD"/>
    <w:rsid w:val="004773E8"/>
    <w:rsid w:val="00477C3E"/>
    <w:rsid w:val="00477D2F"/>
    <w:rsid w:val="00480354"/>
    <w:rsid w:val="00480383"/>
    <w:rsid w:val="00480D47"/>
    <w:rsid w:val="00480F07"/>
    <w:rsid w:val="0048105A"/>
    <w:rsid w:val="00481A37"/>
    <w:rsid w:val="004832D1"/>
    <w:rsid w:val="00484E33"/>
    <w:rsid w:val="00485B57"/>
    <w:rsid w:val="00485D6A"/>
    <w:rsid w:val="004900FC"/>
    <w:rsid w:val="00490494"/>
    <w:rsid w:val="004904B4"/>
    <w:rsid w:val="0049063E"/>
    <w:rsid w:val="00490C19"/>
    <w:rsid w:val="00491342"/>
    <w:rsid w:val="00491482"/>
    <w:rsid w:val="00491714"/>
    <w:rsid w:val="004917CD"/>
    <w:rsid w:val="004919AA"/>
    <w:rsid w:val="004923E3"/>
    <w:rsid w:val="004926D4"/>
    <w:rsid w:val="004926FA"/>
    <w:rsid w:val="00493D83"/>
    <w:rsid w:val="0049525C"/>
    <w:rsid w:val="004955A8"/>
    <w:rsid w:val="0049604C"/>
    <w:rsid w:val="00496FDD"/>
    <w:rsid w:val="0049782E"/>
    <w:rsid w:val="00497E01"/>
    <w:rsid w:val="00497E04"/>
    <w:rsid w:val="004A0125"/>
    <w:rsid w:val="004A0B7E"/>
    <w:rsid w:val="004A1336"/>
    <w:rsid w:val="004A22BD"/>
    <w:rsid w:val="004A2398"/>
    <w:rsid w:val="004A30AF"/>
    <w:rsid w:val="004A329B"/>
    <w:rsid w:val="004A50E1"/>
    <w:rsid w:val="004A54D4"/>
    <w:rsid w:val="004A5D80"/>
    <w:rsid w:val="004A6080"/>
    <w:rsid w:val="004A65DA"/>
    <w:rsid w:val="004A6F82"/>
    <w:rsid w:val="004A7280"/>
    <w:rsid w:val="004A7F9C"/>
    <w:rsid w:val="004B0972"/>
    <w:rsid w:val="004B0F5A"/>
    <w:rsid w:val="004B16D8"/>
    <w:rsid w:val="004B2D6D"/>
    <w:rsid w:val="004B341E"/>
    <w:rsid w:val="004B4BCC"/>
    <w:rsid w:val="004B5296"/>
    <w:rsid w:val="004B58B9"/>
    <w:rsid w:val="004B6739"/>
    <w:rsid w:val="004B70D7"/>
    <w:rsid w:val="004B7840"/>
    <w:rsid w:val="004B7D35"/>
    <w:rsid w:val="004C0070"/>
    <w:rsid w:val="004C11D6"/>
    <w:rsid w:val="004C1BD6"/>
    <w:rsid w:val="004C1C65"/>
    <w:rsid w:val="004C208F"/>
    <w:rsid w:val="004C20A7"/>
    <w:rsid w:val="004C2624"/>
    <w:rsid w:val="004C3114"/>
    <w:rsid w:val="004C3175"/>
    <w:rsid w:val="004C3947"/>
    <w:rsid w:val="004C3A77"/>
    <w:rsid w:val="004C3CEB"/>
    <w:rsid w:val="004C61F7"/>
    <w:rsid w:val="004C68BD"/>
    <w:rsid w:val="004C7571"/>
    <w:rsid w:val="004C778E"/>
    <w:rsid w:val="004C7E2F"/>
    <w:rsid w:val="004D03A4"/>
    <w:rsid w:val="004D047F"/>
    <w:rsid w:val="004D08E3"/>
    <w:rsid w:val="004D19ED"/>
    <w:rsid w:val="004D1B2C"/>
    <w:rsid w:val="004D2975"/>
    <w:rsid w:val="004D4E12"/>
    <w:rsid w:val="004D4F32"/>
    <w:rsid w:val="004D522A"/>
    <w:rsid w:val="004D576E"/>
    <w:rsid w:val="004D5A59"/>
    <w:rsid w:val="004D6093"/>
    <w:rsid w:val="004D6ED9"/>
    <w:rsid w:val="004E057D"/>
    <w:rsid w:val="004E2696"/>
    <w:rsid w:val="004E3932"/>
    <w:rsid w:val="004E5768"/>
    <w:rsid w:val="004E5771"/>
    <w:rsid w:val="004E5F66"/>
    <w:rsid w:val="004E672D"/>
    <w:rsid w:val="004E6890"/>
    <w:rsid w:val="004E6C75"/>
    <w:rsid w:val="004E726E"/>
    <w:rsid w:val="004F108B"/>
    <w:rsid w:val="004F12C3"/>
    <w:rsid w:val="004F2746"/>
    <w:rsid w:val="004F2A3E"/>
    <w:rsid w:val="004F3B3F"/>
    <w:rsid w:val="004F3EED"/>
    <w:rsid w:val="004F4A43"/>
    <w:rsid w:val="004F4B10"/>
    <w:rsid w:val="004F591D"/>
    <w:rsid w:val="004F6942"/>
    <w:rsid w:val="004F699E"/>
    <w:rsid w:val="004F6CEB"/>
    <w:rsid w:val="004F77FB"/>
    <w:rsid w:val="004F7B64"/>
    <w:rsid w:val="00500872"/>
    <w:rsid w:val="005010B9"/>
    <w:rsid w:val="005023B4"/>
    <w:rsid w:val="0050283E"/>
    <w:rsid w:val="0050334A"/>
    <w:rsid w:val="00503B0B"/>
    <w:rsid w:val="00504F51"/>
    <w:rsid w:val="0050501D"/>
    <w:rsid w:val="005054C5"/>
    <w:rsid w:val="00505553"/>
    <w:rsid w:val="00505610"/>
    <w:rsid w:val="005074A7"/>
    <w:rsid w:val="005077CE"/>
    <w:rsid w:val="00507B26"/>
    <w:rsid w:val="00507C2E"/>
    <w:rsid w:val="00510368"/>
    <w:rsid w:val="00510916"/>
    <w:rsid w:val="00510B73"/>
    <w:rsid w:val="00512ADB"/>
    <w:rsid w:val="00512D99"/>
    <w:rsid w:val="00512DFA"/>
    <w:rsid w:val="0051344E"/>
    <w:rsid w:val="00513F64"/>
    <w:rsid w:val="005140BF"/>
    <w:rsid w:val="00514B8A"/>
    <w:rsid w:val="00514C2E"/>
    <w:rsid w:val="00514EEB"/>
    <w:rsid w:val="00516555"/>
    <w:rsid w:val="0051702A"/>
    <w:rsid w:val="005173FC"/>
    <w:rsid w:val="00517966"/>
    <w:rsid w:val="00517C18"/>
    <w:rsid w:val="00520534"/>
    <w:rsid w:val="00520E4A"/>
    <w:rsid w:val="00520E6E"/>
    <w:rsid w:val="005231E9"/>
    <w:rsid w:val="005245FD"/>
    <w:rsid w:val="0052523F"/>
    <w:rsid w:val="00526A88"/>
    <w:rsid w:val="00526B1E"/>
    <w:rsid w:val="00527E15"/>
    <w:rsid w:val="00530146"/>
    <w:rsid w:val="005318B4"/>
    <w:rsid w:val="0053297F"/>
    <w:rsid w:val="00532E25"/>
    <w:rsid w:val="00533429"/>
    <w:rsid w:val="00533538"/>
    <w:rsid w:val="00534674"/>
    <w:rsid w:val="00534742"/>
    <w:rsid w:val="00534998"/>
    <w:rsid w:val="00534DD4"/>
    <w:rsid w:val="00534E02"/>
    <w:rsid w:val="005352A8"/>
    <w:rsid w:val="005354D9"/>
    <w:rsid w:val="005362E9"/>
    <w:rsid w:val="005373DF"/>
    <w:rsid w:val="00537845"/>
    <w:rsid w:val="00537BA3"/>
    <w:rsid w:val="00537DFF"/>
    <w:rsid w:val="005408F0"/>
    <w:rsid w:val="00541111"/>
    <w:rsid w:val="00541235"/>
    <w:rsid w:val="005417B4"/>
    <w:rsid w:val="00541ACA"/>
    <w:rsid w:val="005425AB"/>
    <w:rsid w:val="005428F1"/>
    <w:rsid w:val="00543081"/>
    <w:rsid w:val="005439DA"/>
    <w:rsid w:val="00543A1F"/>
    <w:rsid w:val="0054442B"/>
    <w:rsid w:val="00544EBA"/>
    <w:rsid w:val="005455F9"/>
    <w:rsid w:val="00546690"/>
    <w:rsid w:val="005471C1"/>
    <w:rsid w:val="0055038B"/>
    <w:rsid w:val="005508EB"/>
    <w:rsid w:val="00550DA1"/>
    <w:rsid w:val="00551651"/>
    <w:rsid w:val="005519BE"/>
    <w:rsid w:val="005533C3"/>
    <w:rsid w:val="00553823"/>
    <w:rsid w:val="00553F77"/>
    <w:rsid w:val="0055437B"/>
    <w:rsid w:val="0055547F"/>
    <w:rsid w:val="00555AD2"/>
    <w:rsid w:val="005565D4"/>
    <w:rsid w:val="005619EC"/>
    <w:rsid w:val="00561F12"/>
    <w:rsid w:val="005635EC"/>
    <w:rsid w:val="00564C65"/>
    <w:rsid w:val="00564E7C"/>
    <w:rsid w:val="00565251"/>
    <w:rsid w:val="005652D8"/>
    <w:rsid w:val="00565D9F"/>
    <w:rsid w:val="0056663F"/>
    <w:rsid w:val="00566653"/>
    <w:rsid w:val="00566778"/>
    <w:rsid w:val="00566A6A"/>
    <w:rsid w:val="00566E4B"/>
    <w:rsid w:val="0056763B"/>
    <w:rsid w:val="00570637"/>
    <w:rsid w:val="00571631"/>
    <w:rsid w:val="00571739"/>
    <w:rsid w:val="00571992"/>
    <w:rsid w:val="0057201A"/>
    <w:rsid w:val="00572A36"/>
    <w:rsid w:val="00572A62"/>
    <w:rsid w:val="00572DC2"/>
    <w:rsid w:val="005732A7"/>
    <w:rsid w:val="00573E76"/>
    <w:rsid w:val="0057446E"/>
    <w:rsid w:val="00574B6C"/>
    <w:rsid w:val="00574DA5"/>
    <w:rsid w:val="005757DD"/>
    <w:rsid w:val="00575AF7"/>
    <w:rsid w:val="00575C02"/>
    <w:rsid w:val="00575D59"/>
    <w:rsid w:val="005761AD"/>
    <w:rsid w:val="0057644A"/>
    <w:rsid w:val="005765E9"/>
    <w:rsid w:val="005766BA"/>
    <w:rsid w:val="005772A8"/>
    <w:rsid w:val="0057793F"/>
    <w:rsid w:val="00580669"/>
    <w:rsid w:val="00580D38"/>
    <w:rsid w:val="00580D43"/>
    <w:rsid w:val="005819A9"/>
    <w:rsid w:val="00582483"/>
    <w:rsid w:val="00582644"/>
    <w:rsid w:val="005834B4"/>
    <w:rsid w:val="00583E63"/>
    <w:rsid w:val="00583EE6"/>
    <w:rsid w:val="00584419"/>
    <w:rsid w:val="0058469E"/>
    <w:rsid w:val="00587A8D"/>
    <w:rsid w:val="00590CEA"/>
    <w:rsid w:val="00591131"/>
    <w:rsid w:val="00591743"/>
    <w:rsid w:val="005917A2"/>
    <w:rsid w:val="00591977"/>
    <w:rsid w:val="00591C17"/>
    <w:rsid w:val="00592719"/>
    <w:rsid w:val="00592A39"/>
    <w:rsid w:val="00593541"/>
    <w:rsid w:val="00594340"/>
    <w:rsid w:val="00594E46"/>
    <w:rsid w:val="005951AC"/>
    <w:rsid w:val="0059549E"/>
    <w:rsid w:val="005956A8"/>
    <w:rsid w:val="00595752"/>
    <w:rsid w:val="0059686F"/>
    <w:rsid w:val="00597760"/>
    <w:rsid w:val="005A05B1"/>
    <w:rsid w:val="005A067D"/>
    <w:rsid w:val="005A16EB"/>
    <w:rsid w:val="005A2BE3"/>
    <w:rsid w:val="005A347B"/>
    <w:rsid w:val="005A464B"/>
    <w:rsid w:val="005A4A39"/>
    <w:rsid w:val="005A5E6C"/>
    <w:rsid w:val="005A71DC"/>
    <w:rsid w:val="005A7487"/>
    <w:rsid w:val="005A7847"/>
    <w:rsid w:val="005A79A2"/>
    <w:rsid w:val="005B0198"/>
    <w:rsid w:val="005B0D50"/>
    <w:rsid w:val="005B1320"/>
    <w:rsid w:val="005B16F4"/>
    <w:rsid w:val="005B172A"/>
    <w:rsid w:val="005B2C83"/>
    <w:rsid w:val="005B373B"/>
    <w:rsid w:val="005B3F10"/>
    <w:rsid w:val="005B3FF8"/>
    <w:rsid w:val="005B43E0"/>
    <w:rsid w:val="005B4892"/>
    <w:rsid w:val="005B51B4"/>
    <w:rsid w:val="005B59EE"/>
    <w:rsid w:val="005B5B53"/>
    <w:rsid w:val="005B5D84"/>
    <w:rsid w:val="005B6149"/>
    <w:rsid w:val="005B6D66"/>
    <w:rsid w:val="005B6F77"/>
    <w:rsid w:val="005B7E86"/>
    <w:rsid w:val="005C0039"/>
    <w:rsid w:val="005C013D"/>
    <w:rsid w:val="005C0CB2"/>
    <w:rsid w:val="005C0E34"/>
    <w:rsid w:val="005C246D"/>
    <w:rsid w:val="005C2739"/>
    <w:rsid w:val="005C46B4"/>
    <w:rsid w:val="005C46D0"/>
    <w:rsid w:val="005C68D3"/>
    <w:rsid w:val="005D02F4"/>
    <w:rsid w:val="005D04FB"/>
    <w:rsid w:val="005D0ACE"/>
    <w:rsid w:val="005D0C85"/>
    <w:rsid w:val="005D2113"/>
    <w:rsid w:val="005D3E10"/>
    <w:rsid w:val="005D4E1E"/>
    <w:rsid w:val="005D536E"/>
    <w:rsid w:val="005E02AD"/>
    <w:rsid w:val="005E0933"/>
    <w:rsid w:val="005E16CC"/>
    <w:rsid w:val="005E1B05"/>
    <w:rsid w:val="005E3A5F"/>
    <w:rsid w:val="005E3ABB"/>
    <w:rsid w:val="005E43D6"/>
    <w:rsid w:val="005E4FB5"/>
    <w:rsid w:val="005E588F"/>
    <w:rsid w:val="005E787A"/>
    <w:rsid w:val="005E7F2D"/>
    <w:rsid w:val="005F06B6"/>
    <w:rsid w:val="005F0C3C"/>
    <w:rsid w:val="005F1F22"/>
    <w:rsid w:val="005F22A9"/>
    <w:rsid w:val="005F2AEA"/>
    <w:rsid w:val="005F2D85"/>
    <w:rsid w:val="005F338B"/>
    <w:rsid w:val="005F3AC0"/>
    <w:rsid w:val="005F46D1"/>
    <w:rsid w:val="005F4B8C"/>
    <w:rsid w:val="005F502A"/>
    <w:rsid w:val="005F51B1"/>
    <w:rsid w:val="005F5AA9"/>
    <w:rsid w:val="005F62FA"/>
    <w:rsid w:val="005F7ED8"/>
    <w:rsid w:val="00600ED3"/>
    <w:rsid w:val="00601336"/>
    <w:rsid w:val="00601653"/>
    <w:rsid w:val="00601C0B"/>
    <w:rsid w:val="0060217E"/>
    <w:rsid w:val="006045C3"/>
    <w:rsid w:val="0060488C"/>
    <w:rsid w:val="00604E1A"/>
    <w:rsid w:val="00605718"/>
    <w:rsid w:val="00606BF3"/>
    <w:rsid w:val="00607517"/>
    <w:rsid w:val="00607AE7"/>
    <w:rsid w:val="00607DFC"/>
    <w:rsid w:val="0061145D"/>
    <w:rsid w:val="0061278C"/>
    <w:rsid w:val="00612C14"/>
    <w:rsid w:val="00613135"/>
    <w:rsid w:val="00613E8E"/>
    <w:rsid w:val="0061451E"/>
    <w:rsid w:val="0061506A"/>
    <w:rsid w:val="00615512"/>
    <w:rsid w:val="006161F6"/>
    <w:rsid w:val="00616501"/>
    <w:rsid w:val="0061693A"/>
    <w:rsid w:val="0061707D"/>
    <w:rsid w:val="00621E28"/>
    <w:rsid w:val="00621F4D"/>
    <w:rsid w:val="00621FAB"/>
    <w:rsid w:val="006239A4"/>
    <w:rsid w:val="006246AB"/>
    <w:rsid w:val="00624B12"/>
    <w:rsid w:val="00625851"/>
    <w:rsid w:val="00626E83"/>
    <w:rsid w:val="00627AA1"/>
    <w:rsid w:val="00627CD8"/>
    <w:rsid w:val="00632009"/>
    <w:rsid w:val="00633BB1"/>
    <w:rsid w:val="0063407D"/>
    <w:rsid w:val="00634625"/>
    <w:rsid w:val="00634861"/>
    <w:rsid w:val="00634B5B"/>
    <w:rsid w:val="0063503D"/>
    <w:rsid w:val="0063504F"/>
    <w:rsid w:val="0063557A"/>
    <w:rsid w:val="00635E98"/>
    <w:rsid w:val="0063661C"/>
    <w:rsid w:val="00640090"/>
    <w:rsid w:val="00640172"/>
    <w:rsid w:val="0064080E"/>
    <w:rsid w:val="00640A06"/>
    <w:rsid w:val="00641A3A"/>
    <w:rsid w:val="00642EDF"/>
    <w:rsid w:val="006441EF"/>
    <w:rsid w:val="00644334"/>
    <w:rsid w:val="00644918"/>
    <w:rsid w:val="00644CBA"/>
    <w:rsid w:val="006450CB"/>
    <w:rsid w:val="00645CE6"/>
    <w:rsid w:val="00646D9B"/>
    <w:rsid w:val="00650D69"/>
    <w:rsid w:val="00651325"/>
    <w:rsid w:val="00652775"/>
    <w:rsid w:val="006530FB"/>
    <w:rsid w:val="00653196"/>
    <w:rsid w:val="00653B10"/>
    <w:rsid w:val="006548EE"/>
    <w:rsid w:val="00654BD7"/>
    <w:rsid w:val="00654F87"/>
    <w:rsid w:val="006556B2"/>
    <w:rsid w:val="0065581E"/>
    <w:rsid w:val="00656153"/>
    <w:rsid w:val="006602C0"/>
    <w:rsid w:val="00660389"/>
    <w:rsid w:val="00660619"/>
    <w:rsid w:val="0066097A"/>
    <w:rsid w:val="00660BB0"/>
    <w:rsid w:val="00660C6D"/>
    <w:rsid w:val="006614E9"/>
    <w:rsid w:val="00662072"/>
    <w:rsid w:val="0066224E"/>
    <w:rsid w:val="006624DA"/>
    <w:rsid w:val="006629FA"/>
    <w:rsid w:val="00662A4D"/>
    <w:rsid w:val="0066377F"/>
    <w:rsid w:val="00664ADB"/>
    <w:rsid w:val="0066502D"/>
    <w:rsid w:val="006652A5"/>
    <w:rsid w:val="006656AE"/>
    <w:rsid w:val="00667209"/>
    <w:rsid w:val="00667566"/>
    <w:rsid w:val="00667E88"/>
    <w:rsid w:val="00673495"/>
    <w:rsid w:val="0068021E"/>
    <w:rsid w:val="00680A86"/>
    <w:rsid w:val="00681CDC"/>
    <w:rsid w:val="0068283B"/>
    <w:rsid w:val="00683A46"/>
    <w:rsid w:val="00683FFE"/>
    <w:rsid w:val="00684A3D"/>
    <w:rsid w:val="0068517D"/>
    <w:rsid w:val="0068526D"/>
    <w:rsid w:val="00685609"/>
    <w:rsid w:val="0068640F"/>
    <w:rsid w:val="00687115"/>
    <w:rsid w:val="006876C7"/>
    <w:rsid w:val="00687B3A"/>
    <w:rsid w:val="00690179"/>
    <w:rsid w:val="00690B8B"/>
    <w:rsid w:val="00691115"/>
    <w:rsid w:val="00691186"/>
    <w:rsid w:val="00691DD5"/>
    <w:rsid w:val="006939BD"/>
    <w:rsid w:val="00693CA2"/>
    <w:rsid w:val="006958E2"/>
    <w:rsid w:val="00695FD7"/>
    <w:rsid w:val="00696A7E"/>
    <w:rsid w:val="00697F8E"/>
    <w:rsid w:val="006A0778"/>
    <w:rsid w:val="006A1462"/>
    <w:rsid w:val="006A2CEA"/>
    <w:rsid w:val="006A2F3D"/>
    <w:rsid w:val="006A3ABF"/>
    <w:rsid w:val="006A3C63"/>
    <w:rsid w:val="006A411C"/>
    <w:rsid w:val="006A44E3"/>
    <w:rsid w:val="006A454D"/>
    <w:rsid w:val="006A66A0"/>
    <w:rsid w:val="006A67A1"/>
    <w:rsid w:val="006A6CAB"/>
    <w:rsid w:val="006A6CEB"/>
    <w:rsid w:val="006B094C"/>
    <w:rsid w:val="006B0ECE"/>
    <w:rsid w:val="006B16E3"/>
    <w:rsid w:val="006B1CBA"/>
    <w:rsid w:val="006B1CBD"/>
    <w:rsid w:val="006B1EF3"/>
    <w:rsid w:val="006B203C"/>
    <w:rsid w:val="006B2325"/>
    <w:rsid w:val="006B418C"/>
    <w:rsid w:val="006B41A0"/>
    <w:rsid w:val="006B485B"/>
    <w:rsid w:val="006B4C44"/>
    <w:rsid w:val="006B50AF"/>
    <w:rsid w:val="006B5815"/>
    <w:rsid w:val="006B5EF6"/>
    <w:rsid w:val="006B60D7"/>
    <w:rsid w:val="006B62FC"/>
    <w:rsid w:val="006B6806"/>
    <w:rsid w:val="006B6A6B"/>
    <w:rsid w:val="006B7974"/>
    <w:rsid w:val="006B7992"/>
    <w:rsid w:val="006C167E"/>
    <w:rsid w:val="006C17D0"/>
    <w:rsid w:val="006C224D"/>
    <w:rsid w:val="006C34A1"/>
    <w:rsid w:val="006C4FDE"/>
    <w:rsid w:val="006C509D"/>
    <w:rsid w:val="006C582C"/>
    <w:rsid w:val="006C59D5"/>
    <w:rsid w:val="006C604D"/>
    <w:rsid w:val="006C7550"/>
    <w:rsid w:val="006C7574"/>
    <w:rsid w:val="006C78B6"/>
    <w:rsid w:val="006D007B"/>
    <w:rsid w:val="006D0DF7"/>
    <w:rsid w:val="006D1053"/>
    <w:rsid w:val="006D1405"/>
    <w:rsid w:val="006D229F"/>
    <w:rsid w:val="006D39A2"/>
    <w:rsid w:val="006D480F"/>
    <w:rsid w:val="006D69F3"/>
    <w:rsid w:val="006D6C43"/>
    <w:rsid w:val="006D78CE"/>
    <w:rsid w:val="006E00D4"/>
    <w:rsid w:val="006E161D"/>
    <w:rsid w:val="006E1957"/>
    <w:rsid w:val="006E1C3B"/>
    <w:rsid w:val="006E4192"/>
    <w:rsid w:val="006E6214"/>
    <w:rsid w:val="006E72EE"/>
    <w:rsid w:val="006E7894"/>
    <w:rsid w:val="006E7AB1"/>
    <w:rsid w:val="006E7ADD"/>
    <w:rsid w:val="006F0070"/>
    <w:rsid w:val="006F0E9A"/>
    <w:rsid w:val="006F3D18"/>
    <w:rsid w:val="006F49AF"/>
    <w:rsid w:val="006F4E9C"/>
    <w:rsid w:val="006F5036"/>
    <w:rsid w:val="006F55B5"/>
    <w:rsid w:val="006F55F4"/>
    <w:rsid w:val="006F5871"/>
    <w:rsid w:val="006F612F"/>
    <w:rsid w:val="006F6DBF"/>
    <w:rsid w:val="006F6EDD"/>
    <w:rsid w:val="0070100C"/>
    <w:rsid w:val="007021A5"/>
    <w:rsid w:val="007032EA"/>
    <w:rsid w:val="00703F96"/>
    <w:rsid w:val="00704283"/>
    <w:rsid w:val="007046DA"/>
    <w:rsid w:val="00704CB0"/>
    <w:rsid w:val="00705DA9"/>
    <w:rsid w:val="00707567"/>
    <w:rsid w:val="00707A39"/>
    <w:rsid w:val="00710569"/>
    <w:rsid w:val="00710BD3"/>
    <w:rsid w:val="00710E9C"/>
    <w:rsid w:val="00711309"/>
    <w:rsid w:val="00712085"/>
    <w:rsid w:val="0071268F"/>
    <w:rsid w:val="007128E6"/>
    <w:rsid w:val="00714747"/>
    <w:rsid w:val="00715D81"/>
    <w:rsid w:val="00717775"/>
    <w:rsid w:val="00717AC8"/>
    <w:rsid w:val="00717DBC"/>
    <w:rsid w:val="00717E60"/>
    <w:rsid w:val="00720AED"/>
    <w:rsid w:val="00721FF1"/>
    <w:rsid w:val="00722091"/>
    <w:rsid w:val="0072219A"/>
    <w:rsid w:val="007228E7"/>
    <w:rsid w:val="00722B1B"/>
    <w:rsid w:val="00722B49"/>
    <w:rsid w:val="00723CB5"/>
    <w:rsid w:val="00724055"/>
    <w:rsid w:val="00724784"/>
    <w:rsid w:val="007270C4"/>
    <w:rsid w:val="0072765E"/>
    <w:rsid w:val="0072775E"/>
    <w:rsid w:val="00727E27"/>
    <w:rsid w:val="00727E2B"/>
    <w:rsid w:val="0073045D"/>
    <w:rsid w:val="0073063B"/>
    <w:rsid w:val="00730A52"/>
    <w:rsid w:val="00730C4B"/>
    <w:rsid w:val="00730CA5"/>
    <w:rsid w:val="007318F8"/>
    <w:rsid w:val="00732479"/>
    <w:rsid w:val="0073300B"/>
    <w:rsid w:val="0073324B"/>
    <w:rsid w:val="00733308"/>
    <w:rsid w:val="007339E8"/>
    <w:rsid w:val="007342D4"/>
    <w:rsid w:val="00735674"/>
    <w:rsid w:val="007363E4"/>
    <w:rsid w:val="00736745"/>
    <w:rsid w:val="00736F03"/>
    <w:rsid w:val="00737104"/>
    <w:rsid w:val="00740615"/>
    <w:rsid w:val="00740907"/>
    <w:rsid w:val="007412B7"/>
    <w:rsid w:val="007419A7"/>
    <w:rsid w:val="00741BA4"/>
    <w:rsid w:val="00742A16"/>
    <w:rsid w:val="007435F1"/>
    <w:rsid w:val="00743B61"/>
    <w:rsid w:val="00744786"/>
    <w:rsid w:val="00744CBA"/>
    <w:rsid w:val="00745AA9"/>
    <w:rsid w:val="00745C97"/>
    <w:rsid w:val="00745E6E"/>
    <w:rsid w:val="00746BD4"/>
    <w:rsid w:val="00746C32"/>
    <w:rsid w:val="00747532"/>
    <w:rsid w:val="007475DD"/>
    <w:rsid w:val="00751922"/>
    <w:rsid w:val="00751F7A"/>
    <w:rsid w:val="0075240B"/>
    <w:rsid w:val="00752A16"/>
    <w:rsid w:val="00752C87"/>
    <w:rsid w:val="00752DFC"/>
    <w:rsid w:val="00754767"/>
    <w:rsid w:val="007568EA"/>
    <w:rsid w:val="00757A53"/>
    <w:rsid w:val="007600B5"/>
    <w:rsid w:val="0076083C"/>
    <w:rsid w:val="00760C3E"/>
    <w:rsid w:val="00762020"/>
    <w:rsid w:val="00762067"/>
    <w:rsid w:val="007646C8"/>
    <w:rsid w:val="00764B0C"/>
    <w:rsid w:val="00765D1A"/>
    <w:rsid w:val="00765DEA"/>
    <w:rsid w:val="00771377"/>
    <w:rsid w:val="007737F8"/>
    <w:rsid w:val="00774251"/>
    <w:rsid w:val="00774362"/>
    <w:rsid w:val="00774BD8"/>
    <w:rsid w:val="00774EFE"/>
    <w:rsid w:val="00775581"/>
    <w:rsid w:val="00775DF7"/>
    <w:rsid w:val="00776876"/>
    <w:rsid w:val="00776B44"/>
    <w:rsid w:val="00776C16"/>
    <w:rsid w:val="0077729C"/>
    <w:rsid w:val="0077767C"/>
    <w:rsid w:val="00777D21"/>
    <w:rsid w:val="007810E1"/>
    <w:rsid w:val="0078187A"/>
    <w:rsid w:val="00781FC7"/>
    <w:rsid w:val="0078227B"/>
    <w:rsid w:val="00782344"/>
    <w:rsid w:val="007828A9"/>
    <w:rsid w:val="00782CEE"/>
    <w:rsid w:val="00783029"/>
    <w:rsid w:val="0078331D"/>
    <w:rsid w:val="00783358"/>
    <w:rsid w:val="0078494F"/>
    <w:rsid w:val="007859DB"/>
    <w:rsid w:val="00786779"/>
    <w:rsid w:val="00790DAE"/>
    <w:rsid w:val="0079176F"/>
    <w:rsid w:val="00792C16"/>
    <w:rsid w:val="007933FB"/>
    <w:rsid w:val="00793D02"/>
    <w:rsid w:val="007954B9"/>
    <w:rsid w:val="0079553E"/>
    <w:rsid w:val="00795608"/>
    <w:rsid w:val="00795911"/>
    <w:rsid w:val="00795C05"/>
    <w:rsid w:val="007977FD"/>
    <w:rsid w:val="0079782B"/>
    <w:rsid w:val="00797CCC"/>
    <w:rsid w:val="00797CED"/>
    <w:rsid w:val="007A00FC"/>
    <w:rsid w:val="007A2022"/>
    <w:rsid w:val="007A2673"/>
    <w:rsid w:val="007A29F7"/>
    <w:rsid w:val="007A2E5A"/>
    <w:rsid w:val="007A3479"/>
    <w:rsid w:val="007A392B"/>
    <w:rsid w:val="007A3B03"/>
    <w:rsid w:val="007A4159"/>
    <w:rsid w:val="007A4562"/>
    <w:rsid w:val="007A5519"/>
    <w:rsid w:val="007A6BC5"/>
    <w:rsid w:val="007A75B9"/>
    <w:rsid w:val="007A7DCD"/>
    <w:rsid w:val="007B00D5"/>
    <w:rsid w:val="007B087B"/>
    <w:rsid w:val="007B186D"/>
    <w:rsid w:val="007B1D19"/>
    <w:rsid w:val="007B22DE"/>
    <w:rsid w:val="007B2725"/>
    <w:rsid w:val="007B287A"/>
    <w:rsid w:val="007B305F"/>
    <w:rsid w:val="007B35E4"/>
    <w:rsid w:val="007B37EE"/>
    <w:rsid w:val="007B3B0B"/>
    <w:rsid w:val="007B40D7"/>
    <w:rsid w:val="007B4139"/>
    <w:rsid w:val="007B4162"/>
    <w:rsid w:val="007B44F3"/>
    <w:rsid w:val="007B49D9"/>
    <w:rsid w:val="007B5139"/>
    <w:rsid w:val="007B51E9"/>
    <w:rsid w:val="007B57FD"/>
    <w:rsid w:val="007B5BC0"/>
    <w:rsid w:val="007B64DE"/>
    <w:rsid w:val="007B6B2D"/>
    <w:rsid w:val="007B6D04"/>
    <w:rsid w:val="007B71DC"/>
    <w:rsid w:val="007C02C5"/>
    <w:rsid w:val="007C0BC9"/>
    <w:rsid w:val="007C158F"/>
    <w:rsid w:val="007C1FB8"/>
    <w:rsid w:val="007C2010"/>
    <w:rsid w:val="007C2F59"/>
    <w:rsid w:val="007C3307"/>
    <w:rsid w:val="007C343B"/>
    <w:rsid w:val="007C4031"/>
    <w:rsid w:val="007C64A9"/>
    <w:rsid w:val="007C7EB9"/>
    <w:rsid w:val="007D0C3B"/>
    <w:rsid w:val="007D0E73"/>
    <w:rsid w:val="007D0FE3"/>
    <w:rsid w:val="007D13CE"/>
    <w:rsid w:val="007D2C51"/>
    <w:rsid w:val="007D2E76"/>
    <w:rsid w:val="007D344B"/>
    <w:rsid w:val="007D362E"/>
    <w:rsid w:val="007D3AC9"/>
    <w:rsid w:val="007D3C95"/>
    <w:rsid w:val="007D40F4"/>
    <w:rsid w:val="007D4624"/>
    <w:rsid w:val="007D49C9"/>
    <w:rsid w:val="007D504C"/>
    <w:rsid w:val="007D5E30"/>
    <w:rsid w:val="007D61C2"/>
    <w:rsid w:val="007D6682"/>
    <w:rsid w:val="007D6EBB"/>
    <w:rsid w:val="007D7284"/>
    <w:rsid w:val="007D737C"/>
    <w:rsid w:val="007E0237"/>
    <w:rsid w:val="007E04FA"/>
    <w:rsid w:val="007E0CDC"/>
    <w:rsid w:val="007E0FBA"/>
    <w:rsid w:val="007E11A8"/>
    <w:rsid w:val="007E12F1"/>
    <w:rsid w:val="007E1451"/>
    <w:rsid w:val="007E1969"/>
    <w:rsid w:val="007E232B"/>
    <w:rsid w:val="007E28FE"/>
    <w:rsid w:val="007E380A"/>
    <w:rsid w:val="007E443B"/>
    <w:rsid w:val="007E5314"/>
    <w:rsid w:val="007E5739"/>
    <w:rsid w:val="007E5A8C"/>
    <w:rsid w:val="007E5F7B"/>
    <w:rsid w:val="007E67FC"/>
    <w:rsid w:val="007E775A"/>
    <w:rsid w:val="007E7F2D"/>
    <w:rsid w:val="007F06F3"/>
    <w:rsid w:val="007F0AC4"/>
    <w:rsid w:val="007F154B"/>
    <w:rsid w:val="007F184B"/>
    <w:rsid w:val="007F18DF"/>
    <w:rsid w:val="007F2BAA"/>
    <w:rsid w:val="007F3291"/>
    <w:rsid w:val="007F3A0D"/>
    <w:rsid w:val="007F3AE7"/>
    <w:rsid w:val="007F3CCA"/>
    <w:rsid w:val="007F43AB"/>
    <w:rsid w:val="007F4A9A"/>
    <w:rsid w:val="007F4AD6"/>
    <w:rsid w:val="007F4CBD"/>
    <w:rsid w:val="007F5CBA"/>
    <w:rsid w:val="007F7CD5"/>
    <w:rsid w:val="00800B6F"/>
    <w:rsid w:val="008013D7"/>
    <w:rsid w:val="00801F91"/>
    <w:rsid w:val="0080288C"/>
    <w:rsid w:val="00802B35"/>
    <w:rsid w:val="00802CD7"/>
    <w:rsid w:val="00802FA5"/>
    <w:rsid w:val="008037F2"/>
    <w:rsid w:val="00804EE5"/>
    <w:rsid w:val="0080566D"/>
    <w:rsid w:val="00806068"/>
    <w:rsid w:val="008075C8"/>
    <w:rsid w:val="00807F97"/>
    <w:rsid w:val="008100CE"/>
    <w:rsid w:val="0081044A"/>
    <w:rsid w:val="00810F4C"/>
    <w:rsid w:val="0081125F"/>
    <w:rsid w:val="0081252B"/>
    <w:rsid w:val="008131E8"/>
    <w:rsid w:val="00814034"/>
    <w:rsid w:val="0081427A"/>
    <w:rsid w:val="0081443E"/>
    <w:rsid w:val="0081484A"/>
    <w:rsid w:val="00814C9E"/>
    <w:rsid w:val="00814E37"/>
    <w:rsid w:val="00815E85"/>
    <w:rsid w:val="008170F0"/>
    <w:rsid w:val="008173EC"/>
    <w:rsid w:val="008174AE"/>
    <w:rsid w:val="00820819"/>
    <w:rsid w:val="00820D16"/>
    <w:rsid w:val="00820FF5"/>
    <w:rsid w:val="008210B4"/>
    <w:rsid w:val="00821AB5"/>
    <w:rsid w:val="00822DC4"/>
    <w:rsid w:val="008234A5"/>
    <w:rsid w:val="00823F90"/>
    <w:rsid w:val="00824088"/>
    <w:rsid w:val="008241B4"/>
    <w:rsid w:val="00824A5B"/>
    <w:rsid w:val="00825770"/>
    <w:rsid w:val="00825A29"/>
    <w:rsid w:val="00825B7A"/>
    <w:rsid w:val="00825D8B"/>
    <w:rsid w:val="00825ED1"/>
    <w:rsid w:val="00826621"/>
    <w:rsid w:val="008268C0"/>
    <w:rsid w:val="00826B74"/>
    <w:rsid w:val="00826DDA"/>
    <w:rsid w:val="00826DDB"/>
    <w:rsid w:val="00826F0C"/>
    <w:rsid w:val="0083088F"/>
    <w:rsid w:val="008308B0"/>
    <w:rsid w:val="00831915"/>
    <w:rsid w:val="0083199E"/>
    <w:rsid w:val="00832431"/>
    <w:rsid w:val="00832911"/>
    <w:rsid w:val="00832B59"/>
    <w:rsid w:val="0083359F"/>
    <w:rsid w:val="008338E0"/>
    <w:rsid w:val="008339EA"/>
    <w:rsid w:val="00833A70"/>
    <w:rsid w:val="00833CBF"/>
    <w:rsid w:val="008355AD"/>
    <w:rsid w:val="00836FA5"/>
    <w:rsid w:val="0083715C"/>
    <w:rsid w:val="00837537"/>
    <w:rsid w:val="00837845"/>
    <w:rsid w:val="008378D3"/>
    <w:rsid w:val="00837ADE"/>
    <w:rsid w:val="00840367"/>
    <w:rsid w:val="00841676"/>
    <w:rsid w:val="008417BC"/>
    <w:rsid w:val="00841BFC"/>
    <w:rsid w:val="008432B5"/>
    <w:rsid w:val="0084343F"/>
    <w:rsid w:val="00843813"/>
    <w:rsid w:val="008445E9"/>
    <w:rsid w:val="00844C20"/>
    <w:rsid w:val="00844C5A"/>
    <w:rsid w:val="00845747"/>
    <w:rsid w:val="00845BB2"/>
    <w:rsid w:val="008478BA"/>
    <w:rsid w:val="00847FD0"/>
    <w:rsid w:val="00850423"/>
    <w:rsid w:val="00850800"/>
    <w:rsid w:val="008508B1"/>
    <w:rsid w:val="00851250"/>
    <w:rsid w:val="008512B4"/>
    <w:rsid w:val="0085152C"/>
    <w:rsid w:val="008516E3"/>
    <w:rsid w:val="008517F3"/>
    <w:rsid w:val="00851AE9"/>
    <w:rsid w:val="00852708"/>
    <w:rsid w:val="00852F64"/>
    <w:rsid w:val="00852FA5"/>
    <w:rsid w:val="00853ACE"/>
    <w:rsid w:val="0085481F"/>
    <w:rsid w:val="00855395"/>
    <w:rsid w:val="00855E79"/>
    <w:rsid w:val="00856A98"/>
    <w:rsid w:val="00856C2A"/>
    <w:rsid w:val="00857CA4"/>
    <w:rsid w:val="00860309"/>
    <w:rsid w:val="008613C2"/>
    <w:rsid w:val="00861B00"/>
    <w:rsid w:val="00862284"/>
    <w:rsid w:val="0086345B"/>
    <w:rsid w:val="008644FC"/>
    <w:rsid w:val="00865229"/>
    <w:rsid w:val="00866350"/>
    <w:rsid w:val="00866867"/>
    <w:rsid w:val="00866C8C"/>
    <w:rsid w:val="00867AA9"/>
    <w:rsid w:val="00870619"/>
    <w:rsid w:val="00870F67"/>
    <w:rsid w:val="0087180C"/>
    <w:rsid w:val="0087191F"/>
    <w:rsid w:val="008721AC"/>
    <w:rsid w:val="00872349"/>
    <w:rsid w:val="008727DF"/>
    <w:rsid w:val="00873611"/>
    <w:rsid w:val="008759E7"/>
    <w:rsid w:val="00876376"/>
    <w:rsid w:val="008767AD"/>
    <w:rsid w:val="0087684A"/>
    <w:rsid w:val="00877542"/>
    <w:rsid w:val="008777E1"/>
    <w:rsid w:val="00880155"/>
    <w:rsid w:val="00880CA2"/>
    <w:rsid w:val="008823A0"/>
    <w:rsid w:val="00884854"/>
    <w:rsid w:val="00885392"/>
    <w:rsid w:val="00886310"/>
    <w:rsid w:val="0088636B"/>
    <w:rsid w:val="008863C6"/>
    <w:rsid w:val="00887074"/>
    <w:rsid w:val="008909BA"/>
    <w:rsid w:val="008909D2"/>
    <w:rsid w:val="008912F4"/>
    <w:rsid w:val="008916B1"/>
    <w:rsid w:val="00893096"/>
    <w:rsid w:val="008933AD"/>
    <w:rsid w:val="0089403D"/>
    <w:rsid w:val="00894950"/>
    <w:rsid w:val="00894ADA"/>
    <w:rsid w:val="00895220"/>
    <w:rsid w:val="00896093"/>
    <w:rsid w:val="008972D0"/>
    <w:rsid w:val="008A000D"/>
    <w:rsid w:val="008A04FB"/>
    <w:rsid w:val="008A0A4E"/>
    <w:rsid w:val="008A1169"/>
    <w:rsid w:val="008A1BBC"/>
    <w:rsid w:val="008A1F0B"/>
    <w:rsid w:val="008A254F"/>
    <w:rsid w:val="008A3265"/>
    <w:rsid w:val="008A4126"/>
    <w:rsid w:val="008A504A"/>
    <w:rsid w:val="008A51F7"/>
    <w:rsid w:val="008A7AD8"/>
    <w:rsid w:val="008B1058"/>
    <w:rsid w:val="008B14EA"/>
    <w:rsid w:val="008B2C03"/>
    <w:rsid w:val="008B2D97"/>
    <w:rsid w:val="008B3A46"/>
    <w:rsid w:val="008B513D"/>
    <w:rsid w:val="008B65E6"/>
    <w:rsid w:val="008B6A17"/>
    <w:rsid w:val="008B6EFE"/>
    <w:rsid w:val="008B7686"/>
    <w:rsid w:val="008B76A9"/>
    <w:rsid w:val="008B79FF"/>
    <w:rsid w:val="008B7A35"/>
    <w:rsid w:val="008B7B49"/>
    <w:rsid w:val="008C0915"/>
    <w:rsid w:val="008C1272"/>
    <w:rsid w:val="008C16BE"/>
    <w:rsid w:val="008C2782"/>
    <w:rsid w:val="008C2AE2"/>
    <w:rsid w:val="008C2BD3"/>
    <w:rsid w:val="008C2DF1"/>
    <w:rsid w:val="008C3561"/>
    <w:rsid w:val="008C3ED7"/>
    <w:rsid w:val="008C40F6"/>
    <w:rsid w:val="008C505A"/>
    <w:rsid w:val="008C6691"/>
    <w:rsid w:val="008C6D70"/>
    <w:rsid w:val="008D0586"/>
    <w:rsid w:val="008D1161"/>
    <w:rsid w:val="008D1402"/>
    <w:rsid w:val="008D30C1"/>
    <w:rsid w:val="008D3310"/>
    <w:rsid w:val="008D344F"/>
    <w:rsid w:val="008D3F43"/>
    <w:rsid w:val="008D42F4"/>
    <w:rsid w:val="008D57E3"/>
    <w:rsid w:val="008D5B1F"/>
    <w:rsid w:val="008D6DBE"/>
    <w:rsid w:val="008D72E7"/>
    <w:rsid w:val="008D7D38"/>
    <w:rsid w:val="008E0012"/>
    <w:rsid w:val="008E0216"/>
    <w:rsid w:val="008E13EB"/>
    <w:rsid w:val="008E23BD"/>
    <w:rsid w:val="008E2C8A"/>
    <w:rsid w:val="008E539C"/>
    <w:rsid w:val="008E6509"/>
    <w:rsid w:val="008E761B"/>
    <w:rsid w:val="008E7F5F"/>
    <w:rsid w:val="008F0A83"/>
    <w:rsid w:val="008F0D15"/>
    <w:rsid w:val="008F1517"/>
    <w:rsid w:val="008F1AA2"/>
    <w:rsid w:val="008F22BC"/>
    <w:rsid w:val="008F26B2"/>
    <w:rsid w:val="008F273C"/>
    <w:rsid w:val="008F3456"/>
    <w:rsid w:val="008F44E9"/>
    <w:rsid w:val="008F46CC"/>
    <w:rsid w:val="008F4CE8"/>
    <w:rsid w:val="008F50F0"/>
    <w:rsid w:val="008F5C6C"/>
    <w:rsid w:val="008F65E1"/>
    <w:rsid w:val="008F724B"/>
    <w:rsid w:val="008F7B33"/>
    <w:rsid w:val="008F7F29"/>
    <w:rsid w:val="0090009D"/>
    <w:rsid w:val="00900F2C"/>
    <w:rsid w:val="009011E4"/>
    <w:rsid w:val="00902DA0"/>
    <w:rsid w:val="009030C6"/>
    <w:rsid w:val="00905206"/>
    <w:rsid w:val="009073DE"/>
    <w:rsid w:val="009102F1"/>
    <w:rsid w:val="0091055D"/>
    <w:rsid w:val="00910881"/>
    <w:rsid w:val="00910D4A"/>
    <w:rsid w:val="00912094"/>
    <w:rsid w:val="00913EA9"/>
    <w:rsid w:val="0091429E"/>
    <w:rsid w:val="009143C3"/>
    <w:rsid w:val="00914611"/>
    <w:rsid w:val="009154AF"/>
    <w:rsid w:val="00915954"/>
    <w:rsid w:val="00915A21"/>
    <w:rsid w:val="00916392"/>
    <w:rsid w:val="00916BC6"/>
    <w:rsid w:val="009170A8"/>
    <w:rsid w:val="0092098C"/>
    <w:rsid w:val="00920A00"/>
    <w:rsid w:val="00920CA4"/>
    <w:rsid w:val="009216B5"/>
    <w:rsid w:val="00922BDE"/>
    <w:rsid w:val="009238F6"/>
    <w:rsid w:val="00923A9C"/>
    <w:rsid w:val="00925A00"/>
    <w:rsid w:val="00925A61"/>
    <w:rsid w:val="00926992"/>
    <w:rsid w:val="00926F43"/>
    <w:rsid w:val="00927B3D"/>
    <w:rsid w:val="00927E4A"/>
    <w:rsid w:val="00927FA6"/>
    <w:rsid w:val="00930405"/>
    <w:rsid w:val="0093088E"/>
    <w:rsid w:val="009309FF"/>
    <w:rsid w:val="009311AA"/>
    <w:rsid w:val="009313B2"/>
    <w:rsid w:val="00931871"/>
    <w:rsid w:val="0093266D"/>
    <w:rsid w:val="00932A57"/>
    <w:rsid w:val="00932F90"/>
    <w:rsid w:val="009332D3"/>
    <w:rsid w:val="009336FA"/>
    <w:rsid w:val="00933895"/>
    <w:rsid w:val="00934403"/>
    <w:rsid w:val="009345DC"/>
    <w:rsid w:val="0093497E"/>
    <w:rsid w:val="0093559C"/>
    <w:rsid w:val="009361BD"/>
    <w:rsid w:val="0093621E"/>
    <w:rsid w:val="009364C3"/>
    <w:rsid w:val="0094045F"/>
    <w:rsid w:val="009415ED"/>
    <w:rsid w:val="00941F18"/>
    <w:rsid w:val="00942523"/>
    <w:rsid w:val="00942746"/>
    <w:rsid w:val="00942A2F"/>
    <w:rsid w:val="009443FB"/>
    <w:rsid w:val="00945BE2"/>
    <w:rsid w:val="00945C20"/>
    <w:rsid w:val="00945ED7"/>
    <w:rsid w:val="009465C5"/>
    <w:rsid w:val="00946874"/>
    <w:rsid w:val="00947429"/>
    <w:rsid w:val="009474B0"/>
    <w:rsid w:val="0095015D"/>
    <w:rsid w:val="00950ED6"/>
    <w:rsid w:val="0095121F"/>
    <w:rsid w:val="00951759"/>
    <w:rsid w:val="00953BCF"/>
    <w:rsid w:val="00954751"/>
    <w:rsid w:val="00954FD7"/>
    <w:rsid w:val="00955671"/>
    <w:rsid w:val="00955C72"/>
    <w:rsid w:val="00956440"/>
    <w:rsid w:val="009568EA"/>
    <w:rsid w:val="00957388"/>
    <w:rsid w:val="009573F1"/>
    <w:rsid w:val="00957976"/>
    <w:rsid w:val="009579F0"/>
    <w:rsid w:val="00957DB2"/>
    <w:rsid w:val="00957E88"/>
    <w:rsid w:val="00960181"/>
    <w:rsid w:val="00960281"/>
    <w:rsid w:val="00960306"/>
    <w:rsid w:val="00960DC5"/>
    <w:rsid w:val="00963B90"/>
    <w:rsid w:val="0096423E"/>
    <w:rsid w:val="00964798"/>
    <w:rsid w:val="0096582A"/>
    <w:rsid w:val="009658F1"/>
    <w:rsid w:val="009660C1"/>
    <w:rsid w:val="009672D0"/>
    <w:rsid w:val="00967BA3"/>
    <w:rsid w:val="009701D7"/>
    <w:rsid w:val="00970AAD"/>
    <w:rsid w:val="00971BED"/>
    <w:rsid w:val="00972B45"/>
    <w:rsid w:val="0097300D"/>
    <w:rsid w:val="009734F0"/>
    <w:rsid w:val="00973591"/>
    <w:rsid w:val="00974BAA"/>
    <w:rsid w:val="00974CF2"/>
    <w:rsid w:val="00975036"/>
    <w:rsid w:val="00975920"/>
    <w:rsid w:val="009766D2"/>
    <w:rsid w:val="00980904"/>
    <w:rsid w:val="00980EE0"/>
    <w:rsid w:val="0098102F"/>
    <w:rsid w:val="00982159"/>
    <w:rsid w:val="009823A1"/>
    <w:rsid w:val="0098241B"/>
    <w:rsid w:val="00983C4D"/>
    <w:rsid w:val="00983C7C"/>
    <w:rsid w:val="00984F03"/>
    <w:rsid w:val="00985D0F"/>
    <w:rsid w:val="00986F72"/>
    <w:rsid w:val="009901EA"/>
    <w:rsid w:val="009911FF"/>
    <w:rsid w:val="00991B93"/>
    <w:rsid w:val="009925FD"/>
    <w:rsid w:val="0099265D"/>
    <w:rsid w:val="009934DB"/>
    <w:rsid w:val="00993A98"/>
    <w:rsid w:val="00993DCA"/>
    <w:rsid w:val="00994BBB"/>
    <w:rsid w:val="00994CD6"/>
    <w:rsid w:val="009951AF"/>
    <w:rsid w:val="00995658"/>
    <w:rsid w:val="00995752"/>
    <w:rsid w:val="00995D3E"/>
    <w:rsid w:val="009975D1"/>
    <w:rsid w:val="00997DCA"/>
    <w:rsid w:val="00997E0F"/>
    <w:rsid w:val="009A0C46"/>
    <w:rsid w:val="009A0F54"/>
    <w:rsid w:val="009A163F"/>
    <w:rsid w:val="009A1B43"/>
    <w:rsid w:val="009A3FFB"/>
    <w:rsid w:val="009A4A75"/>
    <w:rsid w:val="009A637F"/>
    <w:rsid w:val="009A6ACE"/>
    <w:rsid w:val="009A6D18"/>
    <w:rsid w:val="009B03EC"/>
    <w:rsid w:val="009B051E"/>
    <w:rsid w:val="009B0588"/>
    <w:rsid w:val="009B0FDC"/>
    <w:rsid w:val="009B13E0"/>
    <w:rsid w:val="009B22EF"/>
    <w:rsid w:val="009B28B6"/>
    <w:rsid w:val="009B2B28"/>
    <w:rsid w:val="009B374C"/>
    <w:rsid w:val="009B3AA6"/>
    <w:rsid w:val="009B3BFA"/>
    <w:rsid w:val="009B3E01"/>
    <w:rsid w:val="009B41F2"/>
    <w:rsid w:val="009B431E"/>
    <w:rsid w:val="009B6152"/>
    <w:rsid w:val="009B72C7"/>
    <w:rsid w:val="009B7823"/>
    <w:rsid w:val="009B7C68"/>
    <w:rsid w:val="009C0174"/>
    <w:rsid w:val="009C10D3"/>
    <w:rsid w:val="009C11D4"/>
    <w:rsid w:val="009C1A25"/>
    <w:rsid w:val="009C247B"/>
    <w:rsid w:val="009C3AF8"/>
    <w:rsid w:val="009C3F08"/>
    <w:rsid w:val="009C41CC"/>
    <w:rsid w:val="009C45F3"/>
    <w:rsid w:val="009C47DC"/>
    <w:rsid w:val="009C4919"/>
    <w:rsid w:val="009C51F8"/>
    <w:rsid w:val="009C6356"/>
    <w:rsid w:val="009C6773"/>
    <w:rsid w:val="009C6E23"/>
    <w:rsid w:val="009C7F15"/>
    <w:rsid w:val="009D07DD"/>
    <w:rsid w:val="009D0901"/>
    <w:rsid w:val="009D0DC4"/>
    <w:rsid w:val="009D11C5"/>
    <w:rsid w:val="009D15FF"/>
    <w:rsid w:val="009D176D"/>
    <w:rsid w:val="009D2B57"/>
    <w:rsid w:val="009D35C5"/>
    <w:rsid w:val="009D3BB6"/>
    <w:rsid w:val="009D4336"/>
    <w:rsid w:val="009D4AB9"/>
    <w:rsid w:val="009D4DC6"/>
    <w:rsid w:val="009D55DA"/>
    <w:rsid w:val="009D65C7"/>
    <w:rsid w:val="009D6EFE"/>
    <w:rsid w:val="009D7D8C"/>
    <w:rsid w:val="009D7E54"/>
    <w:rsid w:val="009E05F8"/>
    <w:rsid w:val="009E0A68"/>
    <w:rsid w:val="009E10A4"/>
    <w:rsid w:val="009E10F9"/>
    <w:rsid w:val="009E21C7"/>
    <w:rsid w:val="009E24C1"/>
    <w:rsid w:val="009E29BC"/>
    <w:rsid w:val="009E3474"/>
    <w:rsid w:val="009E35F3"/>
    <w:rsid w:val="009E37A4"/>
    <w:rsid w:val="009E411F"/>
    <w:rsid w:val="009E4243"/>
    <w:rsid w:val="009E507E"/>
    <w:rsid w:val="009E5424"/>
    <w:rsid w:val="009E5F8E"/>
    <w:rsid w:val="009E673B"/>
    <w:rsid w:val="009E6750"/>
    <w:rsid w:val="009E676A"/>
    <w:rsid w:val="009E6863"/>
    <w:rsid w:val="009F0A80"/>
    <w:rsid w:val="009F16B2"/>
    <w:rsid w:val="009F1DA5"/>
    <w:rsid w:val="009F293A"/>
    <w:rsid w:val="009F39F2"/>
    <w:rsid w:val="009F4F28"/>
    <w:rsid w:val="009F4F40"/>
    <w:rsid w:val="009F534F"/>
    <w:rsid w:val="009F600C"/>
    <w:rsid w:val="009F60AE"/>
    <w:rsid w:val="009F6DD4"/>
    <w:rsid w:val="009F768E"/>
    <w:rsid w:val="00A00EAA"/>
    <w:rsid w:val="00A00F0A"/>
    <w:rsid w:val="00A01569"/>
    <w:rsid w:val="00A01A00"/>
    <w:rsid w:val="00A0226B"/>
    <w:rsid w:val="00A0269A"/>
    <w:rsid w:val="00A0394C"/>
    <w:rsid w:val="00A041E4"/>
    <w:rsid w:val="00A045DF"/>
    <w:rsid w:val="00A047A8"/>
    <w:rsid w:val="00A0495A"/>
    <w:rsid w:val="00A049D2"/>
    <w:rsid w:val="00A04A78"/>
    <w:rsid w:val="00A04E84"/>
    <w:rsid w:val="00A05478"/>
    <w:rsid w:val="00A05A9C"/>
    <w:rsid w:val="00A05B0F"/>
    <w:rsid w:val="00A0632A"/>
    <w:rsid w:val="00A06384"/>
    <w:rsid w:val="00A077E3"/>
    <w:rsid w:val="00A07A18"/>
    <w:rsid w:val="00A07CC2"/>
    <w:rsid w:val="00A1189E"/>
    <w:rsid w:val="00A11F2E"/>
    <w:rsid w:val="00A12E4B"/>
    <w:rsid w:val="00A1308B"/>
    <w:rsid w:val="00A14B73"/>
    <w:rsid w:val="00A151AF"/>
    <w:rsid w:val="00A1648F"/>
    <w:rsid w:val="00A16981"/>
    <w:rsid w:val="00A170A5"/>
    <w:rsid w:val="00A17A1C"/>
    <w:rsid w:val="00A20205"/>
    <w:rsid w:val="00A20401"/>
    <w:rsid w:val="00A206CA"/>
    <w:rsid w:val="00A22227"/>
    <w:rsid w:val="00A22E50"/>
    <w:rsid w:val="00A233BF"/>
    <w:rsid w:val="00A23430"/>
    <w:rsid w:val="00A23E91"/>
    <w:rsid w:val="00A24419"/>
    <w:rsid w:val="00A24ADC"/>
    <w:rsid w:val="00A24CB0"/>
    <w:rsid w:val="00A24D0B"/>
    <w:rsid w:val="00A2566E"/>
    <w:rsid w:val="00A25DAB"/>
    <w:rsid w:val="00A26A56"/>
    <w:rsid w:val="00A26E63"/>
    <w:rsid w:val="00A27C15"/>
    <w:rsid w:val="00A27DBB"/>
    <w:rsid w:val="00A301FA"/>
    <w:rsid w:val="00A30886"/>
    <w:rsid w:val="00A30AE0"/>
    <w:rsid w:val="00A30D81"/>
    <w:rsid w:val="00A32679"/>
    <w:rsid w:val="00A32E2D"/>
    <w:rsid w:val="00A3542B"/>
    <w:rsid w:val="00A3623D"/>
    <w:rsid w:val="00A36246"/>
    <w:rsid w:val="00A36B16"/>
    <w:rsid w:val="00A37043"/>
    <w:rsid w:val="00A37E74"/>
    <w:rsid w:val="00A40269"/>
    <w:rsid w:val="00A40B31"/>
    <w:rsid w:val="00A41812"/>
    <w:rsid w:val="00A42067"/>
    <w:rsid w:val="00A4240B"/>
    <w:rsid w:val="00A4246B"/>
    <w:rsid w:val="00A42A51"/>
    <w:rsid w:val="00A436EC"/>
    <w:rsid w:val="00A43999"/>
    <w:rsid w:val="00A43C4A"/>
    <w:rsid w:val="00A43C8B"/>
    <w:rsid w:val="00A44E75"/>
    <w:rsid w:val="00A44EEC"/>
    <w:rsid w:val="00A457EF"/>
    <w:rsid w:val="00A4641D"/>
    <w:rsid w:val="00A468D5"/>
    <w:rsid w:val="00A506DD"/>
    <w:rsid w:val="00A516FD"/>
    <w:rsid w:val="00A51DCD"/>
    <w:rsid w:val="00A527F7"/>
    <w:rsid w:val="00A5287E"/>
    <w:rsid w:val="00A52B16"/>
    <w:rsid w:val="00A52FBD"/>
    <w:rsid w:val="00A533B9"/>
    <w:rsid w:val="00A53BF6"/>
    <w:rsid w:val="00A53F86"/>
    <w:rsid w:val="00A549CC"/>
    <w:rsid w:val="00A55E1D"/>
    <w:rsid w:val="00A5622B"/>
    <w:rsid w:val="00A56283"/>
    <w:rsid w:val="00A56AC2"/>
    <w:rsid w:val="00A570EA"/>
    <w:rsid w:val="00A60927"/>
    <w:rsid w:val="00A609A6"/>
    <w:rsid w:val="00A61292"/>
    <w:rsid w:val="00A61871"/>
    <w:rsid w:val="00A61B08"/>
    <w:rsid w:val="00A6246E"/>
    <w:rsid w:val="00A625EE"/>
    <w:rsid w:val="00A648AA"/>
    <w:rsid w:val="00A64AE7"/>
    <w:rsid w:val="00A64E17"/>
    <w:rsid w:val="00A64ED4"/>
    <w:rsid w:val="00A653F6"/>
    <w:rsid w:val="00A65E85"/>
    <w:rsid w:val="00A66109"/>
    <w:rsid w:val="00A66ACB"/>
    <w:rsid w:val="00A66DBE"/>
    <w:rsid w:val="00A67922"/>
    <w:rsid w:val="00A67E9B"/>
    <w:rsid w:val="00A7019B"/>
    <w:rsid w:val="00A7065F"/>
    <w:rsid w:val="00A71349"/>
    <w:rsid w:val="00A71734"/>
    <w:rsid w:val="00A720AE"/>
    <w:rsid w:val="00A729DD"/>
    <w:rsid w:val="00A732CB"/>
    <w:rsid w:val="00A7342B"/>
    <w:rsid w:val="00A75DC1"/>
    <w:rsid w:val="00A765FE"/>
    <w:rsid w:val="00A76A1F"/>
    <w:rsid w:val="00A774F4"/>
    <w:rsid w:val="00A777D7"/>
    <w:rsid w:val="00A77A6E"/>
    <w:rsid w:val="00A80456"/>
    <w:rsid w:val="00A82D98"/>
    <w:rsid w:val="00A8360A"/>
    <w:rsid w:val="00A83D26"/>
    <w:rsid w:val="00A847AF"/>
    <w:rsid w:val="00A8492A"/>
    <w:rsid w:val="00A84F71"/>
    <w:rsid w:val="00A8554A"/>
    <w:rsid w:val="00A85832"/>
    <w:rsid w:val="00A8586A"/>
    <w:rsid w:val="00A8637D"/>
    <w:rsid w:val="00A865F0"/>
    <w:rsid w:val="00A87223"/>
    <w:rsid w:val="00A87D3A"/>
    <w:rsid w:val="00A87E30"/>
    <w:rsid w:val="00A901D9"/>
    <w:rsid w:val="00A902D8"/>
    <w:rsid w:val="00A90B5E"/>
    <w:rsid w:val="00A90C4D"/>
    <w:rsid w:val="00A9102F"/>
    <w:rsid w:val="00A91054"/>
    <w:rsid w:val="00A91B33"/>
    <w:rsid w:val="00A91EBE"/>
    <w:rsid w:val="00A92BD3"/>
    <w:rsid w:val="00A92C44"/>
    <w:rsid w:val="00A9373E"/>
    <w:rsid w:val="00A937B2"/>
    <w:rsid w:val="00A93942"/>
    <w:rsid w:val="00A946B7"/>
    <w:rsid w:val="00A94B4A"/>
    <w:rsid w:val="00A94D7A"/>
    <w:rsid w:val="00A95248"/>
    <w:rsid w:val="00A97809"/>
    <w:rsid w:val="00AA0784"/>
    <w:rsid w:val="00AA133C"/>
    <w:rsid w:val="00AA1907"/>
    <w:rsid w:val="00AA1B13"/>
    <w:rsid w:val="00AA1BEA"/>
    <w:rsid w:val="00AA1C25"/>
    <w:rsid w:val="00AA1C7C"/>
    <w:rsid w:val="00AA1E49"/>
    <w:rsid w:val="00AA320E"/>
    <w:rsid w:val="00AA401A"/>
    <w:rsid w:val="00AA41E0"/>
    <w:rsid w:val="00AA4330"/>
    <w:rsid w:val="00AA4FD6"/>
    <w:rsid w:val="00AA4FFA"/>
    <w:rsid w:val="00AA5287"/>
    <w:rsid w:val="00AA5DEF"/>
    <w:rsid w:val="00AA5FF8"/>
    <w:rsid w:val="00AA6F59"/>
    <w:rsid w:val="00AA729B"/>
    <w:rsid w:val="00AA72C6"/>
    <w:rsid w:val="00AA77C1"/>
    <w:rsid w:val="00AB023D"/>
    <w:rsid w:val="00AB04B0"/>
    <w:rsid w:val="00AB25CE"/>
    <w:rsid w:val="00AB2930"/>
    <w:rsid w:val="00AB3593"/>
    <w:rsid w:val="00AB3D49"/>
    <w:rsid w:val="00AB3D81"/>
    <w:rsid w:val="00AB3FFB"/>
    <w:rsid w:val="00AB4095"/>
    <w:rsid w:val="00AB4E97"/>
    <w:rsid w:val="00AB5177"/>
    <w:rsid w:val="00AB73A6"/>
    <w:rsid w:val="00AB7D49"/>
    <w:rsid w:val="00AC17F8"/>
    <w:rsid w:val="00AC20A4"/>
    <w:rsid w:val="00AC35C3"/>
    <w:rsid w:val="00AC35EF"/>
    <w:rsid w:val="00AC36F3"/>
    <w:rsid w:val="00AC3A64"/>
    <w:rsid w:val="00AC530B"/>
    <w:rsid w:val="00AC71B7"/>
    <w:rsid w:val="00AC7360"/>
    <w:rsid w:val="00AC7AC0"/>
    <w:rsid w:val="00AC7C4D"/>
    <w:rsid w:val="00AC7ED2"/>
    <w:rsid w:val="00AD0AEF"/>
    <w:rsid w:val="00AD0BAC"/>
    <w:rsid w:val="00AD2E23"/>
    <w:rsid w:val="00AD38D5"/>
    <w:rsid w:val="00AD40EE"/>
    <w:rsid w:val="00AD4F8D"/>
    <w:rsid w:val="00AD509C"/>
    <w:rsid w:val="00AD64B9"/>
    <w:rsid w:val="00AD68A4"/>
    <w:rsid w:val="00AD73DB"/>
    <w:rsid w:val="00AD7B73"/>
    <w:rsid w:val="00AD7D73"/>
    <w:rsid w:val="00AE03B8"/>
    <w:rsid w:val="00AE1AEA"/>
    <w:rsid w:val="00AE201D"/>
    <w:rsid w:val="00AE2AC3"/>
    <w:rsid w:val="00AE30E2"/>
    <w:rsid w:val="00AE33B1"/>
    <w:rsid w:val="00AE36C2"/>
    <w:rsid w:val="00AE3AE5"/>
    <w:rsid w:val="00AE58D6"/>
    <w:rsid w:val="00AE7D24"/>
    <w:rsid w:val="00AF081B"/>
    <w:rsid w:val="00AF09B9"/>
    <w:rsid w:val="00AF0EAD"/>
    <w:rsid w:val="00AF2C39"/>
    <w:rsid w:val="00AF478F"/>
    <w:rsid w:val="00AF4E85"/>
    <w:rsid w:val="00AF5F6E"/>
    <w:rsid w:val="00AF6266"/>
    <w:rsid w:val="00AF6332"/>
    <w:rsid w:val="00AF65C6"/>
    <w:rsid w:val="00AF65F3"/>
    <w:rsid w:val="00AF6B7C"/>
    <w:rsid w:val="00AF764E"/>
    <w:rsid w:val="00AF7F93"/>
    <w:rsid w:val="00B00A0D"/>
    <w:rsid w:val="00B00EC8"/>
    <w:rsid w:val="00B013A7"/>
    <w:rsid w:val="00B01E38"/>
    <w:rsid w:val="00B020E8"/>
    <w:rsid w:val="00B036C4"/>
    <w:rsid w:val="00B03C3B"/>
    <w:rsid w:val="00B03CD5"/>
    <w:rsid w:val="00B03DFC"/>
    <w:rsid w:val="00B03F21"/>
    <w:rsid w:val="00B04472"/>
    <w:rsid w:val="00B05252"/>
    <w:rsid w:val="00B06250"/>
    <w:rsid w:val="00B065F9"/>
    <w:rsid w:val="00B06C58"/>
    <w:rsid w:val="00B07214"/>
    <w:rsid w:val="00B07A28"/>
    <w:rsid w:val="00B07B24"/>
    <w:rsid w:val="00B102E4"/>
    <w:rsid w:val="00B10556"/>
    <w:rsid w:val="00B10944"/>
    <w:rsid w:val="00B12006"/>
    <w:rsid w:val="00B12C9A"/>
    <w:rsid w:val="00B13A44"/>
    <w:rsid w:val="00B13A60"/>
    <w:rsid w:val="00B1441B"/>
    <w:rsid w:val="00B14708"/>
    <w:rsid w:val="00B15705"/>
    <w:rsid w:val="00B158A1"/>
    <w:rsid w:val="00B15ADC"/>
    <w:rsid w:val="00B15B0C"/>
    <w:rsid w:val="00B166C5"/>
    <w:rsid w:val="00B16A0C"/>
    <w:rsid w:val="00B174A5"/>
    <w:rsid w:val="00B17B32"/>
    <w:rsid w:val="00B17D7A"/>
    <w:rsid w:val="00B20A14"/>
    <w:rsid w:val="00B20F6F"/>
    <w:rsid w:val="00B220D6"/>
    <w:rsid w:val="00B22B7F"/>
    <w:rsid w:val="00B2357F"/>
    <w:rsid w:val="00B238B7"/>
    <w:rsid w:val="00B23D65"/>
    <w:rsid w:val="00B23DA6"/>
    <w:rsid w:val="00B24ECC"/>
    <w:rsid w:val="00B258A0"/>
    <w:rsid w:val="00B25D5D"/>
    <w:rsid w:val="00B260E5"/>
    <w:rsid w:val="00B264A3"/>
    <w:rsid w:val="00B26779"/>
    <w:rsid w:val="00B26DB8"/>
    <w:rsid w:val="00B3054D"/>
    <w:rsid w:val="00B306CC"/>
    <w:rsid w:val="00B30DF8"/>
    <w:rsid w:val="00B32115"/>
    <w:rsid w:val="00B329CC"/>
    <w:rsid w:val="00B332A2"/>
    <w:rsid w:val="00B335E5"/>
    <w:rsid w:val="00B3392F"/>
    <w:rsid w:val="00B33CD3"/>
    <w:rsid w:val="00B3463D"/>
    <w:rsid w:val="00B34AE1"/>
    <w:rsid w:val="00B34BD0"/>
    <w:rsid w:val="00B36AFE"/>
    <w:rsid w:val="00B374E0"/>
    <w:rsid w:val="00B37628"/>
    <w:rsid w:val="00B4013E"/>
    <w:rsid w:val="00B41C02"/>
    <w:rsid w:val="00B41FB3"/>
    <w:rsid w:val="00B42C3F"/>
    <w:rsid w:val="00B43043"/>
    <w:rsid w:val="00B43AC4"/>
    <w:rsid w:val="00B44B3D"/>
    <w:rsid w:val="00B44F76"/>
    <w:rsid w:val="00B4610B"/>
    <w:rsid w:val="00B46132"/>
    <w:rsid w:val="00B463BC"/>
    <w:rsid w:val="00B47213"/>
    <w:rsid w:val="00B47A33"/>
    <w:rsid w:val="00B47D3B"/>
    <w:rsid w:val="00B50715"/>
    <w:rsid w:val="00B518DE"/>
    <w:rsid w:val="00B51B67"/>
    <w:rsid w:val="00B51C91"/>
    <w:rsid w:val="00B52154"/>
    <w:rsid w:val="00B53066"/>
    <w:rsid w:val="00B535C2"/>
    <w:rsid w:val="00B5365E"/>
    <w:rsid w:val="00B53F8A"/>
    <w:rsid w:val="00B54FEF"/>
    <w:rsid w:val="00B55A30"/>
    <w:rsid w:val="00B56280"/>
    <w:rsid w:val="00B56434"/>
    <w:rsid w:val="00B5685D"/>
    <w:rsid w:val="00B60476"/>
    <w:rsid w:val="00B60E94"/>
    <w:rsid w:val="00B62881"/>
    <w:rsid w:val="00B64C0F"/>
    <w:rsid w:val="00B64F52"/>
    <w:rsid w:val="00B650D6"/>
    <w:rsid w:val="00B650E8"/>
    <w:rsid w:val="00B654F7"/>
    <w:rsid w:val="00B6556B"/>
    <w:rsid w:val="00B6650E"/>
    <w:rsid w:val="00B66FDF"/>
    <w:rsid w:val="00B67149"/>
    <w:rsid w:val="00B67BBF"/>
    <w:rsid w:val="00B70290"/>
    <w:rsid w:val="00B70477"/>
    <w:rsid w:val="00B704C3"/>
    <w:rsid w:val="00B704FF"/>
    <w:rsid w:val="00B714B0"/>
    <w:rsid w:val="00B71514"/>
    <w:rsid w:val="00B720D3"/>
    <w:rsid w:val="00B72D6F"/>
    <w:rsid w:val="00B73011"/>
    <w:rsid w:val="00B735DB"/>
    <w:rsid w:val="00B75437"/>
    <w:rsid w:val="00B754DA"/>
    <w:rsid w:val="00B75DCA"/>
    <w:rsid w:val="00B765DA"/>
    <w:rsid w:val="00B767DD"/>
    <w:rsid w:val="00B76EA2"/>
    <w:rsid w:val="00B76F44"/>
    <w:rsid w:val="00B77292"/>
    <w:rsid w:val="00B77366"/>
    <w:rsid w:val="00B77763"/>
    <w:rsid w:val="00B77772"/>
    <w:rsid w:val="00B81F19"/>
    <w:rsid w:val="00B8202F"/>
    <w:rsid w:val="00B8215F"/>
    <w:rsid w:val="00B8317B"/>
    <w:rsid w:val="00B841D6"/>
    <w:rsid w:val="00B84674"/>
    <w:rsid w:val="00B84D44"/>
    <w:rsid w:val="00B853DA"/>
    <w:rsid w:val="00B8726D"/>
    <w:rsid w:val="00B87CA9"/>
    <w:rsid w:val="00B908FE"/>
    <w:rsid w:val="00B916F1"/>
    <w:rsid w:val="00B9225A"/>
    <w:rsid w:val="00B922E9"/>
    <w:rsid w:val="00B92471"/>
    <w:rsid w:val="00B92937"/>
    <w:rsid w:val="00B92CB2"/>
    <w:rsid w:val="00B9449D"/>
    <w:rsid w:val="00B957ED"/>
    <w:rsid w:val="00B95947"/>
    <w:rsid w:val="00B960D5"/>
    <w:rsid w:val="00B9689E"/>
    <w:rsid w:val="00B97A82"/>
    <w:rsid w:val="00BA0A94"/>
    <w:rsid w:val="00BA0D5C"/>
    <w:rsid w:val="00BA1704"/>
    <w:rsid w:val="00BA1E3B"/>
    <w:rsid w:val="00BA2B17"/>
    <w:rsid w:val="00BA41C5"/>
    <w:rsid w:val="00BA421D"/>
    <w:rsid w:val="00BA48A7"/>
    <w:rsid w:val="00BA4E40"/>
    <w:rsid w:val="00BA574F"/>
    <w:rsid w:val="00BA5D68"/>
    <w:rsid w:val="00BA5FD4"/>
    <w:rsid w:val="00BA61FC"/>
    <w:rsid w:val="00BA7682"/>
    <w:rsid w:val="00BA7906"/>
    <w:rsid w:val="00BA7B95"/>
    <w:rsid w:val="00BA7F04"/>
    <w:rsid w:val="00BB04B1"/>
    <w:rsid w:val="00BB0E19"/>
    <w:rsid w:val="00BB198D"/>
    <w:rsid w:val="00BB2AF8"/>
    <w:rsid w:val="00BB2C1A"/>
    <w:rsid w:val="00BB350F"/>
    <w:rsid w:val="00BB451F"/>
    <w:rsid w:val="00BB4D0B"/>
    <w:rsid w:val="00BB4E2C"/>
    <w:rsid w:val="00BB4FD1"/>
    <w:rsid w:val="00BB503F"/>
    <w:rsid w:val="00BB59CE"/>
    <w:rsid w:val="00BB5B54"/>
    <w:rsid w:val="00BB5F72"/>
    <w:rsid w:val="00BB6070"/>
    <w:rsid w:val="00BB7845"/>
    <w:rsid w:val="00BC01F2"/>
    <w:rsid w:val="00BC037A"/>
    <w:rsid w:val="00BC0CC2"/>
    <w:rsid w:val="00BC1086"/>
    <w:rsid w:val="00BC31C3"/>
    <w:rsid w:val="00BC337D"/>
    <w:rsid w:val="00BC3D04"/>
    <w:rsid w:val="00BC403A"/>
    <w:rsid w:val="00BC47BA"/>
    <w:rsid w:val="00BC5184"/>
    <w:rsid w:val="00BC5B0C"/>
    <w:rsid w:val="00BC71DE"/>
    <w:rsid w:val="00BC7782"/>
    <w:rsid w:val="00BC7BC2"/>
    <w:rsid w:val="00BC7C8E"/>
    <w:rsid w:val="00BD080B"/>
    <w:rsid w:val="00BD0E09"/>
    <w:rsid w:val="00BD15B3"/>
    <w:rsid w:val="00BD18FE"/>
    <w:rsid w:val="00BD2714"/>
    <w:rsid w:val="00BD3787"/>
    <w:rsid w:val="00BD3D2F"/>
    <w:rsid w:val="00BD3FDC"/>
    <w:rsid w:val="00BD4535"/>
    <w:rsid w:val="00BD4803"/>
    <w:rsid w:val="00BD4D37"/>
    <w:rsid w:val="00BD690E"/>
    <w:rsid w:val="00BD6A52"/>
    <w:rsid w:val="00BD738A"/>
    <w:rsid w:val="00BD7398"/>
    <w:rsid w:val="00BD7E18"/>
    <w:rsid w:val="00BE07E2"/>
    <w:rsid w:val="00BE0D8E"/>
    <w:rsid w:val="00BE15B8"/>
    <w:rsid w:val="00BE295C"/>
    <w:rsid w:val="00BE3548"/>
    <w:rsid w:val="00BE510C"/>
    <w:rsid w:val="00BE5400"/>
    <w:rsid w:val="00BE59DB"/>
    <w:rsid w:val="00BE5E86"/>
    <w:rsid w:val="00BE7610"/>
    <w:rsid w:val="00BF0225"/>
    <w:rsid w:val="00BF0419"/>
    <w:rsid w:val="00BF11ED"/>
    <w:rsid w:val="00BF122E"/>
    <w:rsid w:val="00BF1330"/>
    <w:rsid w:val="00BF1612"/>
    <w:rsid w:val="00BF1729"/>
    <w:rsid w:val="00BF1F13"/>
    <w:rsid w:val="00BF243F"/>
    <w:rsid w:val="00BF3188"/>
    <w:rsid w:val="00BF32FE"/>
    <w:rsid w:val="00BF33E6"/>
    <w:rsid w:val="00BF38EE"/>
    <w:rsid w:val="00BF39A1"/>
    <w:rsid w:val="00BF3E6E"/>
    <w:rsid w:val="00BF43DF"/>
    <w:rsid w:val="00BF452B"/>
    <w:rsid w:val="00BF5BF0"/>
    <w:rsid w:val="00BF5D11"/>
    <w:rsid w:val="00BF657D"/>
    <w:rsid w:val="00BF7AC5"/>
    <w:rsid w:val="00BF7D29"/>
    <w:rsid w:val="00C00007"/>
    <w:rsid w:val="00C007B3"/>
    <w:rsid w:val="00C012BE"/>
    <w:rsid w:val="00C025BC"/>
    <w:rsid w:val="00C0278E"/>
    <w:rsid w:val="00C02DB7"/>
    <w:rsid w:val="00C03D61"/>
    <w:rsid w:val="00C04A88"/>
    <w:rsid w:val="00C05F0C"/>
    <w:rsid w:val="00C104E3"/>
    <w:rsid w:val="00C12C21"/>
    <w:rsid w:val="00C12F10"/>
    <w:rsid w:val="00C13464"/>
    <w:rsid w:val="00C136C3"/>
    <w:rsid w:val="00C14AB6"/>
    <w:rsid w:val="00C14AD7"/>
    <w:rsid w:val="00C14CC4"/>
    <w:rsid w:val="00C154EE"/>
    <w:rsid w:val="00C155AD"/>
    <w:rsid w:val="00C158C9"/>
    <w:rsid w:val="00C15B1A"/>
    <w:rsid w:val="00C1667F"/>
    <w:rsid w:val="00C1690B"/>
    <w:rsid w:val="00C16A7F"/>
    <w:rsid w:val="00C16F2B"/>
    <w:rsid w:val="00C176A2"/>
    <w:rsid w:val="00C17727"/>
    <w:rsid w:val="00C17907"/>
    <w:rsid w:val="00C17AB9"/>
    <w:rsid w:val="00C17C33"/>
    <w:rsid w:val="00C20FF4"/>
    <w:rsid w:val="00C2174C"/>
    <w:rsid w:val="00C21D00"/>
    <w:rsid w:val="00C2259D"/>
    <w:rsid w:val="00C22AA6"/>
    <w:rsid w:val="00C22EF7"/>
    <w:rsid w:val="00C236F4"/>
    <w:rsid w:val="00C23C02"/>
    <w:rsid w:val="00C2424D"/>
    <w:rsid w:val="00C24BC3"/>
    <w:rsid w:val="00C24FD5"/>
    <w:rsid w:val="00C26C05"/>
    <w:rsid w:val="00C26FD9"/>
    <w:rsid w:val="00C27048"/>
    <w:rsid w:val="00C273D9"/>
    <w:rsid w:val="00C27ECE"/>
    <w:rsid w:val="00C30B07"/>
    <w:rsid w:val="00C31B62"/>
    <w:rsid w:val="00C32032"/>
    <w:rsid w:val="00C32709"/>
    <w:rsid w:val="00C335C5"/>
    <w:rsid w:val="00C336A4"/>
    <w:rsid w:val="00C33995"/>
    <w:rsid w:val="00C343DA"/>
    <w:rsid w:val="00C362A2"/>
    <w:rsid w:val="00C36B7E"/>
    <w:rsid w:val="00C36C9F"/>
    <w:rsid w:val="00C36F76"/>
    <w:rsid w:val="00C37047"/>
    <w:rsid w:val="00C3715A"/>
    <w:rsid w:val="00C4034E"/>
    <w:rsid w:val="00C42C4C"/>
    <w:rsid w:val="00C432F2"/>
    <w:rsid w:val="00C44C46"/>
    <w:rsid w:val="00C45858"/>
    <w:rsid w:val="00C47287"/>
    <w:rsid w:val="00C50436"/>
    <w:rsid w:val="00C50C49"/>
    <w:rsid w:val="00C51E03"/>
    <w:rsid w:val="00C52499"/>
    <w:rsid w:val="00C52CDB"/>
    <w:rsid w:val="00C5301B"/>
    <w:rsid w:val="00C54240"/>
    <w:rsid w:val="00C54490"/>
    <w:rsid w:val="00C555C6"/>
    <w:rsid w:val="00C55F8B"/>
    <w:rsid w:val="00C5796F"/>
    <w:rsid w:val="00C57A54"/>
    <w:rsid w:val="00C57F29"/>
    <w:rsid w:val="00C60890"/>
    <w:rsid w:val="00C608B9"/>
    <w:rsid w:val="00C61312"/>
    <w:rsid w:val="00C617CC"/>
    <w:rsid w:val="00C61FE0"/>
    <w:rsid w:val="00C62049"/>
    <w:rsid w:val="00C6271E"/>
    <w:rsid w:val="00C644A4"/>
    <w:rsid w:val="00C647E4"/>
    <w:rsid w:val="00C64C31"/>
    <w:rsid w:val="00C66235"/>
    <w:rsid w:val="00C6657A"/>
    <w:rsid w:val="00C66E15"/>
    <w:rsid w:val="00C6778C"/>
    <w:rsid w:val="00C67A58"/>
    <w:rsid w:val="00C67DFE"/>
    <w:rsid w:val="00C700DE"/>
    <w:rsid w:val="00C704E7"/>
    <w:rsid w:val="00C712DE"/>
    <w:rsid w:val="00C713E3"/>
    <w:rsid w:val="00C74EDC"/>
    <w:rsid w:val="00C7565E"/>
    <w:rsid w:val="00C759A3"/>
    <w:rsid w:val="00C7709A"/>
    <w:rsid w:val="00C7731E"/>
    <w:rsid w:val="00C80054"/>
    <w:rsid w:val="00C81A7F"/>
    <w:rsid w:val="00C81C33"/>
    <w:rsid w:val="00C81F26"/>
    <w:rsid w:val="00C8278E"/>
    <w:rsid w:val="00C82F38"/>
    <w:rsid w:val="00C83146"/>
    <w:rsid w:val="00C83D23"/>
    <w:rsid w:val="00C842AE"/>
    <w:rsid w:val="00C847AA"/>
    <w:rsid w:val="00C84801"/>
    <w:rsid w:val="00C84864"/>
    <w:rsid w:val="00C8554A"/>
    <w:rsid w:val="00C862EA"/>
    <w:rsid w:val="00C87577"/>
    <w:rsid w:val="00C878DA"/>
    <w:rsid w:val="00C919ED"/>
    <w:rsid w:val="00C91A08"/>
    <w:rsid w:val="00C91A8B"/>
    <w:rsid w:val="00C921D7"/>
    <w:rsid w:val="00C921FE"/>
    <w:rsid w:val="00C92536"/>
    <w:rsid w:val="00C92BE2"/>
    <w:rsid w:val="00C92ECD"/>
    <w:rsid w:val="00C93C65"/>
    <w:rsid w:val="00C944C8"/>
    <w:rsid w:val="00C948CF"/>
    <w:rsid w:val="00C94C83"/>
    <w:rsid w:val="00C95A84"/>
    <w:rsid w:val="00C95BCD"/>
    <w:rsid w:val="00C95CEB"/>
    <w:rsid w:val="00C96070"/>
    <w:rsid w:val="00C96D0C"/>
    <w:rsid w:val="00CA01E7"/>
    <w:rsid w:val="00CA0246"/>
    <w:rsid w:val="00CA0C2E"/>
    <w:rsid w:val="00CA0E5F"/>
    <w:rsid w:val="00CA117D"/>
    <w:rsid w:val="00CA1829"/>
    <w:rsid w:val="00CA225A"/>
    <w:rsid w:val="00CA2715"/>
    <w:rsid w:val="00CA2838"/>
    <w:rsid w:val="00CA32B1"/>
    <w:rsid w:val="00CA405C"/>
    <w:rsid w:val="00CA5378"/>
    <w:rsid w:val="00CA597B"/>
    <w:rsid w:val="00CA5AC7"/>
    <w:rsid w:val="00CA5ADA"/>
    <w:rsid w:val="00CA6772"/>
    <w:rsid w:val="00CB0730"/>
    <w:rsid w:val="00CB22FB"/>
    <w:rsid w:val="00CB2674"/>
    <w:rsid w:val="00CB29F4"/>
    <w:rsid w:val="00CB30BC"/>
    <w:rsid w:val="00CB43D1"/>
    <w:rsid w:val="00CB4532"/>
    <w:rsid w:val="00CB4662"/>
    <w:rsid w:val="00CB52F4"/>
    <w:rsid w:val="00CB5576"/>
    <w:rsid w:val="00CB57EE"/>
    <w:rsid w:val="00CB5F81"/>
    <w:rsid w:val="00CB6295"/>
    <w:rsid w:val="00CB6C1B"/>
    <w:rsid w:val="00CB6E5D"/>
    <w:rsid w:val="00CB71F4"/>
    <w:rsid w:val="00CC058A"/>
    <w:rsid w:val="00CC0606"/>
    <w:rsid w:val="00CC1982"/>
    <w:rsid w:val="00CC1983"/>
    <w:rsid w:val="00CC489F"/>
    <w:rsid w:val="00CC51C7"/>
    <w:rsid w:val="00CC5283"/>
    <w:rsid w:val="00CC5C35"/>
    <w:rsid w:val="00CC6074"/>
    <w:rsid w:val="00CC60A7"/>
    <w:rsid w:val="00CC6674"/>
    <w:rsid w:val="00CC6E89"/>
    <w:rsid w:val="00CC7F47"/>
    <w:rsid w:val="00CD0E1B"/>
    <w:rsid w:val="00CD10DF"/>
    <w:rsid w:val="00CD1180"/>
    <w:rsid w:val="00CD17C0"/>
    <w:rsid w:val="00CD2683"/>
    <w:rsid w:val="00CD2A0E"/>
    <w:rsid w:val="00CD2D1F"/>
    <w:rsid w:val="00CD2E47"/>
    <w:rsid w:val="00CD394E"/>
    <w:rsid w:val="00CD3C29"/>
    <w:rsid w:val="00CD690E"/>
    <w:rsid w:val="00CD6D62"/>
    <w:rsid w:val="00CD700F"/>
    <w:rsid w:val="00CE0346"/>
    <w:rsid w:val="00CE08FC"/>
    <w:rsid w:val="00CE0FB3"/>
    <w:rsid w:val="00CE1902"/>
    <w:rsid w:val="00CE1A5F"/>
    <w:rsid w:val="00CE21E3"/>
    <w:rsid w:val="00CE2B71"/>
    <w:rsid w:val="00CE3797"/>
    <w:rsid w:val="00CE3AA4"/>
    <w:rsid w:val="00CE3F80"/>
    <w:rsid w:val="00CE4EFD"/>
    <w:rsid w:val="00CE5043"/>
    <w:rsid w:val="00CE5383"/>
    <w:rsid w:val="00CE6659"/>
    <w:rsid w:val="00CE7614"/>
    <w:rsid w:val="00CE7BE1"/>
    <w:rsid w:val="00CF0623"/>
    <w:rsid w:val="00CF14FD"/>
    <w:rsid w:val="00CF2629"/>
    <w:rsid w:val="00CF334B"/>
    <w:rsid w:val="00CF4881"/>
    <w:rsid w:val="00CF4D78"/>
    <w:rsid w:val="00CF50C8"/>
    <w:rsid w:val="00CF558B"/>
    <w:rsid w:val="00CF58ED"/>
    <w:rsid w:val="00CF72BE"/>
    <w:rsid w:val="00CF757C"/>
    <w:rsid w:val="00D00363"/>
    <w:rsid w:val="00D01F1C"/>
    <w:rsid w:val="00D0216E"/>
    <w:rsid w:val="00D02F50"/>
    <w:rsid w:val="00D05AC5"/>
    <w:rsid w:val="00D05ACB"/>
    <w:rsid w:val="00D0607E"/>
    <w:rsid w:val="00D062B1"/>
    <w:rsid w:val="00D072E4"/>
    <w:rsid w:val="00D07305"/>
    <w:rsid w:val="00D07A4D"/>
    <w:rsid w:val="00D10C34"/>
    <w:rsid w:val="00D1150F"/>
    <w:rsid w:val="00D12B47"/>
    <w:rsid w:val="00D13937"/>
    <w:rsid w:val="00D16101"/>
    <w:rsid w:val="00D163DD"/>
    <w:rsid w:val="00D16600"/>
    <w:rsid w:val="00D17888"/>
    <w:rsid w:val="00D1790B"/>
    <w:rsid w:val="00D203A3"/>
    <w:rsid w:val="00D21118"/>
    <w:rsid w:val="00D2182A"/>
    <w:rsid w:val="00D2266C"/>
    <w:rsid w:val="00D23A1C"/>
    <w:rsid w:val="00D24418"/>
    <w:rsid w:val="00D24B85"/>
    <w:rsid w:val="00D25151"/>
    <w:rsid w:val="00D2522D"/>
    <w:rsid w:val="00D25DF4"/>
    <w:rsid w:val="00D26A37"/>
    <w:rsid w:val="00D26FBC"/>
    <w:rsid w:val="00D273AA"/>
    <w:rsid w:val="00D30017"/>
    <w:rsid w:val="00D302A7"/>
    <w:rsid w:val="00D30BFC"/>
    <w:rsid w:val="00D311D9"/>
    <w:rsid w:val="00D319DB"/>
    <w:rsid w:val="00D336EE"/>
    <w:rsid w:val="00D3377A"/>
    <w:rsid w:val="00D342FF"/>
    <w:rsid w:val="00D35BC2"/>
    <w:rsid w:val="00D35DAF"/>
    <w:rsid w:val="00D4186E"/>
    <w:rsid w:val="00D42C92"/>
    <w:rsid w:val="00D43137"/>
    <w:rsid w:val="00D43855"/>
    <w:rsid w:val="00D43901"/>
    <w:rsid w:val="00D446E0"/>
    <w:rsid w:val="00D44C85"/>
    <w:rsid w:val="00D44FB2"/>
    <w:rsid w:val="00D4537D"/>
    <w:rsid w:val="00D453B8"/>
    <w:rsid w:val="00D459C9"/>
    <w:rsid w:val="00D45BF2"/>
    <w:rsid w:val="00D47827"/>
    <w:rsid w:val="00D47853"/>
    <w:rsid w:val="00D50483"/>
    <w:rsid w:val="00D51117"/>
    <w:rsid w:val="00D54145"/>
    <w:rsid w:val="00D54649"/>
    <w:rsid w:val="00D54BCF"/>
    <w:rsid w:val="00D55DB5"/>
    <w:rsid w:val="00D562AA"/>
    <w:rsid w:val="00D56D46"/>
    <w:rsid w:val="00D5740E"/>
    <w:rsid w:val="00D57691"/>
    <w:rsid w:val="00D61358"/>
    <w:rsid w:val="00D615A4"/>
    <w:rsid w:val="00D61F7E"/>
    <w:rsid w:val="00D638FA"/>
    <w:rsid w:val="00D63948"/>
    <w:rsid w:val="00D64392"/>
    <w:rsid w:val="00D64AE2"/>
    <w:rsid w:val="00D652B8"/>
    <w:rsid w:val="00D6576E"/>
    <w:rsid w:val="00D662CD"/>
    <w:rsid w:val="00D665B4"/>
    <w:rsid w:val="00D6757A"/>
    <w:rsid w:val="00D67C37"/>
    <w:rsid w:val="00D70091"/>
    <w:rsid w:val="00D70E97"/>
    <w:rsid w:val="00D7104A"/>
    <w:rsid w:val="00D71AD6"/>
    <w:rsid w:val="00D72288"/>
    <w:rsid w:val="00D7293E"/>
    <w:rsid w:val="00D72A4F"/>
    <w:rsid w:val="00D743C3"/>
    <w:rsid w:val="00D7566E"/>
    <w:rsid w:val="00D769C6"/>
    <w:rsid w:val="00D76ABF"/>
    <w:rsid w:val="00D76BAD"/>
    <w:rsid w:val="00D76C03"/>
    <w:rsid w:val="00D7722E"/>
    <w:rsid w:val="00D77BCC"/>
    <w:rsid w:val="00D77DBB"/>
    <w:rsid w:val="00D802BB"/>
    <w:rsid w:val="00D809A2"/>
    <w:rsid w:val="00D80A7A"/>
    <w:rsid w:val="00D80B2A"/>
    <w:rsid w:val="00D810D1"/>
    <w:rsid w:val="00D812A9"/>
    <w:rsid w:val="00D81A08"/>
    <w:rsid w:val="00D82824"/>
    <w:rsid w:val="00D83230"/>
    <w:rsid w:val="00D83759"/>
    <w:rsid w:val="00D83C79"/>
    <w:rsid w:val="00D840DA"/>
    <w:rsid w:val="00D84318"/>
    <w:rsid w:val="00D84CC3"/>
    <w:rsid w:val="00D85A4B"/>
    <w:rsid w:val="00D85AB6"/>
    <w:rsid w:val="00D85C09"/>
    <w:rsid w:val="00D85EDA"/>
    <w:rsid w:val="00D85FA5"/>
    <w:rsid w:val="00D860C6"/>
    <w:rsid w:val="00D864EE"/>
    <w:rsid w:val="00D86A98"/>
    <w:rsid w:val="00D871B9"/>
    <w:rsid w:val="00D87307"/>
    <w:rsid w:val="00D90549"/>
    <w:rsid w:val="00D90871"/>
    <w:rsid w:val="00D929EE"/>
    <w:rsid w:val="00D93D1D"/>
    <w:rsid w:val="00D93ED3"/>
    <w:rsid w:val="00D942A3"/>
    <w:rsid w:val="00D94589"/>
    <w:rsid w:val="00D947CF"/>
    <w:rsid w:val="00D949C9"/>
    <w:rsid w:val="00D94A8F"/>
    <w:rsid w:val="00D95567"/>
    <w:rsid w:val="00D95738"/>
    <w:rsid w:val="00D959FD"/>
    <w:rsid w:val="00D96B28"/>
    <w:rsid w:val="00D975D5"/>
    <w:rsid w:val="00DA0387"/>
    <w:rsid w:val="00DA0850"/>
    <w:rsid w:val="00DA0C8A"/>
    <w:rsid w:val="00DA0F0D"/>
    <w:rsid w:val="00DA14FE"/>
    <w:rsid w:val="00DA2DEF"/>
    <w:rsid w:val="00DA3156"/>
    <w:rsid w:val="00DA32F3"/>
    <w:rsid w:val="00DA367C"/>
    <w:rsid w:val="00DA372C"/>
    <w:rsid w:val="00DA4A65"/>
    <w:rsid w:val="00DA4E3E"/>
    <w:rsid w:val="00DA5856"/>
    <w:rsid w:val="00DA6263"/>
    <w:rsid w:val="00DA64D5"/>
    <w:rsid w:val="00DA6B25"/>
    <w:rsid w:val="00DA6CA2"/>
    <w:rsid w:val="00DA762A"/>
    <w:rsid w:val="00DB0A74"/>
    <w:rsid w:val="00DB109D"/>
    <w:rsid w:val="00DB1D10"/>
    <w:rsid w:val="00DB37C0"/>
    <w:rsid w:val="00DB38BA"/>
    <w:rsid w:val="00DB5007"/>
    <w:rsid w:val="00DB526B"/>
    <w:rsid w:val="00DB5A96"/>
    <w:rsid w:val="00DB6764"/>
    <w:rsid w:val="00DB7D22"/>
    <w:rsid w:val="00DC1090"/>
    <w:rsid w:val="00DC20EE"/>
    <w:rsid w:val="00DC215B"/>
    <w:rsid w:val="00DC2A00"/>
    <w:rsid w:val="00DC2D13"/>
    <w:rsid w:val="00DC3155"/>
    <w:rsid w:val="00DC3DE6"/>
    <w:rsid w:val="00DC3FB3"/>
    <w:rsid w:val="00DC5E0E"/>
    <w:rsid w:val="00DD116A"/>
    <w:rsid w:val="00DD14B2"/>
    <w:rsid w:val="00DD26B6"/>
    <w:rsid w:val="00DD2E41"/>
    <w:rsid w:val="00DD3844"/>
    <w:rsid w:val="00DD384F"/>
    <w:rsid w:val="00DD3A91"/>
    <w:rsid w:val="00DD3C8A"/>
    <w:rsid w:val="00DD3D2F"/>
    <w:rsid w:val="00DD3D4C"/>
    <w:rsid w:val="00DD3E2E"/>
    <w:rsid w:val="00DD5AE4"/>
    <w:rsid w:val="00DD7FEE"/>
    <w:rsid w:val="00DE0A6C"/>
    <w:rsid w:val="00DE1F36"/>
    <w:rsid w:val="00DE208B"/>
    <w:rsid w:val="00DE2D4A"/>
    <w:rsid w:val="00DE4089"/>
    <w:rsid w:val="00DE4643"/>
    <w:rsid w:val="00DE4AA7"/>
    <w:rsid w:val="00DE4C51"/>
    <w:rsid w:val="00DE5313"/>
    <w:rsid w:val="00DE56C4"/>
    <w:rsid w:val="00DE574C"/>
    <w:rsid w:val="00DE5D0F"/>
    <w:rsid w:val="00DE64A1"/>
    <w:rsid w:val="00DE662C"/>
    <w:rsid w:val="00DE6722"/>
    <w:rsid w:val="00DE7AB3"/>
    <w:rsid w:val="00DF069E"/>
    <w:rsid w:val="00DF0909"/>
    <w:rsid w:val="00DF0E0E"/>
    <w:rsid w:val="00DF1E51"/>
    <w:rsid w:val="00DF2053"/>
    <w:rsid w:val="00DF2890"/>
    <w:rsid w:val="00DF2FBA"/>
    <w:rsid w:val="00DF30D3"/>
    <w:rsid w:val="00DF32D2"/>
    <w:rsid w:val="00DF32E6"/>
    <w:rsid w:val="00DF3308"/>
    <w:rsid w:val="00DF34EB"/>
    <w:rsid w:val="00DF466A"/>
    <w:rsid w:val="00DF5781"/>
    <w:rsid w:val="00DF5D6B"/>
    <w:rsid w:val="00DF692A"/>
    <w:rsid w:val="00DF777C"/>
    <w:rsid w:val="00E003AA"/>
    <w:rsid w:val="00E004C4"/>
    <w:rsid w:val="00E01B73"/>
    <w:rsid w:val="00E03447"/>
    <w:rsid w:val="00E03CDA"/>
    <w:rsid w:val="00E03F5D"/>
    <w:rsid w:val="00E040C9"/>
    <w:rsid w:val="00E04F2D"/>
    <w:rsid w:val="00E056A0"/>
    <w:rsid w:val="00E05B53"/>
    <w:rsid w:val="00E069A6"/>
    <w:rsid w:val="00E071F0"/>
    <w:rsid w:val="00E078AA"/>
    <w:rsid w:val="00E101EC"/>
    <w:rsid w:val="00E116A1"/>
    <w:rsid w:val="00E11B2B"/>
    <w:rsid w:val="00E11D4C"/>
    <w:rsid w:val="00E11E49"/>
    <w:rsid w:val="00E126BD"/>
    <w:rsid w:val="00E1315F"/>
    <w:rsid w:val="00E133C3"/>
    <w:rsid w:val="00E14908"/>
    <w:rsid w:val="00E154A4"/>
    <w:rsid w:val="00E154DC"/>
    <w:rsid w:val="00E15D04"/>
    <w:rsid w:val="00E160EF"/>
    <w:rsid w:val="00E1618F"/>
    <w:rsid w:val="00E168EC"/>
    <w:rsid w:val="00E16D4D"/>
    <w:rsid w:val="00E2050D"/>
    <w:rsid w:val="00E20DBC"/>
    <w:rsid w:val="00E211BF"/>
    <w:rsid w:val="00E217E9"/>
    <w:rsid w:val="00E2185D"/>
    <w:rsid w:val="00E21EA4"/>
    <w:rsid w:val="00E22B6E"/>
    <w:rsid w:val="00E2341D"/>
    <w:rsid w:val="00E24014"/>
    <w:rsid w:val="00E249B5"/>
    <w:rsid w:val="00E25033"/>
    <w:rsid w:val="00E255B4"/>
    <w:rsid w:val="00E25858"/>
    <w:rsid w:val="00E26783"/>
    <w:rsid w:val="00E26CE0"/>
    <w:rsid w:val="00E279F1"/>
    <w:rsid w:val="00E27BC2"/>
    <w:rsid w:val="00E308C0"/>
    <w:rsid w:val="00E33782"/>
    <w:rsid w:val="00E339B0"/>
    <w:rsid w:val="00E342BF"/>
    <w:rsid w:val="00E34814"/>
    <w:rsid w:val="00E3533A"/>
    <w:rsid w:val="00E3570E"/>
    <w:rsid w:val="00E35DE9"/>
    <w:rsid w:val="00E3612C"/>
    <w:rsid w:val="00E365FF"/>
    <w:rsid w:val="00E36699"/>
    <w:rsid w:val="00E3681B"/>
    <w:rsid w:val="00E37C3B"/>
    <w:rsid w:val="00E401DC"/>
    <w:rsid w:val="00E4069A"/>
    <w:rsid w:val="00E407EB"/>
    <w:rsid w:val="00E40D27"/>
    <w:rsid w:val="00E41A28"/>
    <w:rsid w:val="00E41BCD"/>
    <w:rsid w:val="00E41F37"/>
    <w:rsid w:val="00E42087"/>
    <w:rsid w:val="00E4252F"/>
    <w:rsid w:val="00E42765"/>
    <w:rsid w:val="00E4326F"/>
    <w:rsid w:val="00E4351A"/>
    <w:rsid w:val="00E439F7"/>
    <w:rsid w:val="00E45E3D"/>
    <w:rsid w:val="00E469DC"/>
    <w:rsid w:val="00E47088"/>
    <w:rsid w:val="00E470D9"/>
    <w:rsid w:val="00E47435"/>
    <w:rsid w:val="00E477F8"/>
    <w:rsid w:val="00E47951"/>
    <w:rsid w:val="00E479D8"/>
    <w:rsid w:val="00E47B2C"/>
    <w:rsid w:val="00E47F29"/>
    <w:rsid w:val="00E51B58"/>
    <w:rsid w:val="00E521A3"/>
    <w:rsid w:val="00E53998"/>
    <w:rsid w:val="00E53B76"/>
    <w:rsid w:val="00E541B5"/>
    <w:rsid w:val="00E5449B"/>
    <w:rsid w:val="00E5449F"/>
    <w:rsid w:val="00E54806"/>
    <w:rsid w:val="00E55577"/>
    <w:rsid w:val="00E5688C"/>
    <w:rsid w:val="00E5708A"/>
    <w:rsid w:val="00E575D1"/>
    <w:rsid w:val="00E57873"/>
    <w:rsid w:val="00E57CC5"/>
    <w:rsid w:val="00E6010B"/>
    <w:rsid w:val="00E60503"/>
    <w:rsid w:val="00E606C3"/>
    <w:rsid w:val="00E6138F"/>
    <w:rsid w:val="00E6217B"/>
    <w:rsid w:val="00E62937"/>
    <w:rsid w:val="00E62A2A"/>
    <w:rsid w:val="00E6477E"/>
    <w:rsid w:val="00E6581B"/>
    <w:rsid w:val="00E65F57"/>
    <w:rsid w:val="00E71491"/>
    <w:rsid w:val="00E73616"/>
    <w:rsid w:val="00E74074"/>
    <w:rsid w:val="00E74415"/>
    <w:rsid w:val="00E7457A"/>
    <w:rsid w:val="00E75604"/>
    <w:rsid w:val="00E75835"/>
    <w:rsid w:val="00E75A3C"/>
    <w:rsid w:val="00E76602"/>
    <w:rsid w:val="00E774B7"/>
    <w:rsid w:val="00E77619"/>
    <w:rsid w:val="00E778CC"/>
    <w:rsid w:val="00E77FBD"/>
    <w:rsid w:val="00E77FCB"/>
    <w:rsid w:val="00E811EC"/>
    <w:rsid w:val="00E81AF5"/>
    <w:rsid w:val="00E822DA"/>
    <w:rsid w:val="00E823D6"/>
    <w:rsid w:val="00E833B6"/>
    <w:rsid w:val="00E837CF"/>
    <w:rsid w:val="00E8424B"/>
    <w:rsid w:val="00E84381"/>
    <w:rsid w:val="00E84998"/>
    <w:rsid w:val="00E84AF3"/>
    <w:rsid w:val="00E85092"/>
    <w:rsid w:val="00E854C2"/>
    <w:rsid w:val="00E8671A"/>
    <w:rsid w:val="00E8674A"/>
    <w:rsid w:val="00E86B72"/>
    <w:rsid w:val="00E86F8F"/>
    <w:rsid w:val="00E87BFD"/>
    <w:rsid w:val="00E9052D"/>
    <w:rsid w:val="00E90683"/>
    <w:rsid w:val="00E90BBF"/>
    <w:rsid w:val="00E90F77"/>
    <w:rsid w:val="00E915C9"/>
    <w:rsid w:val="00E91AAF"/>
    <w:rsid w:val="00E926F9"/>
    <w:rsid w:val="00E937A9"/>
    <w:rsid w:val="00E937C7"/>
    <w:rsid w:val="00E9395A"/>
    <w:rsid w:val="00E93C40"/>
    <w:rsid w:val="00E93F8C"/>
    <w:rsid w:val="00E943C0"/>
    <w:rsid w:val="00E95A99"/>
    <w:rsid w:val="00E95B7F"/>
    <w:rsid w:val="00E9679D"/>
    <w:rsid w:val="00E9760E"/>
    <w:rsid w:val="00E97B62"/>
    <w:rsid w:val="00EA0127"/>
    <w:rsid w:val="00EA1625"/>
    <w:rsid w:val="00EA1A11"/>
    <w:rsid w:val="00EA2B5D"/>
    <w:rsid w:val="00EA2EA7"/>
    <w:rsid w:val="00EA401E"/>
    <w:rsid w:val="00EA488F"/>
    <w:rsid w:val="00EA55EF"/>
    <w:rsid w:val="00EA5C0E"/>
    <w:rsid w:val="00EA5D66"/>
    <w:rsid w:val="00EB13E1"/>
    <w:rsid w:val="00EB196E"/>
    <w:rsid w:val="00EB2815"/>
    <w:rsid w:val="00EB3820"/>
    <w:rsid w:val="00EB5ADE"/>
    <w:rsid w:val="00EB6204"/>
    <w:rsid w:val="00EB718E"/>
    <w:rsid w:val="00EB7868"/>
    <w:rsid w:val="00EB7A43"/>
    <w:rsid w:val="00EB7E7B"/>
    <w:rsid w:val="00EC052F"/>
    <w:rsid w:val="00EC0786"/>
    <w:rsid w:val="00EC07DA"/>
    <w:rsid w:val="00EC0B3C"/>
    <w:rsid w:val="00EC1648"/>
    <w:rsid w:val="00EC256D"/>
    <w:rsid w:val="00EC3A35"/>
    <w:rsid w:val="00EC47CA"/>
    <w:rsid w:val="00EC4EF7"/>
    <w:rsid w:val="00EC5D97"/>
    <w:rsid w:val="00EC5E28"/>
    <w:rsid w:val="00EC6BDF"/>
    <w:rsid w:val="00EC718C"/>
    <w:rsid w:val="00EC78EE"/>
    <w:rsid w:val="00ED0D0F"/>
    <w:rsid w:val="00ED1465"/>
    <w:rsid w:val="00ED23CF"/>
    <w:rsid w:val="00ED24BA"/>
    <w:rsid w:val="00ED273F"/>
    <w:rsid w:val="00ED3669"/>
    <w:rsid w:val="00ED3EA6"/>
    <w:rsid w:val="00ED5224"/>
    <w:rsid w:val="00ED5507"/>
    <w:rsid w:val="00ED576D"/>
    <w:rsid w:val="00ED649D"/>
    <w:rsid w:val="00ED71F6"/>
    <w:rsid w:val="00ED78A9"/>
    <w:rsid w:val="00ED790A"/>
    <w:rsid w:val="00ED7D9F"/>
    <w:rsid w:val="00EE06CD"/>
    <w:rsid w:val="00EE249A"/>
    <w:rsid w:val="00EE4E28"/>
    <w:rsid w:val="00EE522C"/>
    <w:rsid w:val="00EE536B"/>
    <w:rsid w:val="00EE55BD"/>
    <w:rsid w:val="00EE5982"/>
    <w:rsid w:val="00EE5BF8"/>
    <w:rsid w:val="00EE6389"/>
    <w:rsid w:val="00EE63DF"/>
    <w:rsid w:val="00EE6943"/>
    <w:rsid w:val="00EE6A00"/>
    <w:rsid w:val="00EF0F76"/>
    <w:rsid w:val="00EF170F"/>
    <w:rsid w:val="00EF1C18"/>
    <w:rsid w:val="00EF2030"/>
    <w:rsid w:val="00EF2105"/>
    <w:rsid w:val="00EF2BCE"/>
    <w:rsid w:val="00EF31D2"/>
    <w:rsid w:val="00EF3E74"/>
    <w:rsid w:val="00EF4071"/>
    <w:rsid w:val="00EF4F40"/>
    <w:rsid w:val="00EF61D5"/>
    <w:rsid w:val="00EF6236"/>
    <w:rsid w:val="00EF625F"/>
    <w:rsid w:val="00EF7328"/>
    <w:rsid w:val="00EF75B2"/>
    <w:rsid w:val="00EF7B04"/>
    <w:rsid w:val="00EF7C7F"/>
    <w:rsid w:val="00F001A7"/>
    <w:rsid w:val="00F0035A"/>
    <w:rsid w:val="00F00506"/>
    <w:rsid w:val="00F00823"/>
    <w:rsid w:val="00F00BAB"/>
    <w:rsid w:val="00F013B6"/>
    <w:rsid w:val="00F01F1F"/>
    <w:rsid w:val="00F029C3"/>
    <w:rsid w:val="00F0329B"/>
    <w:rsid w:val="00F03DD6"/>
    <w:rsid w:val="00F03ED4"/>
    <w:rsid w:val="00F04D9C"/>
    <w:rsid w:val="00F05269"/>
    <w:rsid w:val="00F0566D"/>
    <w:rsid w:val="00F060BE"/>
    <w:rsid w:val="00F0686E"/>
    <w:rsid w:val="00F10207"/>
    <w:rsid w:val="00F10808"/>
    <w:rsid w:val="00F1233F"/>
    <w:rsid w:val="00F1313A"/>
    <w:rsid w:val="00F146BE"/>
    <w:rsid w:val="00F14DC1"/>
    <w:rsid w:val="00F15C1E"/>
    <w:rsid w:val="00F15E04"/>
    <w:rsid w:val="00F15F93"/>
    <w:rsid w:val="00F163B1"/>
    <w:rsid w:val="00F163B3"/>
    <w:rsid w:val="00F165B1"/>
    <w:rsid w:val="00F1748C"/>
    <w:rsid w:val="00F20BEB"/>
    <w:rsid w:val="00F222E0"/>
    <w:rsid w:val="00F227DF"/>
    <w:rsid w:val="00F22E69"/>
    <w:rsid w:val="00F22EEF"/>
    <w:rsid w:val="00F23B64"/>
    <w:rsid w:val="00F242E1"/>
    <w:rsid w:val="00F24EF0"/>
    <w:rsid w:val="00F2633A"/>
    <w:rsid w:val="00F27058"/>
    <w:rsid w:val="00F27EC8"/>
    <w:rsid w:val="00F3074E"/>
    <w:rsid w:val="00F307FB"/>
    <w:rsid w:val="00F30896"/>
    <w:rsid w:val="00F312ED"/>
    <w:rsid w:val="00F31E01"/>
    <w:rsid w:val="00F322CD"/>
    <w:rsid w:val="00F324A6"/>
    <w:rsid w:val="00F3359B"/>
    <w:rsid w:val="00F33824"/>
    <w:rsid w:val="00F33A1C"/>
    <w:rsid w:val="00F34AB1"/>
    <w:rsid w:val="00F36190"/>
    <w:rsid w:val="00F36301"/>
    <w:rsid w:val="00F376F4"/>
    <w:rsid w:val="00F37868"/>
    <w:rsid w:val="00F37E35"/>
    <w:rsid w:val="00F40474"/>
    <w:rsid w:val="00F40E57"/>
    <w:rsid w:val="00F41568"/>
    <w:rsid w:val="00F42673"/>
    <w:rsid w:val="00F433ED"/>
    <w:rsid w:val="00F43AE4"/>
    <w:rsid w:val="00F44705"/>
    <w:rsid w:val="00F44BBC"/>
    <w:rsid w:val="00F44F19"/>
    <w:rsid w:val="00F45046"/>
    <w:rsid w:val="00F4510E"/>
    <w:rsid w:val="00F457E2"/>
    <w:rsid w:val="00F45D11"/>
    <w:rsid w:val="00F45FEB"/>
    <w:rsid w:val="00F47821"/>
    <w:rsid w:val="00F47B92"/>
    <w:rsid w:val="00F50FEE"/>
    <w:rsid w:val="00F52A89"/>
    <w:rsid w:val="00F52D60"/>
    <w:rsid w:val="00F55539"/>
    <w:rsid w:val="00F55E10"/>
    <w:rsid w:val="00F564B2"/>
    <w:rsid w:val="00F5697D"/>
    <w:rsid w:val="00F56EE6"/>
    <w:rsid w:val="00F60B4E"/>
    <w:rsid w:val="00F60E26"/>
    <w:rsid w:val="00F622B0"/>
    <w:rsid w:val="00F639CC"/>
    <w:rsid w:val="00F65493"/>
    <w:rsid w:val="00F65835"/>
    <w:rsid w:val="00F65848"/>
    <w:rsid w:val="00F67633"/>
    <w:rsid w:val="00F677C8"/>
    <w:rsid w:val="00F701E2"/>
    <w:rsid w:val="00F711D8"/>
    <w:rsid w:val="00F71218"/>
    <w:rsid w:val="00F71880"/>
    <w:rsid w:val="00F73696"/>
    <w:rsid w:val="00F7401C"/>
    <w:rsid w:val="00F740B7"/>
    <w:rsid w:val="00F742C8"/>
    <w:rsid w:val="00F7460F"/>
    <w:rsid w:val="00F754FD"/>
    <w:rsid w:val="00F77691"/>
    <w:rsid w:val="00F77B6A"/>
    <w:rsid w:val="00F80936"/>
    <w:rsid w:val="00F80DE4"/>
    <w:rsid w:val="00F81141"/>
    <w:rsid w:val="00F819E4"/>
    <w:rsid w:val="00F82DE7"/>
    <w:rsid w:val="00F83046"/>
    <w:rsid w:val="00F8307E"/>
    <w:rsid w:val="00F83D2A"/>
    <w:rsid w:val="00F83F88"/>
    <w:rsid w:val="00F83FA9"/>
    <w:rsid w:val="00F86F3B"/>
    <w:rsid w:val="00F87A7C"/>
    <w:rsid w:val="00F87ACC"/>
    <w:rsid w:val="00F87D14"/>
    <w:rsid w:val="00F9068D"/>
    <w:rsid w:val="00F90F64"/>
    <w:rsid w:val="00F923F7"/>
    <w:rsid w:val="00F9406A"/>
    <w:rsid w:val="00F94221"/>
    <w:rsid w:val="00F94737"/>
    <w:rsid w:val="00F94E2F"/>
    <w:rsid w:val="00F9589B"/>
    <w:rsid w:val="00F95D84"/>
    <w:rsid w:val="00FA0606"/>
    <w:rsid w:val="00FA23DE"/>
    <w:rsid w:val="00FA249C"/>
    <w:rsid w:val="00FA2ECC"/>
    <w:rsid w:val="00FA306D"/>
    <w:rsid w:val="00FA3666"/>
    <w:rsid w:val="00FA3EC1"/>
    <w:rsid w:val="00FA5531"/>
    <w:rsid w:val="00FA5697"/>
    <w:rsid w:val="00FA60B9"/>
    <w:rsid w:val="00FA6311"/>
    <w:rsid w:val="00FA6A0E"/>
    <w:rsid w:val="00FA6DE5"/>
    <w:rsid w:val="00FB0429"/>
    <w:rsid w:val="00FB0C0E"/>
    <w:rsid w:val="00FB0CE5"/>
    <w:rsid w:val="00FB101F"/>
    <w:rsid w:val="00FB1077"/>
    <w:rsid w:val="00FB1247"/>
    <w:rsid w:val="00FB1E7F"/>
    <w:rsid w:val="00FB240A"/>
    <w:rsid w:val="00FB278A"/>
    <w:rsid w:val="00FB37F6"/>
    <w:rsid w:val="00FB4066"/>
    <w:rsid w:val="00FB414A"/>
    <w:rsid w:val="00FB508A"/>
    <w:rsid w:val="00FB53D0"/>
    <w:rsid w:val="00FB610D"/>
    <w:rsid w:val="00FB6326"/>
    <w:rsid w:val="00FB646F"/>
    <w:rsid w:val="00FB6BCD"/>
    <w:rsid w:val="00FC11DD"/>
    <w:rsid w:val="00FC154E"/>
    <w:rsid w:val="00FC2875"/>
    <w:rsid w:val="00FC32B6"/>
    <w:rsid w:val="00FC3902"/>
    <w:rsid w:val="00FC4AA4"/>
    <w:rsid w:val="00FC4FDF"/>
    <w:rsid w:val="00FC525E"/>
    <w:rsid w:val="00FC54AB"/>
    <w:rsid w:val="00FC54E7"/>
    <w:rsid w:val="00FC54FD"/>
    <w:rsid w:val="00FC5549"/>
    <w:rsid w:val="00FC7B15"/>
    <w:rsid w:val="00FC7E9F"/>
    <w:rsid w:val="00FD079C"/>
    <w:rsid w:val="00FD1351"/>
    <w:rsid w:val="00FD1475"/>
    <w:rsid w:val="00FD16AA"/>
    <w:rsid w:val="00FD1E5D"/>
    <w:rsid w:val="00FD2204"/>
    <w:rsid w:val="00FD4AC3"/>
    <w:rsid w:val="00FD56A6"/>
    <w:rsid w:val="00FD61B6"/>
    <w:rsid w:val="00FD6E09"/>
    <w:rsid w:val="00FD7D07"/>
    <w:rsid w:val="00FE0247"/>
    <w:rsid w:val="00FE051E"/>
    <w:rsid w:val="00FE165A"/>
    <w:rsid w:val="00FE2361"/>
    <w:rsid w:val="00FE304D"/>
    <w:rsid w:val="00FE3590"/>
    <w:rsid w:val="00FE36C6"/>
    <w:rsid w:val="00FE380C"/>
    <w:rsid w:val="00FE382B"/>
    <w:rsid w:val="00FE3F82"/>
    <w:rsid w:val="00FE4CCA"/>
    <w:rsid w:val="00FE5129"/>
    <w:rsid w:val="00FE645A"/>
    <w:rsid w:val="00FE6D4C"/>
    <w:rsid w:val="00FE7379"/>
    <w:rsid w:val="00FE7CA6"/>
    <w:rsid w:val="00FF074F"/>
    <w:rsid w:val="00FF0C1C"/>
    <w:rsid w:val="00FF10DF"/>
    <w:rsid w:val="00FF1B02"/>
    <w:rsid w:val="00FF2668"/>
    <w:rsid w:val="00FF2BBC"/>
    <w:rsid w:val="00FF3789"/>
    <w:rsid w:val="00FF4A77"/>
    <w:rsid w:val="00FF6264"/>
    <w:rsid w:val="00FF6E13"/>
    <w:rsid w:val="00FF7058"/>
    <w:rsid w:val="00FF75F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2041B2"/>
  <w15:docId w15:val="{388BC022-EC4C-4A46-8A2E-D38B411CE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70C4"/>
  </w:style>
  <w:style w:type="paragraph" w:styleId="Heading1">
    <w:name w:val="heading 1"/>
    <w:basedOn w:val="Normal"/>
    <w:next w:val="Normal"/>
    <w:link w:val="Heading1Char"/>
    <w:uiPriority w:val="9"/>
    <w:qFormat/>
    <w:rsid w:val="008516E3"/>
    <w:pPr>
      <w:keepNext/>
      <w:keepLines/>
      <w:spacing w:before="480" w:after="0"/>
      <w:outlineLvl w:val="0"/>
    </w:pPr>
    <w:rPr>
      <w:rFonts w:ascii="Arial" w:eastAsiaTheme="majorEastAsia" w:hAnsi="Arial" w:cstheme="majorBidi"/>
      <w:bCs/>
      <w:sz w:val="24"/>
      <w:szCs w:val="28"/>
      <w:u w:val="single"/>
    </w:rPr>
  </w:style>
  <w:style w:type="paragraph" w:styleId="Heading2">
    <w:name w:val="heading 2"/>
    <w:basedOn w:val="Normal"/>
    <w:next w:val="Normal"/>
    <w:link w:val="Heading2Char"/>
    <w:uiPriority w:val="9"/>
    <w:unhideWhenUsed/>
    <w:qFormat/>
    <w:rsid w:val="001C26EC"/>
    <w:pPr>
      <w:keepNext/>
      <w:keepLines/>
      <w:spacing w:before="200" w:after="0"/>
      <w:outlineLvl w:val="1"/>
    </w:pPr>
    <w:rPr>
      <w:rFonts w:ascii="Arial" w:eastAsiaTheme="majorEastAsia" w:hAnsi="Arial" w:cstheme="majorBidi"/>
      <w:bCs/>
      <w:sz w:val="20"/>
      <w:szCs w:val="26"/>
      <w:u w:val="single"/>
    </w:rPr>
  </w:style>
  <w:style w:type="paragraph" w:styleId="Heading3">
    <w:name w:val="heading 3"/>
    <w:basedOn w:val="Normal"/>
    <w:next w:val="Normal"/>
    <w:link w:val="Heading3Char"/>
    <w:uiPriority w:val="9"/>
    <w:unhideWhenUsed/>
    <w:qFormat/>
    <w:rsid w:val="006C509D"/>
    <w:pPr>
      <w:keepNext/>
      <w:keepLines/>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1A5497"/>
    <w:pPr>
      <w:keepNext/>
      <w:keepLines/>
      <w:spacing w:before="200" w:after="0"/>
      <w:outlineLvl w:val="3"/>
    </w:pPr>
    <w:rPr>
      <w:rFonts w:asciiTheme="majorHAnsi" w:eastAsiaTheme="majorEastAsia" w:hAnsiTheme="majorHAnsi" w:cstheme="majorBidi"/>
      <w:b/>
      <w:bCs/>
      <w:iCs/>
      <w:sz w:val="20"/>
    </w:rPr>
  </w:style>
  <w:style w:type="paragraph" w:styleId="Heading5">
    <w:name w:val="heading 5"/>
    <w:basedOn w:val="Normal"/>
    <w:next w:val="Normal"/>
    <w:link w:val="Heading5Char"/>
    <w:uiPriority w:val="9"/>
    <w:unhideWhenUsed/>
    <w:qFormat/>
    <w:rsid w:val="00D93ED3"/>
    <w:pPr>
      <w:keepNext/>
      <w:keepLines/>
      <w:spacing w:before="200" w:after="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1F47C2"/>
    <w:pPr>
      <w:keepNext/>
      <w:keepLines/>
      <w:spacing w:before="200" w:after="0"/>
      <w:outlineLvl w:val="5"/>
    </w:pPr>
    <w:rPr>
      <w:rFonts w:asciiTheme="majorHAnsi" w:eastAsiaTheme="majorEastAsia" w:hAnsiTheme="majorHAnsi" w:cstheme="majorBidi"/>
      <w:iCs/>
      <w:u w:val="single"/>
    </w:rPr>
  </w:style>
  <w:style w:type="paragraph" w:styleId="Heading7">
    <w:name w:val="heading 7"/>
    <w:basedOn w:val="Normal"/>
    <w:next w:val="Normal"/>
    <w:link w:val="Heading7Char"/>
    <w:uiPriority w:val="9"/>
    <w:unhideWhenUsed/>
    <w:qFormat/>
    <w:rsid w:val="001E3F0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67DF"/>
    <w:rPr>
      <w:color w:val="0000FF" w:themeColor="hyperlink"/>
      <w:u w:val="single"/>
    </w:rPr>
  </w:style>
  <w:style w:type="character" w:customStyle="1" w:styleId="Heading1Char">
    <w:name w:val="Heading 1 Char"/>
    <w:basedOn w:val="DefaultParagraphFont"/>
    <w:link w:val="Heading1"/>
    <w:uiPriority w:val="9"/>
    <w:rsid w:val="008516E3"/>
    <w:rPr>
      <w:rFonts w:ascii="Arial" w:eastAsiaTheme="majorEastAsia" w:hAnsi="Arial" w:cstheme="majorBidi"/>
      <w:bCs/>
      <w:sz w:val="24"/>
      <w:szCs w:val="28"/>
      <w:u w:val="single"/>
    </w:rPr>
  </w:style>
  <w:style w:type="character" w:customStyle="1" w:styleId="Heading2Char">
    <w:name w:val="Heading 2 Char"/>
    <w:basedOn w:val="DefaultParagraphFont"/>
    <w:link w:val="Heading2"/>
    <w:uiPriority w:val="9"/>
    <w:rsid w:val="001C26EC"/>
    <w:rPr>
      <w:rFonts w:ascii="Arial" w:eastAsiaTheme="majorEastAsia" w:hAnsi="Arial" w:cstheme="majorBidi"/>
      <w:bCs/>
      <w:sz w:val="20"/>
      <w:szCs w:val="26"/>
      <w:u w:val="single"/>
    </w:rPr>
  </w:style>
  <w:style w:type="paragraph" w:styleId="BalloonText">
    <w:name w:val="Balloon Text"/>
    <w:basedOn w:val="Normal"/>
    <w:link w:val="BalloonTextChar"/>
    <w:uiPriority w:val="99"/>
    <w:semiHidden/>
    <w:unhideWhenUsed/>
    <w:rsid w:val="008516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16E3"/>
    <w:rPr>
      <w:rFonts w:ascii="Tahoma" w:hAnsi="Tahoma" w:cs="Tahoma"/>
      <w:sz w:val="16"/>
      <w:szCs w:val="16"/>
    </w:rPr>
  </w:style>
  <w:style w:type="paragraph" w:styleId="Caption">
    <w:name w:val="caption"/>
    <w:basedOn w:val="Normal"/>
    <w:next w:val="Normal"/>
    <w:uiPriority w:val="35"/>
    <w:unhideWhenUsed/>
    <w:qFormat/>
    <w:rsid w:val="00025563"/>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6C509D"/>
    <w:rPr>
      <w:rFonts w:ascii="Arial" w:eastAsiaTheme="majorEastAsia" w:hAnsi="Arial" w:cstheme="majorBidi"/>
      <w:b/>
      <w:bCs/>
    </w:rPr>
  </w:style>
  <w:style w:type="character" w:customStyle="1" w:styleId="Heading4Char">
    <w:name w:val="Heading 4 Char"/>
    <w:basedOn w:val="DefaultParagraphFont"/>
    <w:link w:val="Heading4"/>
    <w:uiPriority w:val="9"/>
    <w:rsid w:val="001A5497"/>
    <w:rPr>
      <w:rFonts w:asciiTheme="majorHAnsi" w:eastAsiaTheme="majorEastAsia" w:hAnsiTheme="majorHAnsi" w:cstheme="majorBidi"/>
      <w:b/>
      <w:bCs/>
      <w:iCs/>
      <w:sz w:val="20"/>
    </w:rPr>
  </w:style>
  <w:style w:type="paragraph" w:styleId="NormalWeb">
    <w:name w:val="Normal (Web)"/>
    <w:basedOn w:val="Normal"/>
    <w:uiPriority w:val="99"/>
    <w:semiHidden/>
    <w:unhideWhenUsed/>
    <w:rsid w:val="00F376F4"/>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1905D6"/>
    <w:pPr>
      <w:ind w:left="720"/>
      <w:contextualSpacing/>
    </w:pPr>
  </w:style>
  <w:style w:type="character" w:customStyle="1" w:styleId="Heading5Char">
    <w:name w:val="Heading 5 Char"/>
    <w:basedOn w:val="DefaultParagraphFont"/>
    <w:link w:val="Heading5"/>
    <w:uiPriority w:val="9"/>
    <w:rsid w:val="00D93ED3"/>
    <w:rPr>
      <w:rFonts w:asciiTheme="majorHAnsi" w:eastAsiaTheme="majorEastAsia" w:hAnsiTheme="majorHAnsi" w:cstheme="majorBidi"/>
    </w:rPr>
  </w:style>
  <w:style w:type="character" w:customStyle="1" w:styleId="Heading6Char">
    <w:name w:val="Heading 6 Char"/>
    <w:basedOn w:val="DefaultParagraphFont"/>
    <w:link w:val="Heading6"/>
    <w:uiPriority w:val="9"/>
    <w:rsid w:val="001F47C2"/>
    <w:rPr>
      <w:rFonts w:asciiTheme="majorHAnsi" w:eastAsiaTheme="majorEastAsia" w:hAnsiTheme="majorHAnsi" w:cstheme="majorBidi"/>
      <w:iCs/>
      <w:u w:val="single"/>
    </w:rPr>
  </w:style>
  <w:style w:type="paragraph" w:styleId="Header">
    <w:name w:val="header"/>
    <w:basedOn w:val="Normal"/>
    <w:link w:val="HeaderChar"/>
    <w:uiPriority w:val="99"/>
    <w:unhideWhenUsed/>
    <w:rsid w:val="00FF6E1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6E13"/>
  </w:style>
  <w:style w:type="paragraph" w:styleId="Footer">
    <w:name w:val="footer"/>
    <w:basedOn w:val="Normal"/>
    <w:link w:val="FooterChar"/>
    <w:uiPriority w:val="99"/>
    <w:unhideWhenUsed/>
    <w:rsid w:val="00FF6E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6E13"/>
  </w:style>
  <w:style w:type="paragraph" w:customStyle="1" w:styleId="Default">
    <w:name w:val="Default"/>
    <w:rsid w:val="00FF6E13"/>
    <w:pPr>
      <w:widowControl w:val="0"/>
      <w:autoSpaceDE w:val="0"/>
      <w:autoSpaceDN w:val="0"/>
      <w:adjustRightInd w:val="0"/>
      <w:spacing w:after="0" w:line="240" w:lineRule="auto"/>
    </w:pPr>
    <w:rPr>
      <w:rFonts w:ascii="Arial Unicode MS" w:eastAsia="Arial Unicode MS" w:hAnsi="Calibri" w:cs="Arial Unicode MS"/>
      <w:color w:val="000000"/>
      <w:sz w:val="24"/>
      <w:szCs w:val="24"/>
      <w:lang w:val="en-US"/>
    </w:rPr>
  </w:style>
  <w:style w:type="paragraph" w:customStyle="1" w:styleId="CM12">
    <w:name w:val="CM12"/>
    <w:basedOn w:val="Normal"/>
    <w:next w:val="Normal"/>
    <w:uiPriority w:val="99"/>
    <w:rsid w:val="004A65DA"/>
    <w:pPr>
      <w:widowControl w:val="0"/>
      <w:autoSpaceDE w:val="0"/>
      <w:autoSpaceDN w:val="0"/>
      <w:adjustRightInd w:val="0"/>
      <w:spacing w:after="0" w:line="240" w:lineRule="auto"/>
    </w:pPr>
    <w:rPr>
      <w:rFonts w:ascii="Arial Unicode MS" w:eastAsia="Arial Unicode MS" w:hAnsi="Calibri" w:cs="Arial Unicode MS"/>
      <w:sz w:val="24"/>
      <w:szCs w:val="24"/>
      <w:lang w:val="en-US"/>
    </w:rPr>
  </w:style>
  <w:style w:type="table" w:styleId="TableGrid">
    <w:name w:val="Table Grid"/>
    <w:basedOn w:val="TableNormal"/>
    <w:uiPriority w:val="59"/>
    <w:rsid w:val="007C34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161075"/>
    <w:pPr>
      <w:spacing w:after="0" w:line="240" w:lineRule="auto"/>
    </w:pPr>
    <w:rPr>
      <w:rFonts w:ascii="TUOS Blake" w:hAnsi="TUOS Blake"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95D84"/>
    <w:pPr>
      <w:spacing w:after="0" w:line="240" w:lineRule="auto"/>
    </w:pPr>
    <w:rPr>
      <w:rFonts w:ascii="TUOS Blake" w:hAnsi="TUOS Blake"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95D84"/>
    <w:pPr>
      <w:spacing w:after="0" w:line="240" w:lineRule="auto"/>
    </w:pPr>
    <w:rPr>
      <w:rFonts w:ascii="TUOS Blake" w:hAnsi="TUOS Blake"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DefaultParagraphFont"/>
    <w:rsid w:val="0014388E"/>
  </w:style>
  <w:style w:type="character" w:customStyle="1" w:styleId="reference-accessdate">
    <w:name w:val="reference-accessdate"/>
    <w:basedOn w:val="DefaultParagraphFont"/>
    <w:rsid w:val="0014388E"/>
  </w:style>
  <w:style w:type="character" w:styleId="PlaceholderText">
    <w:name w:val="Placeholder Text"/>
    <w:basedOn w:val="DefaultParagraphFont"/>
    <w:uiPriority w:val="99"/>
    <w:semiHidden/>
    <w:rsid w:val="00CD2A0E"/>
    <w:rPr>
      <w:color w:val="808080"/>
    </w:rPr>
  </w:style>
  <w:style w:type="paragraph" w:styleId="NoSpacing">
    <w:name w:val="No Spacing"/>
    <w:uiPriority w:val="1"/>
    <w:qFormat/>
    <w:rsid w:val="00C91A8B"/>
    <w:pPr>
      <w:spacing w:after="0" w:line="240" w:lineRule="auto"/>
    </w:pPr>
  </w:style>
  <w:style w:type="paragraph" w:customStyle="1" w:styleId="EndNoteBibliographyTitle">
    <w:name w:val="EndNote Bibliography Title"/>
    <w:basedOn w:val="Normal"/>
    <w:link w:val="EndNoteBibliographyTitleChar"/>
    <w:rsid w:val="00A732CB"/>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A732CB"/>
    <w:rPr>
      <w:rFonts w:ascii="Calibri" w:hAnsi="Calibri" w:cs="Calibri"/>
      <w:noProof/>
      <w:lang w:val="en-US"/>
    </w:rPr>
  </w:style>
  <w:style w:type="paragraph" w:customStyle="1" w:styleId="EndNoteBibliography">
    <w:name w:val="EndNote Bibliography"/>
    <w:basedOn w:val="Normal"/>
    <w:link w:val="EndNoteBibliographyChar"/>
    <w:rsid w:val="00A732CB"/>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A732CB"/>
    <w:rPr>
      <w:rFonts w:ascii="Calibri" w:hAnsi="Calibri" w:cs="Calibri"/>
      <w:noProof/>
      <w:lang w:val="en-US"/>
    </w:rPr>
  </w:style>
  <w:style w:type="character" w:customStyle="1" w:styleId="Heading7Char">
    <w:name w:val="Heading 7 Char"/>
    <w:basedOn w:val="DefaultParagraphFont"/>
    <w:link w:val="Heading7"/>
    <w:uiPriority w:val="9"/>
    <w:rsid w:val="001E3F08"/>
    <w:rPr>
      <w:rFonts w:asciiTheme="majorHAnsi" w:eastAsiaTheme="majorEastAsia" w:hAnsiTheme="majorHAnsi" w:cstheme="majorBidi"/>
      <w:i/>
      <w:iCs/>
      <w:color w:val="243F60" w:themeColor="accent1" w:themeShade="7F"/>
    </w:rPr>
  </w:style>
  <w:style w:type="character" w:styleId="Emphasis">
    <w:name w:val="Emphasis"/>
    <w:uiPriority w:val="20"/>
    <w:qFormat/>
    <w:rsid w:val="007D49C9"/>
    <w:rPr>
      <w:i/>
      <w:iCs/>
    </w:rPr>
  </w:style>
  <w:style w:type="character" w:customStyle="1" w:styleId="st">
    <w:name w:val="st"/>
    <w:rsid w:val="007D49C9"/>
  </w:style>
  <w:style w:type="character" w:customStyle="1" w:styleId="ref-text">
    <w:name w:val="ref-text"/>
    <w:rsid w:val="007D49C9"/>
  </w:style>
  <w:style w:type="paragraph" w:styleId="TOCHeading">
    <w:name w:val="TOC Heading"/>
    <w:basedOn w:val="Heading1"/>
    <w:next w:val="Normal"/>
    <w:uiPriority w:val="39"/>
    <w:unhideWhenUsed/>
    <w:qFormat/>
    <w:rsid w:val="00244514"/>
    <w:pPr>
      <w:spacing w:before="240" w:line="259" w:lineRule="auto"/>
      <w:outlineLvl w:val="9"/>
    </w:pPr>
    <w:rPr>
      <w:rFonts w:asciiTheme="majorHAnsi" w:hAnsiTheme="majorHAnsi"/>
      <w:bCs w:val="0"/>
      <w:color w:val="365F91" w:themeColor="accent1" w:themeShade="BF"/>
      <w:sz w:val="32"/>
      <w:szCs w:val="32"/>
      <w:u w:val="none"/>
      <w:lang w:val="en-US"/>
    </w:rPr>
  </w:style>
  <w:style w:type="paragraph" w:styleId="TOC1">
    <w:name w:val="toc 1"/>
    <w:basedOn w:val="Normal"/>
    <w:next w:val="Normal"/>
    <w:autoRedefine/>
    <w:uiPriority w:val="39"/>
    <w:unhideWhenUsed/>
    <w:rsid w:val="00B05252"/>
    <w:pPr>
      <w:tabs>
        <w:tab w:val="right" w:leader="dot" w:pos="8494"/>
      </w:tabs>
      <w:spacing w:after="100"/>
    </w:pPr>
    <w:rPr>
      <w:rFonts w:ascii="Arial" w:hAnsi="Arial" w:cs="Arial"/>
      <w:noProof/>
    </w:rPr>
  </w:style>
  <w:style w:type="paragraph" w:styleId="TOC2">
    <w:name w:val="toc 2"/>
    <w:basedOn w:val="Normal"/>
    <w:next w:val="Normal"/>
    <w:autoRedefine/>
    <w:uiPriority w:val="39"/>
    <w:unhideWhenUsed/>
    <w:rsid w:val="00244514"/>
    <w:pPr>
      <w:spacing w:after="100"/>
      <w:ind w:left="220"/>
    </w:pPr>
  </w:style>
  <w:style w:type="paragraph" w:styleId="TOC3">
    <w:name w:val="toc 3"/>
    <w:basedOn w:val="Normal"/>
    <w:next w:val="Normal"/>
    <w:autoRedefine/>
    <w:uiPriority w:val="39"/>
    <w:unhideWhenUsed/>
    <w:rsid w:val="00244514"/>
    <w:pPr>
      <w:spacing w:after="100"/>
      <w:ind w:left="440"/>
    </w:pPr>
  </w:style>
  <w:style w:type="paragraph" w:styleId="TOC4">
    <w:name w:val="toc 4"/>
    <w:basedOn w:val="Normal"/>
    <w:next w:val="Normal"/>
    <w:autoRedefine/>
    <w:uiPriority w:val="39"/>
    <w:unhideWhenUsed/>
    <w:rsid w:val="00244514"/>
    <w:pPr>
      <w:spacing w:after="100" w:line="259" w:lineRule="auto"/>
      <w:ind w:left="660"/>
    </w:pPr>
    <w:rPr>
      <w:rFonts w:eastAsiaTheme="minorEastAsia"/>
      <w:lang w:eastAsia="en-GB"/>
    </w:rPr>
  </w:style>
  <w:style w:type="paragraph" w:styleId="TOC5">
    <w:name w:val="toc 5"/>
    <w:basedOn w:val="Normal"/>
    <w:next w:val="Normal"/>
    <w:autoRedefine/>
    <w:uiPriority w:val="39"/>
    <w:unhideWhenUsed/>
    <w:rsid w:val="00244514"/>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244514"/>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244514"/>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244514"/>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244514"/>
    <w:pPr>
      <w:spacing w:after="100" w:line="259" w:lineRule="auto"/>
      <w:ind w:left="1760"/>
    </w:pPr>
    <w:rPr>
      <w:rFonts w:eastAsiaTheme="minorEastAsia"/>
      <w:lang w:eastAsia="en-GB"/>
    </w:rPr>
  </w:style>
  <w:style w:type="paragraph" w:styleId="TableofFigures">
    <w:name w:val="table of figures"/>
    <w:basedOn w:val="Normal"/>
    <w:next w:val="Normal"/>
    <w:uiPriority w:val="99"/>
    <w:unhideWhenUsed/>
    <w:rsid w:val="00790DAE"/>
    <w:pPr>
      <w:spacing w:after="0"/>
    </w:pPr>
  </w:style>
  <w:style w:type="character" w:customStyle="1" w:styleId="highlight2">
    <w:name w:val="highlight2"/>
    <w:basedOn w:val="DefaultParagraphFont"/>
    <w:rsid w:val="00201E0C"/>
  </w:style>
  <w:style w:type="character" w:styleId="FollowedHyperlink">
    <w:name w:val="FollowedHyperlink"/>
    <w:basedOn w:val="DefaultParagraphFont"/>
    <w:uiPriority w:val="99"/>
    <w:semiHidden/>
    <w:unhideWhenUsed/>
    <w:rsid w:val="00BF33E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82546">
      <w:bodyDiv w:val="1"/>
      <w:marLeft w:val="0"/>
      <w:marRight w:val="0"/>
      <w:marTop w:val="0"/>
      <w:marBottom w:val="0"/>
      <w:divBdr>
        <w:top w:val="none" w:sz="0" w:space="0" w:color="auto"/>
        <w:left w:val="none" w:sz="0" w:space="0" w:color="auto"/>
        <w:bottom w:val="none" w:sz="0" w:space="0" w:color="auto"/>
        <w:right w:val="none" w:sz="0" w:space="0" w:color="auto"/>
      </w:divBdr>
    </w:div>
    <w:div w:id="104814133">
      <w:bodyDiv w:val="1"/>
      <w:marLeft w:val="0"/>
      <w:marRight w:val="0"/>
      <w:marTop w:val="0"/>
      <w:marBottom w:val="0"/>
      <w:divBdr>
        <w:top w:val="none" w:sz="0" w:space="0" w:color="auto"/>
        <w:left w:val="none" w:sz="0" w:space="0" w:color="auto"/>
        <w:bottom w:val="none" w:sz="0" w:space="0" w:color="auto"/>
        <w:right w:val="none" w:sz="0" w:space="0" w:color="auto"/>
      </w:divBdr>
    </w:div>
    <w:div w:id="148910080">
      <w:bodyDiv w:val="1"/>
      <w:marLeft w:val="0"/>
      <w:marRight w:val="0"/>
      <w:marTop w:val="0"/>
      <w:marBottom w:val="0"/>
      <w:divBdr>
        <w:top w:val="none" w:sz="0" w:space="0" w:color="auto"/>
        <w:left w:val="none" w:sz="0" w:space="0" w:color="auto"/>
        <w:bottom w:val="none" w:sz="0" w:space="0" w:color="auto"/>
        <w:right w:val="none" w:sz="0" w:space="0" w:color="auto"/>
      </w:divBdr>
    </w:div>
    <w:div w:id="168298702">
      <w:bodyDiv w:val="1"/>
      <w:marLeft w:val="0"/>
      <w:marRight w:val="0"/>
      <w:marTop w:val="0"/>
      <w:marBottom w:val="0"/>
      <w:divBdr>
        <w:top w:val="none" w:sz="0" w:space="0" w:color="auto"/>
        <w:left w:val="none" w:sz="0" w:space="0" w:color="auto"/>
        <w:bottom w:val="none" w:sz="0" w:space="0" w:color="auto"/>
        <w:right w:val="none" w:sz="0" w:space="0" w:color="auto"/>
      </w:divBdr>
    </w:div>
    <w:div w:id="244921965">
      <w:bodyDiv w:val="1"/>
      <w:marLeft w:val="0"/>
      <w:marRight w:val="0"/>
      <w:marTop w:val="0"/>
      <w:marBottom w:val="0"/>
      <w:divBdr>
        <w:top w:val="none" w:sz="0" w:space="0" w:color="auto"/>
        <w:left w:val="none" w:sz="0" w:space="0" w:color="auto"/>
        <w:bottom w:val="none" w:sz="0" w:space="0" w:color="auto"/>
        <w:right w:val="none" w:sz="0" w:space="0" w:color="auto"/>
      </w:divBdr>
      <w:divsChild>
        <w:div w:id="2121103682">
          <w:marLeft w:val="0"/>
          <w:marRight w:val="1"/>
          <w:marTop w:val="0"/>
          <w:marBottom w:val="0"/>
          <w:divBdr>
            <w:top w:val="none" w:sz="0" w:space="0" w:color="auto"/>
            <w:left w:val="none" w:sz="0" w:space="0" w:color="auto"/>
            <w:bottom w:val="none" w:sz="0" w:space="0" w:color="auto"/>
            <w:right w:val="none" w:sz="0" w:space="0" w:color="auto"/>
          </w:divBdr>
          <w:divsChild>
            <w:div w:id="166137360">
              <w:marLeft w:val="0"/>
              <w:marRight w:val="0"/>
              <w:marTop w:val="0"/>
              <w:marBottom w:val="0"/>
              <w:divBdr>
                <w:top w:val="none" w:sz="0" w:space="0" w:color="auto"/>
                <w:left w:val="none" w:sz="0" w:space="0" w:color="auto"/>
                <w:bottom w:val="none" w:sz="0" w:space="0" w:color="auto"/>
                <w:right w:val="none" w:sz="0" w:space="0" w:color="auto"/>
              </w:divBdr>
              <w:divsChild>
                <w:div w:id="1510291400">
                  <w:marLeft w:val="0"/>
                  <w:marRight w:val="1"/>
                  <w:marTop w:val="0"/>
                  <w:marBottom w:val="0"/>
                  <w:divBdr>
                    <w:top w:val="none" w:sz="0" w:space="0" w:color="auto"/>
                    <w:left w:val="none" w:sz="0" w:space="0" w:color="auto"/>
                    <w:bottom w:val="none" w:sz="0" w:space="0" w:color="auto"/>
                    <w:right w:val="none" w:sz="0" w:space="0" w:color="auto"/>
                  </w:divBdr>
                  <w:divsChild>
                    <w:div w:id="1448620548">
                      <w:marLeft w:val="0"/>
                      <w:marRight w:val="0"/>
                      <w:marTop w:val="0"/>
                      <w:marBottom w:val="0"/>
                      <w:divBdr>
                        <w:top w:val="none" w:sz="0" w:space="0" w:color="auto"/>
                        <w:left w:val="none" w:sz="0" w:space="0" w:color="auto"/>
                        <w:bottom w:val="none" w:sz="0" w:space="0" w:color="auto"/>
                        <w:right w:val="none" w:sz="0" w:space="0" w:color="auto"/>
                      </w:divBdr>
                      <w:divsChild>
                        <w:div w:id="794758567">
                          <w:marLeft w:val="0"/>
                          <w:marRight w:val="0"/>
                          <w:marTop w:val="0"/>
                          <w:marBottom w:val="0"/>
                          <w:divBdr>
                            <w:top w:val="none" w:sz="0" w:space="0" w:color="auto"/>
                            <w:left w:val="none" w:sz="0" w:space="0" w:color="auto"/>
                            <w:bottom w:val="none" w:sz="0" w:space="0" w:color="auto"/>
                            <w:right w:val="none" w:sz="0" w:space="0" w:color="auto"/>
                          </w:divBdr>
                          <w:divsChild>
                            <w:div w:id="1181040932">
                              <w:marLeft w:val="0"/>
                              <w:marRight w:val="0"/>
                              <w:marTop w:val="120"/>
                              <w:marBottom w:val="360"/>
                              <w:divBdr>
                                <w:top w:val="none" w:sz="0" w:space="0" w:color="auto"/>
                                <w:left w:val="none" w:sz="0" w:space="0" w:color="auto"/>
                                <w:bottom w:val="none" w:sz="0" w:space="0" w:color="auto"/>
                                <w:right w:val="none" w:sz="0" w:space="0" w:color="auto"/>
                              </w:divBdr>
                              <w:divsChild>
                                <w:div w:id="964233563">
                                  <w:marLeft w:val="0"/>
                                  <w:marRight w:val="0"/>
                                  <w:marTop w:val="0"/>
                                  <w:marBottom w:val="0"/>
                                  <w:divBdr>
                                    <w:top w:val="none" w:sz="0" w:space="0" w:color="auto"/>
                                    <w:left w:val="none" w:sz="0" w:space="0" w:color="auto"/>
                                    <w:bottom w:val="none" w:sz="0" w:space="0" w:color="auto"/>
                                    <w:right w:val="none" w:sz="0" w:space="0" w:color="auto"/>
                                  </w:divBdr>
                                </w:div>
                                <w:div w:id="213405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2198897">
      <w:bodyDiv w:val="1"/>
      <w:marLeft w:val="0"/>
      <w:marRight w:val="0"/>
      <w:marTop w:val="0"/>
      <w:marBottom w:val="0"/>
      <w:divBdr>
        <w:top w:val="none" w:sz="0" w:space="0" w:color="auto"/>
        <w:left w:val="none" w:sz="0" w:space="0" w:color="auto"/>
        <w:bottom w:val="none" w:sz="0" w:space="0" w:color="auto"/>
        <w:right w:val="none" w:sz="0" w:space="0" w:color="auto"/>
      </w:divBdr>
    </w:div>
    <w:div w:id="551234057">
      <w:bodyDiv w:val="1"/>
      <w:marLeft w:val="0"/>
      <w:marRight w:val="0"/>
      <w:marTop w:val="0"/>
      <w:marBottom w:val="0"/>
      <w:divBdr>
        <w:top w:val="none" w:sz="0" w:space="0" w:color="auto"/>
        <w:left w:val="none" w:sz="0" w:space="0" w:color="auto"/>
        <w:bottom w:val="none" w:sz="0" w:space="0" w:color="auto"/>
        <w:right w:val="none" w:sz="0" w:space="0" w:color="auto"/>
      </w:divBdr>
    </w:div>
    <w:div w:id="592595433">
      <w:bodyDiv w:val="1"/>
      <w:marLeft w:val="0"/>
      <w:marRight w:val="0"/>
      <w:marTop w:val="0"/>
      <w:marBottom w:val="0"/>
      <w:divBdr>
        <w:top w:val="none" w:sz="0" w:space="0" w:color="auto"/>
        <w:left w:val="none" w:sz="0" w:space="0" w:color="auto"/>
        <w:bottom w:val="none" w:sz="0" w:space="0" w:color="auto"/>
        <w:right w:val="none" w:sz="0" w:space="0" w:color="auto"/>
      </w:divBdr>
    </w:div>
    <w:div w:id="703679322">
      <w:bodyDiv w:val="1"/>
      <w:marLeft w:val="0"/>
      <w:marRight w:val="0"/>
      <w:marTop w:val="0"/>
      <w:marBottom w:val="0"/>
      <w:divBdr>
        <w:top w:val="none" w:sz="0" w:space="0" w:color="auto"/>
        <w:left w:val="none" w:sz="0" w:space="0" w:color="auto"/>
        <w:bottom w:val="none" w:sz="0" w:space="0" w:color="auto"/>
        <w:right w:val="none" w:sz="0" w:space="0" w:color="auto"/>
      </w:divBdr>
    </w:div>
    <w:div w:id="765349248">
      <w:bodyDiv w:val="1"/>
      <w:marLeft w:val="0"/>
      <w:marRight w:val="0"/>
      <w:marTop w:val="0"/>
      <w:marBottom w:val="0"/>
      <w:divBdr>
        <w:top w:val="none" w:sz="0" w:space="0" w:color="auto"/>
        <w:left w:val="none" w:sz="0" w:space="0" w:color="auto"/>
        <w:bottom w:val="none" w:sz="0" w:space="0" w:color="auto"/>
        <w:right w:val="none" w:sz="0" w:space="0" w:color="auto"/>
      </w:divBdr>
    </w:div>
    <w:div w:id="798569017">
      <w:bodyDiv w:val="1"/>
      <w:marLeft w:val="0"/>
      <w:marRight w:val="0"/>
      <w:marTop w:val="0"/>
      <w:marBottom w:val="0"/>
      <w:divBdr>
        <w:top w:val="none" w:sz="0" w:space="0" w:color="auto"/>
        <w:left w:val="none" w:sz="0" w:space="0" w:color="auto"/>
        <w:bottom w:val="none" w:sz="0" w:space="0" w:color="auto"/>
        <w:right w:val="none" w:sz="0" w:space="0" w:color="auto"/>
      </w:divBdr>
    </w:div>
    <w:div w:id="865481451">
      <w:bodyDiv w:val="1"/>
      <w:marLeft w:val="0"/>
      <w:marRight w:val="0"/>
      <w:marTop w:val="0"/>
      <w:marBottom w:val="0"/>
      <w:divBdr>
        <w:top w:val="none" w:sz="0" w:space="0" w:color="auto"/>
        <w:left w:val="none" w:sz="0" w:space="0" w:color="auto"/>
        <w:bottom w:val="none" w:sz="0" w:space="0" w:color="auto"/>
        <w:right w:val="none" w:sz="0" w:space="0" w:color="auto"/>
      </w:divBdr>
    </w:div>
    <w:div w:id="874393159">
      <w:bodyDiv w:val="1"/>
      <w:marLeft w:val="0"/>
      <w:marRight w:val="0"/>
      <w:marTop w:val="0"/>
      <w:marBottom w:val="0"/>
      <w:divBdr>
        <w:top w:val="none" w:sz="0" w:space="0" w:color="auto"/>
        <w:left w:val="none" w:sz="0" w:space="0" w:color="auto"/>
        <w:bottom w:val="none" w:sz="0" w:space="0" w:color="auto"/>
        <w:right w:val="none" w:sz="0" w:space="0" w:color="auto"/>
      </w:divBdr>
    </w:div>
    <w:div w:id="962347243">
      <w:bodyDiv w:val="1"/>
      <w:marLeft w:val="0"/>
      <w:marRight w:val="0"/>
      <w:marTop w:val="0"/>
      <w:marBottom w:val="0"/>
      <w:divBdr>
        <w:top w:val="none" w:sz="0" w:space="0" w:color="auto"/>
        <w:left w:val="none" w:sz="0" w:space="0" w:color="auto"/>
        <w:bottom w:val="none" w:sz="0" w:space="0" w:color="auto"/>
        <w:right w:val="none" w:sz="0" w:space="0" w:color="auto"/>
      </w:divBdr>
    </w:div>
    <w:div w:id="1102071178">
      <w:bodyDiv w:val="1"/>
      <w:marLeft w:val="0"/>
      <w:marRight w:val="0"/>
      <w:marTop w:val="0"/>
      <w:marBottom w:val="0"/>
      <w:divBdr>
        <w:top w:val="none" w:sz="0" w:space="0" w:color="auto"/>
        <w:left w:val="none" w:sz="0" w:space="0" w:color="auto"/>
        <w:bottom w:val="none" w:sz="0" w:space="0" w:color="auto"/>
        <w:right w:val="none" w:sz="0" w:space="0" w:color="auto"/>
      </w:divBdr>
    </w:div>
    <w:div w:id="1110129032">
      <w:bodyDiv w:val="1"/>
      <w:marLeft w:val="0"/>
      <w:marRight w:val="0"/>
      <w:marTop w:val="0"/>
      <w:marBottom w:val="0"/>
      <w:divBdr>
        <w:top w:val="none" w:sz="0" w:space="0" w:color="auto"/>
        <w:left w:val="none" w:sz="0" w:space="0" w:color="auto"/>
        <w:bottom w:val="none" w:sz="0" w:space="0" w:color="auto"/>
        <w:right w:val="none" w:sz="0" w:space="0" w:color="auto"/>
      </w:divBdr>
    </w:div>
    <w:div w:id="1254435313">
      <w:bodyDiv w:val="1"/>
      <w:marLeft w:val="0"/>
      <w:marRight w:val="0"/>
      <w:marTop w:val="0"/>
      <w:marBottom w:val="0"/>
      <w:divBdr>
        <w:top w:val="none" w:sz="0" w:space="0" w:color="auto"/>
        <w:left w:val="none" w:sz="0" w:space="0" w:color="auto"/>
        <w:bottom w:val="none" w:sz="0" w:space="0" w:color="auto"/>
        <w:right w:val="none" w:sz="0" w:space="0" w:color="auto"/>
      </w:divBdr>
    </w:div>
    <w:div w:id="1270309775">
      <w:bodyDiv w:val="1"/>
      <w:marLeft w:val="0"/>
      <w:marRight w:val="0"/>
      <w:marTop w:val="0"/>
      <w:marBottom w:val="0"/>
      <w:divBdr>
        <w:top w:val="none" w:sz="0" w:space="0" w:color="auto"/>
        <w:left w:val="none" w:sz="0" w:space="0" w:color="auto"/>
        <w:bottom w:val="none" w:sz="0" w:space="0" w:color="auto"/>
        <w:right w:val="none" w:sz="0" w:space="0" w:color="auto"/>
      </w:divBdr>
    </w:div>
    <w:div w:id="1281256067">
      <w:bodyDiv w:val="1"/>
      <w:marLeft w:val="0"/>
      <w:marRight w:val="0"/>
      <w:marTop w:val="0"/>
      <w:marBottom w:val="0"/>
      <w:divBdr>
        <w:top w:val="none" w:sz="0" w:space="0" w:color="auto"/>
        <w:left w:val="none" w:sz="0" w:space="0" w:color="auto"/>
        <w:bottom w:val="none" w:sz="0" w:space="0" w:color="auto"/>
        <w:right w:val="none" w:sz="0" w:space="0" w:color="auto"/>
      </w:divBdr>
    </w:div>
    <w:div w:id="1418362112">
      <w:bodyDiv w:val="1"/>
      <w:marLeft w:val="0"/>
      <w:marRight w:val="0"/>
      <w:marTop w:val="0"/>
      <w:marBottom w:val="0"/>
      <w:divBdr>
        <w:top w:val="none" w:sz="0" w:space="0" w:color="auto"/>
        <w:left w:val="none" w:sz="0" w:space="0" w:color="auto"/>
        <w:bottom w:val="none" w:sz="0" w:space="0" w:color="auto"/>
        <w:right w:val="none" w:sz="0" w:space="0" w:color="auto"/>
      </w:divBdr>
    </w:div>
    <w:div w:id="1457798347">
      <w:bodyDiv w:val="1"/>
      <w:marLeft w:val="0"/>
      <w:marRight w:val="0"/>
      <w:marTop w:val="0"/>
      <w:marBottom w:val="0"/>
      <w:divBdr>
        <w:top w:val="none" w:sz="0" w:space="0" w:color="auto"/>
        <w:left w:val="none" w:sz="0" w:space="0" w:color="auto"/>
        <w:bottom w:val="none" w:sz="0" w:space="0" w:color="auto"/>
        <w:right w:val="none" w:sz="0" w:space="0" w:color="auto"/>
      </w:divBdr>
    </w:div>
    <w:div w:id="1601257564">
      <w:bodyDiv w:val="1"/>
      <w:marLeft w:val="0"/>
      <w:marRight w:val="0"/>
      <w:marTop w:val="0"/>
      <w:marBottom w:val="0"/>
      <w:divBdr>
        <w:top w:val="none" w:sz="0" w:space="0" w:color="auto"/>
        <w:left w:val="none" w:sz="0" w:space="0" w:color="auto"/>
        <w:bottom w:val="none" w:sz="0" w:space="0" w:color="auto"/>
        <w:right w:val="none" w:sz="0" w:space="0" w:color="auto"/>
      </w:divBdr>
    </w:div>
    <w:div w:id="1637754237">
      <w:bodyDiv w:val="1"/>
      <w:marLeft w:val="0"/>
      <w:marRight w:val="0"/>
      <w:marTop w:val="0"/>
      <w:marBottom w:val="0"/>
      <w:divBdr>
        <w:top w:val="none" w:sz="0" w:space="0" w:color="auto"/>
        <w:left w:val="none" w:sz="0" w:space="0" w:color="auto"/>
        <w:bottom w:val="none" w:sz="0" w:space="0" w:color="auto"/>
        <w:right w:val="none" w:sz="0" w:space="0" w:color="auto"/>
      </w:divBdr>
    </w:div>
    <w:div w:id="1720546726">
      <w:bodyDiv w:val="1"/>
      <w:marLeft w:val="0"/>
      <w:marRight w:val="0"/>
      <w:marTop w:val="0"/>
      <w:marBottom w:val="0"/>
      <w:divBdr>
        <w:top w:val="none" w:sz="0" w:space="0" w:color="auto"/>
        <w:left w:val="none" w:sz="0" w:space="0" w:color="auto"/>
        <w:bottom w:val="none" w:sz="0" w:space="0" w:color="auto"/>
        <w:right w:val="none" w:sz="0" w:space="0" w:color="auto"/>
      </w:divBdr>
    </w:div>
    <w:div w:id="1970622870">
      <w:bodyDiv w:val="1"/>
      <w:marLeft w:val="0"/>
      <w:marRight w:val="0"/>
      <w:marTop w:val="0"/>
      <w:marBottom w:val="0"/>
      <w:divBdr>
        <w:top w:val="none" w:sz="0" w:space="0" w:color="auto"/>
        <w:left w:val="none" w:sz="0" w:space="0" w:color="auto"/>
        <w:bottom w:val="none" w:sz="0" w:space="0" w:color="auto"/>
        <w:right w:val="none" w:sz="0" w:space="0" w:color="auto"/>
      </w:divBdr>
    </w:div>
    <w:div w:id="2017226994">
      <w:bodyDiv w:val="1"/>
      <w:marLeft w:val="0"/>
      <w:marRight w:val="0"/>
      <w:marTop w:val="0"/>
      <w:marBottom w:val="0"/>
      <w:divBdr>
        <w:top w:val="none" w:sz="0" w:space="0" w:color="auto"/>
        <w:left w:val="none" w:sz="0" w:space="0" w:color="auto"/>
        <w:bottom w:val="none" w:sz="0" w:space="0" w:color="auto"/>
        <w:right w:val="none" w:sz="0" w:space="0" w:color="auto"/>
      </w:divBdr>
    </w:div>
    <w:div w:id="2031758387">
      <w:bodyDiv w:val="1"/>
      <w:marLeft w:val="0"/>
      <w:marRight w:val="0"/>
      <w:marTop w:val="0"/>
      <w:marBottom w:val="0"/>
      <w:divBdr>
        <w:top w:val="none" w:sz="0" w:space="0" w:color="auto"/>
        <w:left w:val="none" w:sz="0" w:space="0" w:color="auto"/>
        <w:bottom w:val="none" w:sz="0" w:space="0" w:color="auto"/>
        <w:right w:val="none" w:sz="0" w:space="0" w:color="auto"/>
      </w:divBdr>
    </w:div>
    <w:div w:id="2119638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1" Type="http://schemas.openxmlformats.org/officeDocument/2006/relationships/hyperlink" Target="http://www.ncbi.nlm.nih.gov/pubmed/?term=Roux%20C%5BAuthor%5D&amp;cauthor=true&amp;cauthor_uid=25228986" TargetMode="External"/><Relationship Id="rId42" Type="http://schemas.openxmlformats.org/officeDocument/2006/relationships/hyperlink" Target="http://www.ncbi.nlm.nih.gov/pubmed/?term=Reid%20D%5BAuthor%5D&amp;cauthor=true&amp;cauthor_uid=25228986" TargetMode="External"/><Relationship Id="rId63" Type="http://schemas.openxmlformats.org/officeDocument/2006/relationships/hyperlink" Target="file:///E:\FG%20PhD%20thesis%20May%202015.docx" TargetMode="External"/><Relationship Id="rId84" Type="http://schemas.openxmlformats.org/officeDocument/2006/relationships/image" Target="media/image13.jpeg"/><Relationship Id="rId138" Type="http://schemas.openxmlformats.org/officeDocument/2006/relationships/image" Target="media/image56.emf"/><Relationship Id="rId159" Type="http://schemas.openxmlformats.org/officeDocument/2006/relationships/image" Target="media/image75.jpeg"/><Relationship Id="rId170" Type="http://schemas.openxmlformats.org/officeDocument/2006/relationships/image" Target="media/image85.png"/><Relationship Id="rId191" Type="http://schemas.openxmlformats.org/officeDocument/2006/relationships/image" Target="media/image105.emf"/><Relationship Id="rId205" Type="http://schemas.openxmlformats.org/officeDocument/2006/relationships/image" Target="media/image119.png"/><Relationship Id="rId226" Type="http://schemas.openxmlformats.org/officeDocument/2006/relationships/image" Target="media/image140.png"/><Relationship Id="rId107" Type="http://schemas.openxmlformats.org/officeDocument/2006/relationships/image" Target="media/image34.jpeg"/><Relationship Id="rId11" Type="http://schemas.openxmlformats.org/officeDocument/2006/relationships/hyperlink" Target="http://www.ncbi.nlm.nih.gov/pubmed/?term=Reid%20D%5BAuthor%5D&amp;cauthor=true&amp;cauthor_uid=25228986" TargetMode="External"/><Relationship Id="rId32" Type="http://schemas.openxmlformats.org/officeDocument/2006/relationships/hyperlink" Target="http://www.ncbi.nlm.nih.gov/pubmed/?term=Finigan%20J%5BAuthor%5D&amp;cauthor=true&amp;cauthor_uid=25228986" TargetMode="External"/><Relationship Id="rId53" Type="http://schemas.openxmlformats.org/officeDocument/2006/relationships/hyperlink" Target="file:///E:\FG%20PhD%20thesis%20May%202015.docx" TargetMode="External"/><Relationship Id="rId74" Type="http://schemas.openxmlformats.org/officeDocument/2006/relationships/image" Target="media/image4.emf"/><Relationship Id="rId128" Type="http://schemas.openxmlformats.org/officeDocument/2006/relationships/hyperlink" Target="http://www.ncbi.nlm.nih.gov/pubmed/?term=Glueer%20C%5BAuthor%5D&amp;cauthor=true&amp;cauthor_uid=25228986" TargetMode="External"/><Relationship Id="rId149" Type="http://schemas.openxmlformats.org/officeDocument/2006/relationships/image" Target="media/image65.jpeg"/><Relationship Id="rId5" Type="http://schemas.openxmlformats.org/officeDocument/2006/relationships/webSettings" Target="webSettings.xml"/><Relationship Id="rId95" Type="http://schemas.openxmlformats.org/officeDocument/2006/relationships/image" Target="media/image23.emf"/><Relationship Id="rId160" Type="http://schemas.openxmlformats.org/officeDocument/2006/relationships/image" Target="media/image76.emf"/><Relationship Id="rId181" Type="http://schemas.openxmlformats.org/officeDocument/2006/relationships/image" Target="media/image95.png"/><Relationship Id="rId216" Type="http://schemas.openxmlformats.org/officeDocument/2006/relationships/image" Target="media/image130.png"/><Relationship Id="rId22" Type="http://schemas.openxmlformats.org/officeDocument/2006/relationships/hyperlink" Target="http://www.ncbi.nlm.nih.gov/pubmed/?term=Glueer%20C%5BAuthor%5D&amp;cauthor=true&amp;cauthor_uid=25228986" TargetMode="External"/><Relationship Id="rId27" Type="http://schemas.openxmlformats.org/officeDocument/2006/relationships/hyperlink" Target="http://www.ncbi.nlm.nih.gov/pubmed/?term=Felsenberg%20D%5BAuthor%5D&amp;cauthor=true&amp;cauthor_uid=25228986" TargetMode="External"/><Relationship Id="rId43" Type="http://schemas.openxmlformats.org/officeDocument/2006/relationships/hyperlink" Target="http://www.ncbi.nlm.nih.gov/pubmed/?term=Felsenberg%20D%5BAuthor%5D&amp;cauthor=true&amp;cauthor_uid=25228986" TargetMode="External"/><Relationship Id="rId48" Type="http://schemas.openxmlformats.org/officeDocument/2006/relationships/hyperlink" Target="file:///E:\FG%20PhD%20thesis%20May%202015.docx" TargetMode="External"/><Relationship Id="rId64" Type="http://schemas.openxmlformats.org/officeDocument/2006/relationships/hyperlink" Target="file:///E:\FG%20PhD%20thesis%20May%202015.docx" TargetMode="External"/><Relationship Id="rId69" Type="http://schemas.openxmlformats.org/officeDocument/2006/relationships/hyperlink" Target="file:///E:\FG%20PhD%20thesis%20May%202015.docx" TargetMode="External"/><Relationship Id="rId113" Type="http://schemas.openxmlformats.org/officeDocument/2006/relationships/image" Target="media/image40.emf"/><Relationship Id="rId118" Type="http://schemas.openxmlformats.org/officeDocument/2006/relationships/image" Target="media/image45.jpeg"/><Relationship Id="rId134" Type="http://schemas.openxmlformats.org/officeDocument/2006/relationships/image" Target="media/image52.emf"/><Relationship Id="rId139" Type="http://schemas.openxmlformats.org/officeDocument/2006/relationships/image" Target="media/image57.jpeg"/><Relationship Id="rId80" Type="http://schemas.openxmlformats.org/officeDocument/2006/relationships/image" Target="media/image90.emf"/><Relationship Id="rId85" Type="http://schemas.openxmlformats.org/officeDocument/2006/relationships/image" Target="media/image14.png"/><Relationship Id="rId150" Type="http://schemas.openxmlformats.org/officeDocument/2006/relationships/image" Target="media/image66.jpeg"/><Relationship Id="rId155" Type="http://schemas.openxmlformats.org/officeDocument/2006/relationships/image" Target="media/image71.jpeg"/><Relationship Id="rId171" Type="http://schemas.openxmlformats.org/officeDocument/2006/relationships/image" Target="media/image86.png"/><Relationship Id="rId176" Type="http://schemas.openxmlformats.org/officeDocument/2006/relationships/image" Target="media/image90.png"/><Relationship Id="rId192" Type="http://schemas.openxmlformats.org/officeDocument/2006/relationships/image" Target="media/image106.emf"/><Relationship Id="rId197" Type="http://schemas.openxmlformats.org/officeDocument/2006/relationships/image" Target="media/image111.png"/><Relationship Id="rId206" Type="http://schemas.openxmlformats.org/officeDocument/2006/relationships/image" Target="media/image120.png"/><Relationship Id="rId227" Type="http://schemas.openxmlformats.org/officeDocument/2006/relationships/image" Target="media/image141.png"/><Relationship Id="rId201" Type="http://schemas.openxmlformats.org/officeDocument/2006/relationships/image" Target="media/image115.png"/><Relationship Id="rId222" Type="http://schemas.openxmlformats.org/officeDocument/2006/relationships/image" Target="media/image136.png"/><Relationship Id="rId12" Type="http://schemas.openxmlformats.org/officeDocument/2006/relationships/hyperlink" Target="http://www.ncbi.nlm.nih.gov/pubmed/?term=Felsenberg%20D%5BAuthor%5D&amp;cauthor=true&amp;cauthor_uid=25228986" TargetMode="External"/><Relationship Id="rId17" Type="http://schemas.openxmlformats.org/officeDocument/2006/relationships/hyperlink" Target="http://www.ncbi.nlm.nih.gov/pubmed/?term=Finigan%20J%5BAuthor%5D&amp;cauthor=true&amp;cauthor_uid=25228986" TargetMode="External"/><Relationship Id="rId33" Type="http://schemas.openxmlformats.org/officeDocument/2006/relationships/hyperlink" Target="http://www.ncbi.nlm.nih.gov/pubmed/?term=Jacques%20R%5BAuthor%5D&amp;cauthor=true&amp;cauthor_uid=25228986" TargetMode="External"/><Relationship Id="rId38" Type="http://schemas.openxmlformats.org/officeDocument/2006/relationships/hyperlink" Target="http://www.ncbi.nlm.nih.gov/pubmed/?term=Eastell%20R%5BAuthor%5D&amp;cauthor=true&amp;cauthor_uid=25228986" TargetMode="External"/><Relationship Id="rId59" Type="http://schemas.openxmlformats.org/officeDocument/2006/relationships/hyperlink" Target="file:///E:\FG%20PhD%20thesis%20May%202015.docx" TargetMode="External"/><Relationship Id="rId103" Type="http://schemas.openxmlformats.org/officeDocument/2006/relationships/image" Target="media/image30.jpeg"/><Relationship Id="rId108" Type="http://schemas.openxmlformats.org/officeDocument/2006/relationships/image" Target="media/image35.jpeg"/><Relationship Id="rId124" Type="http://schemas.openxmlformats.org/officeDocument/2006/relationships/hyperlink" Target="http://www.ncbi.nlm.nih.gov/pubmed/?term=Jacques%20R%5BAuthor%5D&amp;cauthor=true&amp;cauthor_uid=25228986" TargetMode="External"/><Relationship Id="rId129" Type="http://schemas.openxmlformats.org/officeDocument/2006/relationships/hyperlink" Target="http://www.ncbi.nlm.nih.gov/pubmed/?term=Eastell%20R%5BAuthor%5D&amp;cauthor=true&amp;cauthor_uid=25228986" TargetMode="External"/><Relationship Id="rId54" Type="http://schemas.openxmlformats.org/officeDocument/2006/relationships/hyperlink" Target="file:///E:\FG%20PhD%20thesis%20May%202015.docx" TargetMode="External"/><Relationship Id="rId70" Type="http://schemas.openxmlformats.org/officeDocument/2006/relationships/hyperlink" Target="file:///E:\FG%20PhD%20thesis%20May%202015.docx" TargetMode="External"/><Relationship Id="rId75" Type="http://schemas.openxmlformats.org/officeDocument/2006/relationships/image" Target="media/image5.jpeg"/><Relationship Id="rId91" Type="http://schemas.openxmlformats.org/officeDocument/2006/relationships/image" Target="media/image19.jpeg"/><Relationship Id="rId96" Type="http://schemas.openxmlformats.org/officeDocument/2006/relationships/image" Target="media/image24.emf"/><Relationship Id="rId140" Type="http://schemas.openxmlformats.org/officeDocument/2006/relationships/hyperlink" Target="http://www.new.dli.ernet.in/rawdataupload/upload/insa/INSA_1/20006193_49.pdf" TargetMode="External"/><Relationship Id="rId145" Type="http://schemas.openxmlformats.org/officeDocument/2006/relationships/image" Target="media/image61.jpeg"/><Relationship Id="rId161" Type="http://schemas.openxmlformats.org/officeDocument/2006/relationships/package" Target="embeddings/Microsoft_Word_Document.docx"/><Relationship Id="rId166" Type="http://schemas.openxmlformats.org/officeDocument/2006/relationships/image" Target="media/image81.png"/><Relationship Id="rId182" Type="http://schemas.openxmlformats.org/officeDocument/2006/relationships/image" Target="media/image96.jpeg"/><Relationship Id="rId187" Type="http://schemas.openxmlformats.org/officeDocument/2006/relationships/image" Target="media/image101.jpeg"/><Relationship Id="rId217"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6.png"/><Relationship Id="rId23" Type="http://schemas.openxmlformats.org/officeDocument/2006/relationships/hyperlink" Target="http://www.ncbi.nlm.nih.gov/pubmed/?term=Eastell%20R%5BAuthor%5D&amp;cauthor=true&amp;cauthor_uid=25228986" TargetMode="External"/><Relationship Id="rId28" Type="http://schemas.openxmlformats.org/officeDocument/2006/relationships/hyperlink" Target="http://www.ncbi.nlm.nih.gov/pubmed/?term=Roux%20C%5BAuthor%5D&amp;cauthor=true&amp;cauthor_uid=25228986" TargetMode="External"/><Relationship Id="rId49" Type="http://schemas.openxmlformats.org/officeDocument/2006/relationships/hyperlink" Target="file:///E:\FG%20PhD%20thesis%20May%202015.docx" TargetMode="External"/><Relationship Id="rId114" Type="http://schemas.openxmlformats.org/officeDocument/2006/relationships/image" Target="media/image41.jpeg"/><Relationship Id="rId119" Type="http://schemas.openxmlformats.org/officeDocument/2006/relationships/image" Target="media/image46.jpeg"/><Relationship Id="rId44" Type="http://schemas.openxmlformats.org/officeDocument/2006/relationships/hyperlink" Target="http://www.ncbi.nlm.nih.gov/pubmed/?term=Roux%20C%5BAuthor%5D&amp;cauthor=true&amp;cauthor_uid=25228986" TargetMode="External"/><Relationship Id="rId60" Type="http://schemas.openxmlformats.org/officeDocument/2006/relationships/hyperlink" Target="file:///E:\FG%20PhD%20thesis%20May%202015.docx" TargetMode="External"/><Relationship Id="rId65" Type="http://schemas.openxmlformats.org/officeDocument/2006/relationships/hyperlink" Target="file:///E:\FG%20PhD%20thesis%20May%202015.docx" TargetMode="External"/><Relationship Id="rId81" Type="http://schemas.openxmlformats.org/officeDocument/2006/relationships/image" Target="media/image10.jpeg"/><Relationship Id="rId86" Type="http://schemas.microsoft.com/office/2007/relationships/hdphoto" Target="media/hdphoto1.wdp"/><Relationship Id="rId130" Type="http://schemas.openxmlformats.org/officeDocument/2006/relationships/image" Target="media/image48.emf"/><Relationship Id="rId135" Type="http://schemas.openxmlformats.org/officeDocument/2006/relationships/image" Target="media/image53.emf"/><Relationship Id="rId151" Type="http://schemas.openxmlformats.org/officeDocument/2006/relationships/image" Target="media/image67.jpeg"/><Relationship Id="rId156" Type="http://schemas.openxmlformats.org/officeDocument/2006/relationships/image" Target="media/image72.jpeg"/><Relationship Id="rId177" Type="http://schemas.openxmlformats.org/officeDocument/2006/relationships/image" Target="media/image91.jpeg"/><Relationship Id="rId198" Type="http://schemas.openxmlformats.org/officeDocument/2006/relationships/image" Target="media/image112.png"/><Relationship Id="rId172" Type="http://schemas.openxmlformats.org/officeDocument/2006/relationships/image" Target="media/image87.png"/><Relationship Id="rId193" Type="http://schemas.openxmlformats.org/officeDocument/2006/relationships/image" Target="media/image107.emf"/><Relationship Id="rId202" Type="http://schemas.openxmlformats.org/officeDocument/2006/relationships/image" Target="media/image116.png"/><Relationship Id="rId207" Type="http://schemas.openxmlformats.org/officeDocument/2006/relationships/image" Target="media/image121.png"/><Relationship Id="rId223" Type="http://schemas.openxmlformats.org/officeDocument/2006/relationships/image" Target="media/image137.png"/><Relationship Id="rId228" Type="http://schemas.openxmlformats.org/officeDocument/2006/relationships/image" Target="media/image142.png"/><Relationship Id="rId13" Type="http://schemas.openxmlformats.org/officeDocument/2006/relationships/hyperlink" Target="http://www.ncbi.nlm.nih.gov/pubmed/?term=Roux%20C%5BAuthor%5D&amp;cauthor=true&amp;cauthor_uid=25228986" TargetMode="External"/><Relationship Id="rId18" Type="http://schemas.openxmlformats.org/officeDocument/2006/relationships/hyperlink" Target="http://www.ncbi.nlm.nih.gov/pubmed/?term=Jacques%20R%5BAuthor%5D&amp;cauthor=true&amp;cauthor_uid=25228986" TargetMode="External"/><Relationship Id="rId39" Type="http://schemas.openxmlformats.org/officeDocument/2006/relationships/hyperlink" Target="http://www.ncbi.nlm.nih.gov/pubmed/?term=Gossiel%20F%5BAuthor%5D&amp;cauthor=true&amp;cauthor_uid=25228986" TargetMode="External"/><Relationship Id="rId109" Type="http://schemas.openxmlformats.org/officeDocument/2006/relationships/image" Target="media/image36.jpeg"/><Relationship Id="rId34" Type="http://schemas.openxmlformats.org/officeDocument/2006/relationships/hyperlink" Target="http://www.ncbi.nlm.nih.gov/pubmed/?term=Reid%20D%5BAuthor%5D&amp;cauthor=true&amp;cauthor_uid=25228986" TargetMode="External"/><Relationship Id="rId50" Type="http://schemas.openxmlformats.org/officeDocument/2006/relationships/hyperlink" Target="file:///E:\FG%20PhD%20thesis%20May%202015.docx" TargetMode="External"/><Relationship Id="rId55" Type="http://schemas.openxmlformats.org/officeDocument/2006/relationships/hyperlink" Target="file:///E:\FG%20PhD%20thesis%20May%202015.docx" TargetMode="External"/><Relationship Id="rId76" Type="http://schemas.openxmlformats.org/officeDocument/2006/relationships/image" Target="media/image6.jpeg"/><Relationship Id="rId97" Type="http://schemas.openxmlformats.org/officeDocument/2006/relationships/hyperlink" Target="http://upload.wikimedia.org/wikipedia/commons/8/8d/Raloxifene_Chemical_Structure_V.1.svg" TargetMode="External"/><Relationship Id="rId104" Type="http://schemas.openxmlformats.org/officeDocument/2006/relationships/image" Target="media/image31.emf"/><Relationship Id="rId120" Type="http://schemas.openxmlformats.org/officeDocument/2006/relationships/image" Target="media/image47.jpeg"/><Relationship Id="rId125" Type="http://schemas.openxmlformats.org/officeDocument/2006/relationships/hyperlink" Target="http://www.ncbi.nlm.nih.gov/pubmed/?term=Reid%20D%5BAuthor%5D&amp;cauthor=true&amp;cauthor_uid=25228986" TargetMode="External"/><Relationship Id="rId141" Type="http://schemas.openxmlformats.org/officeDocument/2006/relationships/hyperlink" Target="http://www.R-project.org/" TargetMode="External"/><Relationship Id="rId146" Type="http://schemas.openxmlformats.org/officeDocument/2006/relationships/image" Target="media/image62.jpeg"/><Relationship Id="rId167" Type="http://schemas.openxmlformats.org/officeDocument/2006/relationships/image" Target="media/image82.png"/><Relationship Id="rId188" Type="http://schemas.openxmlformats.org/officeDocument/2006/relationships/image" Target="media/image102.jpeg"/><Relationship Id="rId7" Type="http://schemas.openxmlformats.org/officeDocument/2006/relationships/endnotes" Target="endnotes.xml"/><Relationship Id="rId71" Type="http://schemas.openxmlformats.org/officeDocument/2006/relationships/image" Target="media/image1.jpeg"/><Relationship Id="rId92" Type="http://schemas.openxmlformats.org/officeDocument/2006/relationships/image" Target="media/image20.emf"/><Relationship Id="rId162" Type="http://schemas.openxmlformats.org/officeDocument/2006/relationships/image" Target="media/image77.jpeg"/><Relationship Id="rId183" Type="http://schemas.openxmlformats.org/officeDocument/2006/relationships/image" Target="media/image97.jpeg"/><Relationship Id="rId213" Type="http://schemas.openxmlformats.org/officeDocument/2006/relationships/image" Target="media/image127.png"/><Relationship Id="rId218"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hyperlink" Target="http://www.ncbi.nlm.nih.gov/pubmed/?term=Glueer%20C%5BAuthor%5D&amp;cauthor=true&amp;cauthor_uid=25228986" TargetMode="External"/><Relationship Id="rId24" Type="http://schemas.openxmlformats.org/officeDocument/2006/relationships/hyperlink" Target="http://www.ncbi.nlm.nih.gov/pubmed/?term=Finigan%20J%5BAuthor%5D&amp;cauthor=true&amp;cauthor_uid=25228986" TargetMode="External"/><Relationship Id="rId40" Type="http://schemas.openxmlformats.org/officeDocument/2006/relationships/hyperlink" Target="http://www.ncbi.nlm.nih.gov/pubmed/?term=Finigan%20J%5BAuthor%5D&amp;cauthor=true&amp;cauthor_uid=25228986" TargetMode="External"/><Relationship Id="rId45" Type="http://schemas.openxmlformats.org/officeDocument/2006/relationships/hyperlink" Target="http://www.ncbi.nlm.nih.gov/pubmed/?term=Glueer%20C%5BAuthor%5D&amp;cauthor=true&amp;cauthor_uid=25228986" TargetMode="External"/><Relationship Id="rId66" Type="http://schemas.openxmlformats.org/officeDocument/2006/relationships/hyperlink" Target="file:///E:\FG%20PhD%20thesis%20May%202015.docx" TargetMode="External"/><Relationship Id="rId87" Type="http://schemas.openxmlformats.org/officeDocument/2006/relationships/image" Target="media/image15.png"/><Relationship Id="rId110" Type="http://schemas.openxmlformats.org/officeDocument/2006/relationships/image" Target="media/image37.jpeg"/><Relationship Id="rId115" Type="http://schemas.openxmlformats.org/officeDocument/2006/relationships/image" Target="media/image42.jpeg"/><Relationship Id="rId131" Type="http://schemas.openxmlformats.org/officeDocument/2006/relationships/image" Target="media/image49.emf"/><Relationship Id="rId136" Type="http://schemas.openxmlformats.org/officeDocument/2006/relationships/image" Target="media/image54.emf"/><Relationship Id="rId157" Type="http://schemas.openxmlformats.org/officeDocument/2006/relationships/image" Target="media/image73.jpeg"/><Relationship Id="rId178" Type="http://schemas.openxmlformats.org/officeDocument/2006/relationships/image" Target="media/image92.emf"/><Relationship Id="rId61" Type="http://schemas.openxmlformats.org/officeDocument/2006/relationships/hyperlink" Target="file:///E:\FG%20PhD%20thesis%20May%202015.docx" TargetMode="External"/><Relationship Id="rId82" Type="http://schemas.openxmlformats.org/officeDocument/2006/relationships/image" Target="media/image11.jpeg"/><Relationship Id="rId152" Type="http://schemas.openxmlformats.org/officeDocument/2006/relationships/image" Target="media/image68.jpeg"/><Relationship Id="rId173" Type="http://schemas.openxmlformats.org/officeDocument/2006/relationships/image" Target="media/image88.png"/><Relationship Id="rId194" Type="http://schemas.openxmlformats.org/officeDocument/2006/relationships/image" Target="media/image108.emf"/><Relationship Id="rId199" Type="http://schemas.openxmlformats.org/officeDocument/2006/relationships/image" Target="media/image113.png"/><Relationship Id="rId203" Type="http://schemas.openxmlformats.org/officeDocument/2006/relationships/image" Target="media/image117.png"/><Relationship Id="rId208" Type="http://schemas.openxmlformats.org/officeDocument/2006/relationships/image" Target="media/image122.png"/><Relationship Id="rId229" Type="http://schemas.openxmlformats.org/officeDocument/2006/relationships/footer" Target="footer1.xml"/><Relationship Id="rId19" Type="http://schemas.openxmlformats.org/officeDocument/2006/relationships/hyperlink" Target="http://www.ncbi.nlm.nih.gov/pubmed/?term=Reid%20D%5BAuthor%5D&amp;cauthor=true&amp;cauthor_uid=25228986" TargetMode="External"/><Relationship Id="rId224" Type="http://schemas.openxmlformats.org/officeDocument/2006/relationships/image" Target="media/image138.png"/><Relationship Id="rId14" Type="http://schemas.openxmlformats.org/officeDocument/2006/relationships/hyperlink" Target="http://www.ncbi.nlm.nih.gov/pubmed/?term=Glueer%20C%5BAuthor%5D&amp;cauthor=true&amp;cauthor_uid=25228986" TargetMode="External"/><Relationship Id="rId30" Type="http://schemas.openxmlformats.org/officeDocument/2006/relationships/hyperlink" Target="http://www.ncbi.nlm.nih.gov/pubmed/?term=Eastell%20R%5BAuthor%5D&amp;cauthor=true&amp;cauthor_uid=25228986" TargetMode="External"/><Relationship Id="rId35" Type="http://schemas.openxmlformats.org/officeDocument/2006/relationships/hyperlink" Target="http://www.ncbi.nlm.nih.gov/pubmed/?term=Felsenberg%20D%5BAuthor%5D&amp;cauthor=true&amp;cauthor_uid=25228986" TargetMode="External"/><Relationship Id="rId56" Type="http://schemas.openxmlformats.org/officeDocument/2006/relationships/hyperlink" Target="file:///E:\FG%20PhD%20thesis%20May%202015.docx" TargetMode="External"/><Relationship Id="rId77" Type="http://schemas.openxmlformats.org/officeDocument/2006/relationships/image" Target="media/image7.png"/><Relationship Id="rId100" Type="http://schemas.openxmlformats.org/officeDocument/2006/relationships/image" Target="media/image27.emf"/><Relationship Id="rId105" Type="http://schemas.openxmlformats.org/officeDocument/2006/relationships/image" Target="media/image32.emf"/><Relationship Id="rId126" Type="http://schemas.openxmlformats.org/officeDocument/2006/relationships/hyperlink" Target="http://www.ncbi.nlm.nih.gov/pubmed/?term=Felsenberg%20D%5BAuthor%5D&amp;cauthor=true&amp;cauthor_uid=25228986" TargetMode="External"/><Relationship Id="rId147" Type="http://schemas.openxmlformats.org/officeDocument/2006/relationships/image" Target="media/image63.jpeg"/><Relationship Id="rId168" Type="http://schemas.openxmlformats.org/officeDocument/2006/relationships/image" Target="media/image83.png"/><Relationship Id="rId8" Type="http://schemas.openxmlformats.org/officeDocument/2006/relationships/hyperlink" Target="http://www.ncbi.nlm.nih.gov/pubmed/?term=Gossiel%20F%5BAuthor%5D&amp;cauthor=true&amp;cauthor_uid=25228986" TargetMode="External"/><Relationship Id="rId51" Type="http://schemas.openxmlformats.org/officeDocument/2006/relationships/hyperlink" Target="file:///E:\FG%20PhD%20thesis%20May%202015.docx" TargetMode="External"/><Relationship Id="rId72" Type="http://schemas.openxmlformats.org/officeDocument/2006/relationships/image" Target="media/image2.jpeg"/><Relationship Id="rId93" Type="http://schemas.openxmlformats.org/officeDocument/2006/relationships/image" Target="media/image21.emf"/><Relationship Id="rId98" Type="http://schemas.openxmlformats.org/officeDocument/2006/relationships/image" Target="media/image25.png"/><Relationship Id="rId121" Type="http://schemas.openxmlformats.org/officeDocument/2006/relationships/hyperlink" Target="http://www.ncbi.nlm.nih.gov/pubmed/25228986" TargetMode="External"/><Relationship Id="rId142" Type="http://schemas.openxmlformats.org/officeDocument/2006/relationships/image" Target="media/image58.jpeg"/><Relationship Id="rId163" Type="http://schemas.openxmlformats.org/officeDocument/2006/relationships/image" Target="media/image78.jpeg"/><Relationship Id="rId184" Type="http://schemas.openxmlformats.org/officeDocument/2006/relationships/image" Target="media/image98.jpeg"/><Relationship Id="rId189" Type="http://schemas.openxmlformats.org/officeDocument/2006/relationships/image" Target="media/image103.jpeg"/><Relationship Id="rId219" Type="http://schemas.openxmlformats.org/officeDocument/2006/relationships/image" Target="media/image133.png"/><Relationship Id="rId3" Type="http://schemas.openxmlformats.org/officeDocument/2006/relationships/styles" Target="styles.xml"/><Relationship Id="rId214" Type="http://schemas.openxmlformats.org/officeDocument/2006/relationships/image" Target="media/image128.png"/><Relationship Id="rId230" Type="http://schemas.openxmlformats.org/officeDocument/2006/relationships/fontTable" Target="fontTable.xml"/><Relationship Id="rId25" Type="http://schemas.openxmlformats.org/officeDocument/2006/relationships/hyperlink" Target="http://www.ncbi.nlm.nih.gov/pubmed/?term=Jacques%20R%5BAuthor%5D&amp;cauthor=true&amp;cauthor_uid=25228986" TargetMode="External"/><Relationship Id="rId46" Type="http://schemas.openxmlformats.org/officeDocument/2006/relationships/hyperlink" Target="http://www.ncbi.nlm.nih.gov/pubmed/?term=Eastell%20R%5BAuthor%5D&amp;cauthor=true&amp;cauthor_uid=25228986" TargetMode="External"/><Relationship Id="rId67" Type="http://schemas.openxmlformats.org/officeDocument/2006/relationships/hyperlink" Target="file:///E:\FG%20PhD%20thesis%20May%202015.docx" TargetMode="External"/><Relationship Id="rId116" Type="http://schemas.openxmlformats.org/officeDocument/2006/relationships/image" Target="media/image43.jpeg"/><Relationship Id="rId137" Type="http://schemas.openxmlformats.org/officeDocument/2006/relationships/image" Target="media/image55.emf"/><Relationship Id="rId158" Type="http://schemas.openxmlformats.org/officeDocument/2006/relationships/image" Target="media/image74.jpeg"/><Relationship Id="rId20" Type="http://schemas.openxmlformats.org/officeDocument/2006/relationships/hyperlink" Target="http://www.ncbi.nlm.nih.gov/pubmed/?term=Felsenberg%20D%5BAuthor%5D&amp;cauthor=true&amp;cauthor_uid=25228986" TargetMode="External"/><Relationship Id="rId41" Type="http://schemas.openxmlformats.org/officeDocument/2006/relationships/hyperlink" Target="http://www.ncbi.nlm.nih.gov/pubmed/?term=Jacques%20R%5BAuthor%5D&amp;cauthor=true&amp;cauthor_uid=25228986" TargetMode="External"/><Relationship Id="rId62" Type="http://schemas.openxmlformats.org/officeDocument/2006/relationships/hyperlink" Target="file:///E:\FG%20PhD%20thesis%20May%202015.docx" TargetMode="External"/><Relationship Id="rId83" Type="http://schemas.openxmlformats.org/officeDocument/2006/relationships/image" Target="media/image12.jpeg"/><Relationship Id="rId88" Type="http://schemas.openxmlformats.org/officeDocument/2006/relationships/image" Target="media/image16.emf"/><Relationship Id="rId111" Type="http://schemas.openxmlformats.org/officeDocument/2006/relationships/image" Target="media/image38.jpeg"/><Relationship Id="rId132" Type="http://schemas.openxmlformats.org/officeDocument/2006/relationships/image" Target="media/image50.emf"/><Relationship Id="rId153" Type="http://schemas.openxmlformats.org/officeDocument/2006/relationships/image" Target="media/image69.jpeg"/><Relationship Id="rId174" Type="http://schemas.openxmlformats.org/officeDocument/2006/relationships/image" Target="media/image89.emf"/><Relationship Id="rId179" Type="http://schemas.openxmlformats.org/officeDocument/2006/relationships/image" Target="media/image93.jpeg"/><Relationship Id="rId195" Type="http://schemas.openxmlformats.org/officeDocument/2006/relationships/image" Target="media/image109.jpeg"/><Relationship Id="rId209" Type="http://schemas.openxmlformats.org/officeDocument/2006/relationships/image" Target="media/image123.png"/><Relationship Id="rId190" Type="http://schemas.openxmlformats.org/officeDocument/2006/relationships/image" Target="media/image104.png"/><Relationship Id="rId204" Type="http://schemas.openxmlformats.org/officeDocument/2006/relationships/image" Target="media/image118.png"/><Relationship Id="rId220" Type="http://schemas.openxmlformats.org/officeDocument/2006/relationships/image" Target="media/image134.png"/><Relationship Id="rId225" Type="http://schemas.openxmlformats.org/officeDocument/2006/relationships/image" Target="media/image139.png"/><Relationship Id="rId15" Type="http://schemas.openxmlformats.org/officeDocument/2006/relationships/hyperlink" Target="http://www.ncbi.nlm.nih.gov/pubmed/?term=Eastell%20R%5BAuthor%5D&amp;cauthor=true&amp;cauthor_uid=25228986" TargetMode="External"/><Relationship Id="rId36" Type="http://schemas.openxmlformats.org/officeDocument/2006/relationships/hyperlink" Target="http://www.ncbi.nlm.nih.gov/pubmed/?term=Roux%20C%5BAuthor%5D&amp;cauthor=true&amp;cauthor_uid=25228986" TargetMode="External"/><Relationship Id="rId57" Type="http://schemas.openxmlformats.org/officeDocument/2006/relationships/hyperlink" Target="file:///E:\FG%20PhD%20thesis%20May%202015.docx" TargetMode="External"/><Relationship Id="rId106" Type="http://schemas.openxmlformats.org/officeDocument/2006/relationships/image" Target="media/image33.jpeg"/><Relationship Id="rId127" Type="http://schemas.openxmlformats.org/officeDocument/2006/relationships/hyperlink" Target="http://www.ncbi.nlm.nih.gov/pubmed/?term=Roux%20C%5BAuthor%5D&amp;cauthor=true&amp;cauthor_uid=25228986" TargetMode="External"/><Relationship Id="rId10" Type="http://schemas.openxmlformats.org/officeDocument/2006/relationships/hyperlink" Target="http://www.ncbi.nlm.nih.gov/pubmed/?term=Jacques%20R%5BAuthor%5D&amp;cauthor=true&amp;cauthor_uid=25228986" TargetMode="External"/><Relationship Id="rId31" Type="http://schemas.openxmlformats.org/officeDocument/2006/relationships/hyperlink" Target="http://www.ncbi.nlm.nih.gov/pubmed/?term=Gossiel%20F%5BAuthor%5D&amp;cauthor=true&amp;cauthor_uid=25228986" TargetMode="External"/><Relationship Id="rId52" Type="http://schemas.openxmlformats.org/officeDocument/2006/relationships/hyperlink" Target="file:///E:\FG%20PhD%20thesis%20May%202015.docx" TargetMode="External"/><Relationship Id="rId73" Type="http://schemas.openxmlformats.org/officeDocument/2006/relationships/image" Target="media/image3.emf"/><Relationship Id="rId78" Type="http://schemas.openxmlformats.org/officeDocument/2006/relationships/image" Target="media/image8.emf"/><Relationship Id="rId94" Type="http://schemas.openxmlformats.org/officeDocument/2006/relationships/image" Target="media/image22.emf"/><Relationship Id="rId99" Type="http://schemas.openxmlformats.org/officeDocument/2006/relationships/image" Target="media/image26.jpeg"/><Relationship Id="rId101" Type="http://schemas.openxmlformats.org/officeDocument/2006/relationships/image" Target="media/image28.emf"/><Relationship Id="rId122" Type="http://schemas.openxmlformats.org/officeDocument/2006/relationships/hyperlink" Target="http://www.ncbi.nlm.nih.gov/pubmed/?term=Gossiel%20F%5BAuthor%5D&amp;cauthor=true&amp;cauthor_uid=25228986" TargetMode="External"/><Relationship Id="rId143" Type="http://schemas.openxmlformats.org/officeDocument/2006/relationships/image" Target="media/image59.jpeg"/><Relationship Id="rId148" Type="http://schemas.openxmlformats.org/officeDocument/2006/relationships/image" Target="media/image64.jpeg"/><Relationship Id="rId164" Type="http://schemas.openxmlformats.org/officeDocument/2006/relationships/image" Target="media/image79.png"/><Relationship Id="rId169" Type="http://schemas.openxmlformats.org/officeDocument/2006/relationships/image" Target="media/image84.png"/><Relationship Id="rId185" Type="http://schemas.openxmlformats.org/officeDocument/2006/relationships/image" Target="media/image99.emf"/><Relationship Id="rId4" Type="http://schemas.openxmlformats.org/officeDocument/2006/relationships/settings" Target="settings.xml"/><Relationship Id="rId9" Type="http://schemas.openxmlformats.org/officeDocument/2006/relationships/hyperlink" Target="http://www.ncbi.nlm.nih.gov/pubmed/?term=Finigan%20J%5BAuthor%5D&amp;cauthor=true&amp;cauthor_uid=25228986" TargetMode="External"/><Relationship Id="rId180" Type="http://schemas.openxmlformats.org/officeDocument/2006/relationships/image" Target="media/image94.png"/><Relationship Id="rId210" Type="http://schemas.openxmlformats.org/officeDocument/2006/relationships/image" Target="media/image124.png"/><Relationship Id="rId215" Type="http://schemas.openxmlformats.org/officeDocument/2006/relationships/image" Target="media/image129.png"/><Relationship Id="rId26" Type="http://schemas.openxmlformats.org/officeDocument/2006/relationships/hyperlink" Target="http://www.ncbi.nlm.nih.gov/pubmed/?term=Reid%20D%5BAuthor%5D&amp;cauthor=true&amp;cauthor_uid=25228986" TargetMode="External"/><Relationship Id="rId231" Type="http://schemas.openxmlformats.org/officeDocument/2006/relationships/theme" Target="theme/theme1.xml"/><Relationship Id="rId47" Type="http://schemas.openxmlformats.org/officeDocument/2006/relationships/hyperlink" Target="file:///E:\FG%20PhD%20thesis%20May%202015.docx" TargetMode="External"/><Relationship Id="rId68" Type="http://schemas.openxmlformats.org/officeDocument/2006/relationships/hyperlink" Target="file:///E:\FG%20PhD%20thesis%20May%202015.docx" TargetMode="External"/><Relationship Id="rId89" Type="http://schemas.openxmlformats.org/officeDocument/2006/relationships/image" Target="media/image17.emf"/><Relationship Id="rId112" Type="http://schemas.openxmlformats.org/officeDocument/2006/relationships/image" Target="media/image39.emf"/><Relationship Id="rId133" Type="http://schemas.openxmlformats.org/officeDocument/2006/relationships/image" Target="media/image51.emf"/><Relationship Id="rId154" Type="http://schemas.openxmlformats.org/officeDocument/2006/relationships/image" Target="media/image70.jpeg"/><Relationship Id="rId175" Type="http://schemas.openxmlformats.org/officeDocument/2006/relationships/oleObject" Target="embeddings/oleObject1.bin"/><Relationship Id="rId196" Type="http://schemas.openxmlformats.org/officeDocument/2006/relationships/image" Target="media/image110.png"/><Relationship Id="rId200" Type="http://schemas.openxmlformats.org/officeDocument/2006/relationships/image" Target="media/image114.png"/><Relationship Id="rId16" Type="http://schemas.openxmlformats.org/officeDocument/2006/relationships/hyperlink" Target="http://www.ncbi.nlm.nih.gov/pubmed/25228986" TargetMode="External"/><Relationship Id="rId221" Type="http://schemas.openxmlformats.org/officeDocument/2006/relationships/image" Target="media/image135.png"/><Relationship Id="rId37" Type="http://schemas.openxmlformats.org/officeDocument/2006/relationships/hyperlink" Target="http://www.ncbi.nlm.nih.gov/pubmed/?term=Glueer%20C%5BAuthor%5D&amp;cauthor=true&amp;cauthor_uid=25228986" TargetMode="External"/><Relationship Id="rId58" Type="http://schemas.openxmlformats.org/officeDocument/2006/relationships/hyperlink" Target="file:///E:\FG%20PhD%20thesis%20May%202015.docx" TargetMode="External"/><Relationship Id="rId79" Type="http://schemas.openxmlformats.org/officeDocument/2006/relationships/image" Target="media/image9.emf"/><Relationship Id="rId102" Type="http://schemas.openxmlformats.org/officeDocument/2006/relationships/image" Target="media/image29.jpeg"/><Relationship Id="rId123" Type="http://schemas.openxmlformats.org/officeDocument/2006/relationships/hyperlink" Target="http://www.ncbi.nlm.nih.gov/pubmed/?term=Finigan%20J%5BAuthor%5D&amp;cauthor=true&amp;cauthor_uid=25228986" TargetMode="External"/><Relationship Id="rId144" Type="http://schemas.openxmlformats.org/officeDocument/2006/relationships/image" Target="media/image60.jpeg"/><Relationship Id="rId90" Type="http://schemas.openxmlformats.org/officeDocument/2006/relationships/image" Target="media/image18.emf"/><Relationship Id="rId165" Type="http://schemas.openxmlformats.org/officeDocument/2006/relationships/image" Target="media/image80.png"/><Relationship Id="rId186" Type="http://schemas.openxmlformats.org/officeDocument/2006/relationships/image" Target="media/image100.png"/><Relationship Id="rId211"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EA9B4E-8180-4B16-B665-E5958397B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228</Pages>
  <Words>110851</Words>
  <Characters>631852</Characters>
  <Application>Microsoft Office Word</Application>
  <DocSecurity>0</DocSecurity>
  <Lines>5265</Lines>
  <Paragraphs>1482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UOS</dc:creator>
  <cp:keywords/>
  <dc:description/>
  <cp:lastModifiedBy>Fatma Gossiel</cp:lastModifiedBy>
  <cp:revision>3</cp:revision>
  <cp:lastPrinted>2015-07-28T13:51:00Z</cp:lastPrinted>
  <dcterms:created xsi:type="dcterms:W3CDTF">2020-09-11T09:38:00Z</dcterms:created>
  <dcterms:modified xsi:type="dcterms:W3CDTF">2021-08-12T11:38:00Z</dcterms:modified>
</cp:coreProperties>
</file>